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B0696F">
      <w:pPr>
        <w:rPr>
          <w:rFonts w:hint="default" w:ascii="Times New Roman" w:hAnsi="Times New Roman" w:eastAsia="仿宋_GB2312" w:cs="Times New Roman"/>
          <w:color w:val="auto"/>
          <w:sz w:val="36"/>
          <w:szCs w:val="36"/>
        </w:rPr>
      </w:pPr>
      <w:r>
        <w:drawing>
          <wp:inline distT="0" distB="0" distL="114300" distR="114300">
            <wp:extent cx="5600700" cy="7905750"/>
            <wp:effectExtent l="0" t="0" r="0" b="0"/>
            <wp:docPr id="3"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4"/>
                    <pic:cNvPicPr>
                      <a:picLocks noChangeAspect="1"/>
                    </pic:cNvPicPr>
                  </pic:nvPicPr>
                  <pic:blipFill>
                    <a:blip r:embed="rId8"/>
                    <a:stretch>
                      <a:fillRect/>
                    </a:stretch>
                  </pic:blipFill>
                  <pic:spPr>
                    <a:xfrm>
                      <a:off x="0" y="0"/>
                      <a:ext cx="5600700" cy="7905750"/>
                    </a:xfrm>
                    <a:prstGeom prst="rect">
                      <a:avLst/>
                    </a:prstGeom>
                    <a:noFill/>
                    <a:ln>
                      <a:noFill/>
                    </a:ln>
                  </pic:spPr>
                </pic:pic>
              </a:graphicData>
            </a:graphic>
          </wp:inline>
        </w:drawing>
      </w:r>
      <w:r>
        <w:drawing>
          <wp:inline distT="0" distB="0" distL="114300" distR="114300">
            <wp:extent cx="5614035" cy="7917180"/>
            <wp:effectExtent l="0" t="0" r="5715" b="7620"/>
            <wp:docPr id="4"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5"/>
                    <pic:cNvPicPr>
                      <a:picLocks noChangeAspect="1"/>
                    </pic:cNvPicPr>
                  </pic:nvPicPr>
                  <pic:blipFill>
                    <a:blip r:embed="rId9"/>
                    <a:stretch>
                      <a:fillRect/>
                    </a:stretch>
                  </pic:blipFill>
                  <pic:spPr>
                    <a:xfrm>
                      <a:off x="0" y="0"/>
                      <a:ext cx="5614035" cy="7917180"/>
                    </a:xfrm>
                    <a:prstGeom prst="rect">
                      <a:avLst/>
                    </a:prstGeom>
                    <a:noFill/>
                    <a:ln>
                      <a:noFill/>
                    </a:ln>
                  </pic:spPr>
                </pic:pic>
              </a:graphicData>
            </a:graphic>
          </wp:inline>
        </w:drawing>
      </w:r>
    </w:p>
    <w:p w14:paraId="03B2C315">
      <w:pPr>
        <w:rPr>
          <w:rFonts w:hint="default" w:ascii="Times New Roman" w:hAnsi="Times New Roman" w:eastAsia="仿宋_GB2312" w:cs="Times New Roman"/>
          <w:color w:val="auto"/>
          <w:sz w:val="36"/>
          <w:szCs w:val="36"/>
        </w:rPr>
      </w:pPr>
    </w:p>
    <w:p w14:paraId="66273939">
      <w:pPr>
        <w:rPr>
          <w:rFonts w:hint="default" w:ascii="Times New Roman" w:hAnsi="Times New Roman" w:eastAsia="仿宋_GB2312" w:cs="Times New Roman"/>
          <w:color w:val="auto"/>
          <w:sz w:val="36"/>
          <w:szCs w:val="36"/>
        </w:rPr>
      </w:pPr>
    </w:p>
    <w:p w14:paraId="35668AE5">
      <w:pPr>
        <w:rPr>
          <w:rFonts w:hint="default" w:ascii="Times New Roman" w:hAnsi="Times New Roman" w:eastAsia="仿宋_GB2312" w:cs="Times New Roman"/>
          <w:color w:val="auto"/>
          <w:sz w:val="36"/>
          <w:szCs w:val="36"/>
        </w:rPr>
      </w:pPr>
    </w:p>
    <w:p w14:paraId="42958072">
      <w:pPr>
        <w:rPr>
          <w:rFonts w:hint="default" w:ascii="Times New Roman" w:hAnsi="Times New Roman" w:eastAsia="仿宋_GB2312" w:cs="Times New Roman"/>
          <w:color w:val="auto"/>
          <w:sz w:val="36"/>
          <w:szCs w:val="36"/>
        </w:rPr>
      </w:pPr>
    </w:p>
    <w:p w14:paraId="57DEB8E6">
      <w:pPr>
        <w:rPr>
          <w:rFonts w:hint="default" w:ascii="Times New Roman" w:hAnsi="Times New Roman" w:eastAsia="仿宋_GB2312" w:cs="Times New Roman"/>
          <w:color w:val="auto"/>
          <w:sz w:val="36"/>
          <w:szCs w:val="36"/>
        </w:rPr>
      </w:pPr>
    </w:p>
    <w:p w14:paraId="526BC243">
      <w:pPr>
        <w:rPr>
          <w:rFonts w:hint="default" w:ascii="Times New Roman" w:hAnsi="Times New Roman" w:eastAsia="仿宋_GB2312" w:cs="Times New Roman"/>
          <w:color w:val="auto"/>
          <w:sz w:val="36"/>
          <w:szCs w:val="36"/>
        </w:rPr>
      </w:pPr>
    </w:p>
    <w:p w14:paraId="6D7334B6">
      <w:pPr>
        <w:rPr>
          <w:rFonts w:hint="default" w:ascii="Times New Roman" w:hAnsi="Times New Roman" w:eastAsia="仿宋_GB2312" w:cs="Times New Roman"/>
          <w:color w:val="auto"/>
          <w:sz w:val="36"/>
          <w:szCs w:val="36"/>
        </w:rPr>
      </w:pPr>
    </w:p>
    <w:p w14:paraId="613068F7">
      <w:pPr>
        <w:rPr>
          <w:rFonts w:hint="default" w:ascii="Times New Roman" w:hAnsi="Times New Roman" w:eastAsia="仿宋_GB2312" w:cs="Times New Roman"/>
          <w:color w:val="auto"/>
          <w:sz w:val="36"/>
          <w:szCs w:val="36"/>
        </w:rPr>
      </w:pPr>
    </w:p>
    <w:p w14:paraId="7B457E3E">
      <w:pPr>
        <w:rPr>
          <w:rFonts w:hint="default" w:ascii="Times New Roman" w:hAnsi="Times New Roman" w:eastAsia="仿宋_GB2312" w:cs="Times New Roman"/>
          <w:color w:val="auto"/>
          <w:sz w:val="36"/>
          <w:szCs w:val="36"/>
        </w:rPr>
      </w:pPr>
    </w:p>
    <w:p w14:paraId="4A208DAF">
      <w:pPr>
        <w:rPr>
          <w:rFonts w:hint="default" w:ascii="Times New Roman" w:hAnsi="Times New Roman" w:eastAsia="仿宋_GB2312" w:cs="Times New Roman"/>
          <w:color w:val="auto"/>
          <w:sz w:val="36"/>
          <w:szCs w:val="36"/>
        </w:rPr>
      </w:pPr>
    </w:p>
    <w:p w14:paraId="0F805A41">
      <w:pPr>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14:paraId="0BC8F56E">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14:paraId="18E9478C">
      <w:pPr>
        <w:adjustRightInd w:val="0"/>
        <w:snapToGrid w:val="0"/>
        <w:spacing w:before="192" w:beforeLines="80"/>
        <w:jc w:val="center"/>
        <w:rPr>
          <w:rFonts w:hint="eastAsia" w:ascii="Times New Roman" w:hAnsi="Times New Roman" w:eastAsia="楷体_GB2312" w:cs="Times New Roman"/>
          <w:bCs/>
          <w:color w:val="auto"/>
          <w:sz w:val="48"/>
          <w:szCs w:val="48"/>
          <w:lang w:val="en-US" w:eastAsia="zh-CN"/>
        </w:rPr>
      </w:pPr>
      <w:r>
        <w:rPr>
          <w:rFonts w:hint="eastAsia" w:ascii="Times New Roman" w:hAnsi="Times New Roman" w:eastAsia="楷体_GB2312" w:cs="Times New Roman"/>
          <w:bCs/>
          <w:color w:val="auto"/>
          <w:sz w:val="48"/>
          <w:szCs w:val="48"/>
          <w:lang w:val="en-US" w:eastAsia="zh-CN"/>
        </w:rPr>
        <w:t>（公示版）</w:t>
      </w:r>
    </w:p>
    <w:p w14:paraId="3B088D15">
      <w:pPr>
        <w:adjustRightInd w:val="0"/>
        <w:snapToGrid w:val="0"/>
        <w:spacing w:before="192" w:beforeLines="80"/>
        <w:jc w:val="center"/>
        <w:rPr>
          <w:rFonts w:hint="default" w:ascii="Times New Roman" w:hAnsi="Times New Roman" w:eastAsia="楷体_GB2312" w:cs="Times New Roman"/>
          <w:bCs/>
          <w:color w:val="auto"/>
          <w:sz w:val="48"/>
          <w:szCs w:val="48"/>
        </w:rPr>
      </w:pPr>
    </w:p>
    <w:p w14:paraId="4D1B9951">
      <w:pPr>
        <w:adjustRightInd w:val="0"/>
        <w:snapToGrid w:val="0"/>
        <w:spacing w:before="192" w:beforeLines="80"/>
        <w:jc w:val="center"/>
        <w:rPr>
          <w:rFonts w:hint="default" w:ascii="Times New Roman" w:hAnsi="Times New Roman" w:eastAsia="楷体_GB2312" w:cs="Times New Roman"/>
          <w:bCs/>
          <w:color w:val="auto"/>
          <w:sz w:val="48"/>
          <w:szCs w:val="48"/>
        </w:rPr>
      </w:pPr>
    </w:p>
    <w:p w14:paraId="394F8CE9">
      <w:pPr>
        <w:adjustRightInd w:val="0"/>
        <w:snapToGrid w:val="0"/>
        <w:spacing w:line="288" w:lineRule="auto"/>
        <w:ind w:firstLine="1080" w:firstLineChars="300"/>
        <w:rPr>
          <w:rFonts w:hint="eastAsia"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rPr>
        <w:t>项目名称：</w:t>
      </w:r>
      <w:r>
        <w:rPr>
          <w:rFonts w:hint="eastAsia" w:ascii="Times New Roman" w:hAnsi="Times New Roman" w:eastAsia="仿宋_GB2312" w:cs="Times New Roman"/>
          <w:color w:val="auto"/>
          <w:sz w:val="36"/>
          <w:szCs w:val="36"/>
          <w:u w:val="single"/>
          <w:lang w:val="en-US" w:eastAsia="zh-CN"/>
        </w:rPr>
        <w:t>老一区熔炼中心熔铸生产线产能提升项目</w:t>
      </w:r>
    </w:p>
    <w:p w14:paraId="0DF8E317">
      <w:pPr>
        <w:adjustRightInd w:val="0"/>
        <w:snapToGrid w:val="0"/>
        <w:spacing w:line="288" w:lineRule="auto"/>
        <w:ind w:firstLine="1080" w:firstLineChars="300"/>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rPr>
        <w:t>建设单位（盖章）：</w:t>
      </w:r>
      <w:r>
        <w:rPr>
          <w:rFonts w:hint="eastAsia" w:ascii="Times New Roman" w:hAnsi="Times New Roman" w:eastAsia="仿宋_GB2312" w:cs="Times New Roman"/>
          <w:color w:val="auto"/>
          <w:sz w:val="36"/>
          <w:szCs w:val="36"/>
          <w:u w:val="single"/>
          <w:lang w:val="en-US" w:eastAsia="zh-CN"/>
        </w:rPr>
        <w:t>重庆市西南铝实业有限公司</w:t>
      </w:r>
    </w:p>
    <w:p w14:paraId="01655552">
      <w:pPr>
        <w:adjustRightInd w:val="0"/>
        <w:snapToGrid w:val="0"/>
        <w:spacing w:line="288" w:lineRule="auto"/>
        <w:ind w:firstLine="1080" w:firstLineChars="300"/>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编制日期：</w:t>
      </w:r>
      <w:r>
        <w:rPr>
          <w:rFonts w:hint="eastAsia"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lang w:val="en-US" w:eastAsia="zh-CN"/>
        </w:rPr>
        <w:t>202</w:t>
      </w:r>
      <w:r>
        <w:rPr>
          <w:rFonts w:hint="eastAsia" w:ascii="Times New Roman" w:hAnsi="Times New Roman" w:eastAsia="仿宋_GB2312" w:cs="Times New Roman"/>
          <w:color w:val="auto"/>
          <w:sz w:val="36"/>
          <w:szCs w:val="36"/>
          <w:u w:val="single"/>
          <w:lang w:val="en-US" w:eastAsia="zh-CN"/>
        </w:rPr>
        <w:t>6年3月</w:t>
      </w:r>
      <w:r>
        <w:rPr>
          <w:rFonts w:hint="default" w:ascii="Times New Roman" w:hAnsi="Times New Roman" w:eastAsia="仿宋_GB2312" w:cs="Times New Roman"/>
          <w:color w:val="auto"/>
          <w:sz w:val="36"/>
          <w:szCs w:val="36"/>
          <w:u w:val="single"/>
        </w:rPr>
        <w:t xml:space="preserve"> </w:t>
      </w:r>
      <w:r>
        <w:rPr>
          <w:rFonts w:hint="eastAsia"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rPr>
        <w:t xml:space="preserve">  </w:t>
      </w:r>
      <w:r>
        <w:rPr>
          <w:rFonts w:hint="eastAsia"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rPr>
        <w:t xml:space="preserve">    </w:t>
      </w:r>
    </w:p>
    <w:p w14:paraId="457053CE">
      <w:pPr>
        <w:adjustRightInd w:val="0"/>
        <w:snapToGrid w:val="0"/>
        <w:spacing w:line="288" w:lineRule="auto"/>
        <w:jc w:val="center"/>
        <w:outlineLvl w:val="0"/>
        <w:rPr>
          <w:rFonts w:hint="default" w:ascii="Times New Roman" w:hAnsi="Times New Roman" w:eastAsia="华文仿宋" w:cs="Times New Roman"/>
          <w:color w:val="auto"/>
          <w:kern w:val="44"/>
          <w:sz w:val="44"/>
          <w:szCs w:val="44"/>
        </w:rPr>
      </w:pPr>
      <w:bookmarkStart w:id="0" w:name="_Hlk57884087"/>
    </w:p>
    <w:p w14:paraId="7462F3EB">
      <w:pPr>
        <w:adjustRightInd w:val="0"/>
        <w:snapToGrid w:val="0"/>
        <w:spacing w:line="288" w:lineRule="auto"/>
        <w:jc w:val="center"/>
        <w:outlineLvl w:val="0"/>
        <w:rPr>
          <w:rFonts w:hint="default" w:ascii="Times New Roman" w:hAnsi="Times New Roman" w:eastAsia="华文仿宋" w:cs="Times New Roman"/>
          <w:color w:val="auto"/>
          <w:kern w:val="44"/>
          <w:sz w:val="44"/>
          <w:szCs w:val="44"/>
        </w:rPr>
      </w:pPr>
    </w:p>
    <w:p w14:paraId="5794967C">
      <w:pPr>
        <w:adjustRightInd w:val="0"/>
        <w:snapToGrid w:val="0"/>
        <w:spacing w:line="288" w:lineRule="auto"/>
        <w:jc w:val="center"/>
        <w:outlineLvl w:val="0"/>
        <w:rPr>
          <w:rFonts w:hint="default" w:ascii="Times New Roman" w:hAnsi="Times New Roman" w:eastAsia="华文仿宋" w:cs="Times New Roman"/>
          <w:color w:val="auto"/>
          <w:kern w:val="44"/>
          <w:sz w:val="44"/>
          <w:szCs w:val="44"/>
        </w:rPr>
      </w:pPr>
    </w:p>
    <w:bookmarkEnd w:id="0"/>
    <w:p w14:paraId="38E93D96">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14:paraId="766F632B">
      <w:pPr>
        <w:adjustRightInd w:val="0"/>
        <w:snapToGrid w:val="0"/>
        <w:spacing w:line="288" w:lineRule="auto"/>
        <w:ind w:firstLine="1040"/>
        <w:rPr>
          <w:rFonts w:hint="default" w:ascii="Times New Roman" w:hAnsi="Times New Roman" w:eastAsia="仿宋_GB2312" w:cs="Times New Roman"/>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482FFCF0">
      <w:pPr>
        <w:pStyle w:val="2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59"/>
        <w:gridCol w:w="1723"/>
        <w:gridCol w:w="1637"/>
        <w:gridCol w:w="2212"/>
        <w:gridCol w:w="2639"/>
      </w:tblGrid>
      <w:tr w14:paraId="50576B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tcBorders>
              <w:tl2br w:val="nil"/>
              <w:tr2bl w:val="nil"/>
            </w:tcBorders>
            <w:noWrap w:val="0"/>
            <w:tcMar>
              <w:top w:w="16" w:type="dxa"/>
              <w:left w:w="16" w:type="dxa"/>
              <w:right w:w="16" w:type="dxa"/>
            </w:tcMar>
            <w:vAlign w:val="center"/>
          </w:tcPr>
          <w:p w14:paraId="4DE74E62">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建设项目名称</w:t>
            </w:r>
          </w:p>
        </w:tc>
        <w:tc>
          <w:tcPr>
            <w:tcW w:w="6488" w:type="dxa"/>
            <w:gridSpan w:val="3"/>
            <w:tcBorders>
              <w:tl2br w:val="nil"/>
              <w:tr2bl w:val="nil"/>
            </w:tcBorders>
            <w:noWrap w:val="0"/>
            <w:vAlign w:val="center"/>
          </w:tcPr>
          <w:p w14:paraId="43DFF5E9">
            <w:pPr>
              <w:adjustRightInd w:val="0"/>
              <w:snapToGrid w:val="0"/>
              <w:jc w:val="center"/>
              <w:rPr>
                <w:rFonts w:hint="default"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lang w:val="en-US" w:eastAsia="zh-CN"/>
              </w:rPr>
              <w:t>老一区熔炼中心熔铸生产线产能提升项目</w:t>
            </w:r>
          </w:p>
        </w:tc>
      </w:tr>
      <w:tr w14:paraId="134699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tcBorders>
              <w:tl2br w:val="nil"/>
              <w:tr2bl w:val="nil"/>
            </w:tcBorders>
            <w:noWrap w:val="0"/>
            <w:tcMar>
              <w:top w:w="16" w:type="dxa"/>
              <w:left w:w="16" w:type="dxa"/>
              <w:right w:w="16" w:type="dxa"/>
            </w:tcMar>
            <w:vAlign w:val="center"/>
          </w:tcPr>
          <w:p w14:paraId="75DE3AA7">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项目代码</w:t>
            </w:r>
          </w:p>
        </w:tc>
        <w:tc>
          <w:tcPr>
            <w:tcW w:w="6488" w:type="dxa"/>
            <w:gridSpan w:val="3"/>
            <w:tcBorders>
              <w:tl2br w:val="nil"/>
              <w:tr2bl w:val="nil"/>
            </w:tcBorders>
            <w:noWrap w:val="0"/>
            <w:vAlign w:val="center"/>
          </w:tcPr>
          <w:p w14:paraId="52419A15">
            <w:pPr>
              <w:adjustRightInd w:val="0"/>
              <w:snapToGrid w:val="0"/>
              <w:jc w:val="center"/>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2603</w:t>
            </w:r>
            <w:r>
              <w:rPr>
                <w:rFonts w:hint="eastAsia" w:ascii="Times New Roman" w:hAnsi="Times New Roman" w:eastAsia="宋体" w:cs="Times New Roman"/>
                <w:color w:val="auto"/>
                <w:sz w:val="26"/>
                <w:szCs w:val="26"/>
                <w:lang w:eastAsia="zh-CN"/>
              </w:rPr>
              <w:t>-500107-</w:t>
            </w:r>
            <w:r>
              <w:rPr>
                <w:rFonts w:hint="eastAsia" w:ascii="Times New Roman" w:hAnsi="Times New Roman" w:eastAsia="宋体" w:cs="Times New Roman"/>
                <w:color w:val="auto"/>
                <w:sz w:val="26"/>
                <w:szCs w:val="26"/>
                <w:lang w:val="en-US" w:eastAsia="zh-CN"/>
              </w:rPr>
              <w:t>04</w:t>
            </w:r>
            <w:r>
              <w:rPr>
                <w:rFonts w:hint="eastAsia" w:ascii="Times New Roman" w:hAnsi="Times New Roman" w:eastAsia="宋体" w:cs="Times New Roman"/>
                <w:color w:val="auto"/>
                <w:sz w:val="26"/>
                <w:szCs w:val="26"/>
                <w:lang w:eastAsia="zh-CN"/>
              </w:rPr>
              <w:t>-0</w:t>
            </w:r>
            <w:r>
              <w:rPr>
                <w:rFonts w:hint="eastAsia" w:ascii="Times New Roman" w:hAnsi="Times New Roman" w:eastAsia="宋体" w:cs="Times New Roman"/>
                <w:color w:val="auto"/>
                <w:sz w:val="26"/>
                <w:szCs w:val="26"/>
                <w:lang w:val="en-US" w:eastAsia="zh-CN"/>
              </w:rPr>
              <w:t>5</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333627</w:t>
            </w:r>
          </w:p>
        </w:tc>
      </w:tr>
      <w:tr w14:paraId="76F45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9" w:hRule="atLeast"/>
          <w:jc w:val="center"/>
        </w:trPr>
        <w:tc>
          <w:tcPr>
            <w:tcW w:w="2382" w:type="dxa"/>
            <w:gridSpan w:val="2"/>
            <w:tcBorders>
              <w:tl2br w:val="nil"/>
              <w:tr2bl w:val="nil"/>
            </w:tcBorders>
            <w:noWrap w:val="0"/>
            <w:tcMar>
              <w:top w:w="16" w:type="dxa"/>
              <w:left w:w="16" w:type="dxa"/>
              <w:right w:w="16" w:type="dxa"/>
            </w:tcMar>
            <w:vAlign w:val="center"/>
          </w:tcPr>
          <w:p w14:paraId="5F9150EE">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建设单位联系人</w:t>
            </w:r>
          </w:p>
        </w:tc>
        <w:tc>
          <w:tcPr>
            <w:tcW w:w="1637" w:type="dxa"/>
            <w:tcBorders>
              <w:tl2br w:val="nil"/>
              <w:tr2bl w:val="nil"/>
            </w:tcBorders>
            <w:noWrap w:val="0"/>
            <w:vAlign w:val="center"/>
          </w:tcPr>
          <w:p w14:paraId="26E06FF4">
            <w:pPr>
              <w:adjustRightInd w:val="0"/>
              <w:snapToGrid w:val="0"/>
              <w:jc w:val="center"/>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陶*</w:t>
            </w:r>
          </w:p>
        </w:tc>
        <w:tc>
          <w:tcPr>
            <w:tcW w:w="2212" w:type="dxa"/>
            <w:tcBorders>
              <w:tl2br w:val="nil"/>
              <w:tr2bl w:val="nil"/>
            </w:tcBorders>
            <w:noWrap w:val="0"/>
            <w:vAlign w:val="center"/>
          </w:tcPr>
          <w:p w14:paraId="5DB8E213">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联系方式</w:t>
            </w:r>
          </w:p>
        </w:tc>
        <w:tc>
          <w:tcPr>
            <w:tcW w:w="2639" w:type="dxa"/>
            <w:tcBorders>
              <w:tl2br w:val="nil"/>
              <w:tr2bl w:val="nil"/>
            </w:tcBorders>
            <w:noWrap w:val="0"/>
            <w:vAlign w:val="center"/>
          </w:tcPr>
          <w:p w14:paraId="34B1FB61">
            <w:pPr>
              <w:adjustRightInd w:val="0"/>
              <w:snapToGrid w:val="0"/>
              <w:jc w:val="center"/>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191</w:t>
            </w:r>
            <w:r>
              <w:rPr>
                <w:rFonts w:hint="eastAsia" w:cs="Times New Roman"/>
                <w:color w:val="auto"/>
                <w:sz w:val="26"/>
                <w:szCs w:val="26"/>
                <w:lang w:val="en-US" w:eastAsia="zh-CN"/>
              </w:rPr>
              <w:t>******</w:t>
            </w:r>
            <w:bookmarkStart w:id="14" w:name="_GoBack"/>
            <w:bookmarkEnd w:id="14"/>
            <w:r>
              <w:rPr>
                <w:rFonts w:hint="eastAsia" w:ascii="Times New Roman" w:hAnsi="Times New Roman" w:eastAsia="宋体" w:cs="Times New Roman"/>
                <w:color w:val="auto"/>
                <w:sz w:val="26"/>
                <w:szCs w:val="26"/>
                <w:lang w:val="en-US" w:eastAsia="zh-CN"/>
              </w:rPr>
              <w:t>85</w:t>
            </w:r>
          </w:p>
        </w:tc>
      </w:tr>
      <w:tr w14:paraId="0ACF0B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tcBorders>
              <w:tl2br w:val="nil"/>
              <w:tr2bl w:val="nil"/>
            </w:tcBorders>
            <w:noWrap w:val="0"/>
            <w:tcMar>
              <w:top w:w="16" w:type="dxa"/>
              <w:left w:w="16" w:type="dxa"/>
              <w:right w:w="16" w:type="dxa"/>
            </w:tcMar>
            <w:vAlign w:val="center"/>
          </w:tcPr>
          <w:p w14:paraId="3FE93D90">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建设地点</w:t>
            </w:r>
          </w:p>
        </w:tc>
        <w:tc>
          <w:tcPr>
            <w:tcW w:w="6488" w:type="dxa"/>
            <w:gridSpan w:val="3"/>
            <w:tcBorders>
              <w:tl2br w:val="nil"/>
              <w:tr2bl w:val="nil"/>
            </w:tcBorders>
            <w:noWrap w:val="0"/>
            <w:vAlign w:val="center"/>
          </w:tcPr>
          <w:p w14:paraId="61FD705B">
            <w:pPr>
              <w:adjustRightInd w:val="0"/>
              <w:snapToGrid w:val="0"/>
              <w:jc w:val="center"/>
              <w:rPr>
                <w:rFonts w:hint="default" w:ascii="Times New Roman" w:hAnsi="Times New Roman" w:eastAsia="宋体" w:cs="Times New Roman"/>
                <w:color w:val="auto"/>
                <w:sz w:val="26"/>
                <w:szCs w:val="26"/>
                <w:lang w:val="en-US" w:eastAsia="zh-CN"/>
              </w:rPr>
            </w:pPr>
            <w:r>
              <w:rPr>
                <w:rFonts w:hint="default" w:ascii="Times New Roman" w:hAnsi="Times New Roman" w:cs="Times New Roman"/>
                <w:color w:val="auto"/>
                <w:sz w:val="26"/>
                <w:szCs w:val="26"/>
                <w:u w:val="single"/>
              </w:rPr>
              <w:t xml:space="preserve">   / </w:t>
            </w:r>
            <w:r>
              <w:rPr>
                <w:rFonts w:hint="default" w:ascii="Times New Roman" w:hAnsi="Times New Roman" w:cs="Times New Roman"/>
                <w:color w:val="auto"/>
                <w:sz w:val="26"/>
                <w:szCs w:val="26"/>
              </w:rPr>
              <w:t>省（自治区）</w:t>
            </w:r>
            <w:r>
              <w:rPr>
                <w:rFonts w:hint="default" w:ascii="Times New Roman" w:hAnsi="Times New Roman" w:cs="Times New Roman"/>
                <w:color w:val="auto"/>
                <w:sz w:val="26"/>
                <w:szCs w:val="26"/>
                <w:u w:val="single"/>
              </w:rPr>
              <w:t xml:space="preserve"> 重庆 </w:t>
            </w:r>
            <w:r>
              <w:rPr>
                <w:rFonts w:hint="default" w:ascii="Times New Roman" w:hAnsi="Times New Roman" w:cs="Times New Roman"/>
                <w:color w:val="auto"/>
                <w:sz w:val="26"/>
                <w:szCs w:val="26"/>
              </w:rPr>
              <w:t>市</w:t>
            </w:r>
            <w:r>
              <w:rPr>
                <w:rFonts w:hint="default" w:ascii="Times New Roman" w:hAnsi="Times New Roman" w:cs="Times New Roman"/>
                <w:color w:val="auto"/>
                <w:sz w:val="26"/>
                <w:szCs w:val="26"/>
                <w:u w:val="single"/>
              </w:rPr>
              <w:t xml:space="preserve">  </w:t>
            </w:r>
            <w:r>
              <w:rPr>
                <w:rFonts w:hint="eastAsia" w:ascii="Times New Roman" w:hAnsi="Times New Roman" w:cs="Times New Roman"/>
                <w:color w:val="auto"/>
                <w:sz w:val="26"/>
                <w:szCs w:val="26"/>
                <w:u w:val="single"/>
                <w:lang w:val="en-US" w:eastAsia="zh-CN"/>
              </w:rPr>
              <w:t>九龙坡</w:t>
            </w:r>
            <w:r>
              <w:rPr>
                <w:rFonts w:hint="default" w:ascii="Times New Roman" w:hAnsi="Times New Roman" w:cs="Times New Roman"/>
                <w:color w:val="auto"/>
                <w:sz w:val="26"/>
                <w:szCs w:val="26"/>
                <w:u w:val="single"/>
              </w:rPr>
              <w:t xml:space="preserve"> </w:t>
            </w:r>
            <w:r>
              <w:rPr>
                <w:rFonts w:hint="default" w:ascii="Times New Roman" w:hAnsi="Times New Roman" w:cs="Times New Roman"/>
                <w:color w:val="auto"/>
                <w:sz w:val="26"/>
                <w:szCs w:val="26"/>
              </w:rPr>
              <w:t>县（区）</w:t>
            </w:r>
            <w:r>
              <w:rPr>
                <w:rFonts w:hint="default" w:ascii="Times New Roman" w:hAnsi="Times New Roman" w:cs="Times New Roman"/>
                <w:color w:val="auto"/>
                <w:sz w:val="26"/>
                <w:szCs w:val="26"/>
                <w:u w:val="single"/>
              </w:rPr>
              <w:t xml:space="preserve"> </w:t>
            </w:r>
            <w:r>
              <w:rPr>
                <w:rFonts w:hint="eastAsia" w:ascii="Times New Roman" w:hAnsi="Times New Roman" w:cs="Times New Roman"/>
                <w:color w:val="auto"/>
                <w:sz w:val="26"/>
                <w:szCs w:val="26"/>
                <w:u w:val="single"/>
                <w:lang w:val="en-US" w:eastAsia="zh-CN"/>
              </w:rPr>
              <w:t>西彭镇</w:t>
            </w:r>
            <w:r>
              <w:rPr>
                <w:rFonts w:hint="default" w:ascii="Times New Roman" w:hAnsi="Times New Roman" w:cs="Times New Roman"/>
                <w:color w:val="auto"/>
                <w:sz w:val="26"/>
                <w:szCs w:val="26"/>
                <w:u w:val="single"/>
              </w:rPr>
              <w:t xml:space="preserve"> </w:t>
            </w:r>
            <w:r>
              <w:rPr>
                <w:rFonts w:hint="default" w:ascii="Times New Roman" w:hAnsi="Times New Roman" w:cs="Times New Roman"/>
                <w:color w:val="auto"/>
                <w:sz w:val="26"/>
                <w:szCs w:val="26"/>
              </w:rPr>
              <w:t>乡（街道）</w:t>
            </w:r>
            <w:r>
              <w:rPr>
                <w:rFonts w:hint="eastAsia" w:ascii="Times New Roman" w:hAnsi="Times New Roman" w:eastAsia="宋体" w:cs="Times New Roman"/>
                <w:color w:val="auto"/>
                <w:sz w:val="26"/>
                <w:szCs w:val="26"/>
                <w:u w:val="single"/>
                <w:lang w:val="en-US" w:eastAsia="zh-CN"/>
              </w:rPr>
              <w:t>刘家湾23号</w:t>
            </w:r>
            <w:r>
              <w:rPr>
                <w:rFonts w:hint="default" w:ascii="Times New Roman" w:hAnsi="Times New Roman" w:eastAsia="宋体" w:cs="Times New Roman"/>
                <w:color w:val="auto"/>
                <w:sz w:val="26"/>
                <w:szCs w:val="26"/>
                <w:u w:val="single"/>
              </w:rPr>
              <w:t xml:space="preserve"> </w:t>
            </w:r>
          </w:p>
        </w:tc>
      </w:tr>
      <w:tr w14:paraId="772A4E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tcBorders>
              <w:tl2br w:val="nil"/>
              <w:tr2bl w:val="nil"/>
            </w:tcBorders>
            <w:noWrap w:val="0"/>
            <w:tcMar>
              <w:top w:w="16" w:type="dxa"/>
              <w:left w:w="16" w:type="dxa"/>
              <w:right w:w="16" w:type="dxa"/>
            </w:tcMar>
            <w:vAlign w:val="center"/>
          </w:tcPr>
          <w:p w14:paraId="159AB41C">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地理坐标</w:t>
            </w:r>
          </w:p>
        </w:tc>
        <w:tc>
          <w:tcPr>
            <w:tcW w:w="6488" w:type="dxa"/>
            <w:gridSpan w:val="3"/>
            <w:tcBorders>
              <w:tl2br w:val="nil"/>
              <w:tr2bl w:val="nil"/>
            </w:tcBorders>
            <w:noWrap w:val="0"/>
            <w:vAlign w:val="center"/>
          </w:tcPr>
          <w:p w14:paraId="2DCCDA03">
            <w:pPr>
              <w:jc w:val="center"/>
              <w:rPr>
                <w:rFonts w:hint="default" w:ascii="Times New Roman" w:hAnsi="Times New Roman" w:eastAsia="宋体" w:cs="Times New Roman"/>
                <w:color w:val="auto"/>
                <w:sz w:val="26"/>
                <w:szCs w:val="26"/>
              </w:rPr>
            </w:pPr>
            <w:r>
              <w:rPr>
                <w:rFonts w:hint="default" w:ascii="Times New Roman" w:hAnsi="Times New Roman" w:cs="Times New Roman"/>
                <w:color w:val="auto"/>
                <w:sz w:val="26"/>
                <w:szCs w:val="26"/>
              </w:rPr>
              <w:t>（</w:t>
            </w:r>
            <w:r>
              <w:rPr>
                <w:rFonts w:hint="default" w:ascii="Times New Roman" w:hAnsi="Times New Roman" w:cs="Times New Roman"/>
                <w:color w:val="auto"/>
                <w:sz w:val="26"/>
                <w:szCs w:val="26"/>
                <w:u w:val="single"/>
                <w:lang w:val="en-US" w:eastAsia="zh-CN"/>
              </w:rPr>
              <w:t>10</w:t>
            </w:r>
            <w:r>
              <w:rPr>
                <w:rFonts w:hint="eastAsia" w:ascii="Times New Roman" w:hAnsi="Times New Roman" w:cs="Times New Roman"/>
                <w:color w:val="auto"/>
                <w:sz w:val="26"/>
                <w:szCs w:val="26"/>
                <w:u w:val="single"/>
                <w:lang w:val="en-US" w:eastAsia="zh-CN"/>
              </w:rPr>
              <w:t>6</w:t>
            </w:r>
            <w:r>
              <w:rPr>
                <w:rFonts w:hint="default" w:ascii="Times New Roman" w:hAnsi="Times New Roman" w:cs="Times New Roman"/>
                <w:color w:val="auto"/>
                <w:sz w:val="26"/>
                <w:szCs w:val="26"/>
                <w:u w:val="single"/>
              </w:rPr>
              <w:t xml:space="preserve"> </w:t>
            </w:r>
            <w:r>
              <w:rPr>
                <w:rFonts w:hint="default" w:ascii="Times New Roman" w:hAnsi="Times New Roman" w:cs="Times New Roman"/>
                <w:color w:val="auto"/>
                <w:sz w:val="26"/>
                <w:szCs w:val="26"/>
              </w:rPr>
              <w:t>度</w:t>
            </w:r>
            <w:r>
              <w:rPr>
                <w:rFonts w:hint="default" w:ascii="Times New Roman" w:hAnsi="Times New Roman" w:cs="Times New Roman"/>
                <w:color w:val="auto"/>
                <w:sz w:val="26"/>
                <w:szCs w:val="26"/>
                <w:u w:val="single"/>
              </w:rPr>
              <w:t xml:space="preserve"> </w:t>
            </w:r>
            <w:r>
              <w:rPr>
                <w:rFonts w:hint="eastAsia" w:ascii="Times New Roman" w:hAnsi="Times New Roman" w:cs="Times New Roman"/>
                <w:color w:val="auto"/>
                <w:sz w:val="26"/>
                <w:szCs w:val="26"/>
                <w:u w:val="single"/>
                <w:lang w:val="en-US" w:eastAsia="zh-CN"/>
              </w:rPr>
              <w:t>19</w:t>
            </w:r>
            <w:r>
              <w:rPr>
                <w:rFonts w:hint="default" w:ascii="Times New Roman" w:hAnsi="Times New Roman" w:cs="Times New Roman"/>
                <w:color w:val="auto"/>
                <w:sz w:val="26"/>
                <w:szCs w:val="26"/>
                <w:u w:val="single"/>
              </w:rPr>
              <w:t xml:space="preserve"> </w:t>
            </w:r>
            <w:r>
              <w:rPr>
                <w:rFonts w:hint="default" w:ascii="Times New Roman" w:hAnsi="Times New Roman" w:cs="Times New Roman"/>
                <w:color w:val="auto"/>
                <w:sz w:val="26"/>
                <w:szCs w:val="26"/>
              </w:rPr>
              <w:t>分</w:t>
            </w:r>
            <w:r>
              <w:rPr>
                <w:rFonts w:hint="default" w:ascii="Times New Roman" w:hAnsi="Times New Roman" w:cs="Times New Roman"/>
                <w:color w:val="auto"/>
                <w:sz w:val="26"/>
                <w:szCs w:val="26"/>
                <w:u w:val="single"/>
              </w:rPr>
              <w:t xml:space="preserve"> </w:t>
            </w:r>
            <w:r>
              <w:rPr>
                <w:rFonts w:hint="eastAsia" w:ascii="Times New Roman" w:hAnsi="Times New Roman" w:cs="Times New Roman"/>
                <w:color w:val="auto"/>
                <w:sz w:val="26"/>
                <w:szCs w:val="26"/>
                <w:u w:val="single"/>
                <w:lang w:val="en-US" w:eastAsia="zh-CN"/>
              </w:rPr>
              <w:t>15.058</w:t>
            </w:r>
            <w:r>
              <w:rPr>
                <w:rFonts w:hint="default" w:ascii="Times New Roman" w:hAnsi="Times New Roman" w:cs="Times New Roman"/>
                <w:color w:val="auto"/>
                <w:sz w:val="26"/>
                <w:szCs w:val="26"/>
              </w:rPr>
              <w:t>秒，</w:t>
            </w:r>
            <w:r>
              <w:rPr>
                <w:rFonts w:hint="default" w:ascii="Times New Roman" w:hAnsi="Times New Roman" w:cs="Times New Roman"/>
                <w:color w:val="auto"/>
                <w:sz w:val="26"/>
                <w:szCs w:val="26"/>
                <w:u w:val="single"/>
              </w:rPr>
              <w:t xml:space="preserve"> </w:t>
            </w:r>
            <w:r>
              <w:rPr>
                <w:rFonts w:hint="eastAsia" w:ascii="Times New Roman" w:hAnsi="Times New Roman" w:cs="Times New Roman"/>
                <w:color w:val="auto"/>
                <w:sz w:val="26"/>
                <w:szCs w:val="26"/>
                <w:u w:val="single"/>
                <w:lang w:val="en-US" w:eastAsia="zh-CN"/>
              </w:rPr>
              <w:t>29</w:t>
            </w:r>
            <w:r>
              <w:rPr>
                <w:rFonts w:hint="default" w:ascii="Times New Roman" w:hAnsi="Times New Roman" w:cs="Times New Roman"/>
                <w:color w:val="auto"/>
                <w:sz w:val="26"/>
                <w:szCs w:val="26"/>
                <w:u w:val="single"/>
              </w:rPr>
              <w:t xml:space="preserve"> </w:t>
            </w:r>
            <w:r>
              <w:rPr>
                <w:rFonts w:hint="default" w:ascii="Times New Roman" w:hAnsi="Times New Roman" w:cs="Times New Roman"/>
                <w:color w:val="auto"/>
                <w:sz w:val="26"/>
                <w:szCs w:val="26"/>
              </w:rPr>
              <w:t>度</w:t>
            </w:r>
            <w:r>
              <w:rPr>
                <w:rFonts w:hint="default" w:ascii="Times New Roman" w:hAnsi="Times New Roman" w:cs="Times New Roman"/>
                <w:color w:val="auto"/>
                <w:sz w:val="26"/>
                <w:szCs w:val="26"/>
                <w:u w:val="single"/>
              </w:rPr>
              <w:t xml:space="preserve"> </w:t>
            </w:r>
            <w:r>
              <w:rPr>
                <w:rFonts w:hint="eastAsia" w:ascii="Times New Roman" w:hAnsi="Times New Roman" w:cs="Times New Roman"/>
                <w:color w:val="auto"/>
                <w:sz w:val="26"/>
                <w:szCs w:val="26"/>
                <w:u w:val="single"/>
                <w:lang w:val="en-US" w:eastAsia="zh-CN"/>
              </w:rPr>
              <w:t>18</w:t>
            </w:r>
            <w:r>
              <w:rPr>
                <w:rFonts w:hint="default" w:ascii="Times New Roman" w:hAnsi="Times New Roman" w:cs="Times New Roman"/>
                <w:color w:val="auto"/>
                <w:sz w:val="26"/>
                <w:szCs w:val="26"/>
                <w:u w:val="single"/>
              </w:rPr>
              <w:t xml:space="preserve"> </w:t>
            </w:r>
            <w:r>
              <w:rPr>
                <w:rFonts w:hint="default" w:ascii="Times New Roman" w:hAnsi="Times New Roman" w:cs="Times New Roman"/>
                <w:color w:val="auto"/>
                <w:sz w:val="26"/>
                <w:szCs w:val="26"/>
              </w:rPr>
              <w:t>分</w:t>
            </w:r>
            <w:r>
              <w:rPr>
                <w:rFonts w:hint="eastAsia" w:ascii="Times New Roman" w:hAnsi="Times New Roman" w:eastAsia="宋体" w:cs="Times New Roman"/>
                <w:color w:val="auto"/>
                <w:sz w:val="26"/>
                <w:szCs w:val="26"/>
                <w:u w:val="single"/>
                <w:lang w:val="en-US" w:eastAsia="zh-CN"/>
              </w:rPr>
              <w:t>57.626</w:t>
            </w:r>
            <w:r>
              <w:rPr>
                <w:rFonts w:hint="default" w:ascii="Times New Roman" w:hAnsi="Times New Roman" w:cs="Times New Roman"/>
                <w:color w:val="auto"/>
                <w:sz w:val="26"/>
                <w:szCs w:val="26"/>
              </w:rPr>
              <w:t>秒）</w:t>
            </w:r>
          </w:p>
        </w:tc>
      </w:tr>
      <w:tr w14:paraId="7F01F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gridSpan w:val="2"/>
            <w:tcBorders>
              <w:tl2br w:val="nil"/>
              <w:tr2bl w:val="nil"/>
            </w:tcBorders>
            <w:noWrap w:val="0"/>
            <w:tcMar>
              <w:top w:w="16" w:type="dxa"/>
              <w:left w:w="16" w:type="dxa"/>
              <w:right w:w="16" w:type="dxa"/>
            </w:tcMar>
            <w:vAlign w:val="center"/>
          </w:tcPr>
          <w:p w14:paraId="49488DB8">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国民经济</w:t>
            </w:r>
          </w:p>
          <w:p w14:paraId="478DE6FB">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行业类别</w:t>
            </w:r>
          </w:p>
        </w:tc>
        <w:tc>
          <w:tcPr>
            <w:tcW w:w="1637" w:type="dxa"/>
            <w:tcBorders>
              <w:tl2br w:val="nil"/>
              <w:tr2bl w:val="nil"/>
            </w:tcBorders>
            <w:noWrap w:val="0"/>
            <w:vAlign w:val="center"/>
          </w:tcPr>
          <w:p w14:paraId="1EB99D1B">
            <w:pPr>
              <w:keepNext w:val="0"/>
              <w:keepLines w:val="0"/>
              <w:widowControl/>
              <w:suppressLineNumbers w:val="0"/>
              <w:jc w:val="left"/>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C3240 有色金属合金制造及C3392 有色金属铸造</w:t>
            </w:r>
          </w:p>
        </w:tc>
        <w:tc>
          <w:tcPr>
            <w:tcW w:w="2212" w:type="dxa"/>
            <w:tcBorders>
              <w:tl2br w:val="nil"/>
              <w:tr2bl w:val="nil"/>
            </w:tcBorders>
            <w:noWrap w:val="0"/>
            <w:vAlign w:val="center"/>
          </w:tcPr>
          <w:p w14:paraId="18834CEA">
            <w:pPr>
              <w:adjustRightInd w:val="0"/>
              <w:snapToGrid w:val="0"/>
              <w:jc w:val="center"/>
              <w:rPr>
                <w:rFonts w:hint="default" w:ascii="Times New Roman" w:hAnsi="Times New Roman" w:eastAsia="宋体" w:cs="Times New Roman"/>
                <w:color w:val="auto"/>
                <w:sz w:val="26"/>
                <w:szCs w:val="26"/>
              </w:rPr>
            </w:pPr>
            <w:bookmarkStart w:id="1" w:name="_Hlk49843745"/>
            <w:r>
              <w:rPr>
                <w:rFonts w:hint="default" w:ascii="Times New Roman" w:hAnsi="Times New Roman" w:eastAsia="宋体" w:cs="Times New Roman"/>
                <w:color w:val="auto"/>
                <w:sz w:val="26"/>
                <w:szCs w:val="26"/>
              </w:rPr>
              <w:t>建设项目</w:t>
            </w:r>
          </w:p>
          <w:p w14:paraId="39E576EE">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行业类别</w:t>
            </w:r>
            <w:bookmarkEnd w:id="1"/>
          </w:p>
        </w:tc>
        <w:tc>
          <w:tcPr>
            <w:tcW w:w="2639" w:type="dxa"/>
            <w:tcBorders>
              <w:tl2br w:val="nil"/>
              <w:tr2bl w:val="nil"/>
            </w:tcBorders>
            <w:noWrap w:val="0"/>
            <w:vAlign w:val="center"/>
          </w:tcPr>
          <w:p w14:paraId="6ADF1C6C">
            <w:pPr>
              <w:keepNext w:val="0"/>
              <w:keepLines w:val="0"/>
              <w:widowControl/>
              <w:suppressLineNumbers w:val="0"/>
              <w:jc w:val="left"/>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 xml:space="preserve">64有色金属合金制造68 铸造及其他金属制品制造 </w:t>
            </w:r>
          </w:p>
        </w:tc>
      </w:tr>
      <w:tr w14:paraId="3D9D61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382" w:type="dxa"/>
            <w:gridSpan w:val="2"/>
            <w:tcBorders>
              <w:tl2br w:val="nil"/>
              <w:tr2bl w:val="nil"/>
            </w:tcBorders>
            <w:noWrap w:val="0"/>
            <w:tcMar>
              <w:top w:w="16" w:type="dxa"/>
              <w:left w:w="16" w:type="dxa"/>
              <w:right w:w="16" w:type="dxa"/>
            </w:tcMar>
            <w:vAlign w:val="center"/>
          </w:tcPr>
          <w:p w14:paraId="7ADF8DF7">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建设性质</w:t>
            </w:r>
          </w:p>
        </w:tc>
        <w:tc>
          <w:tcPr>
            <w:tcW w:w="1637" w:type="dxa"/>
            <w:tcBorders>
              <w:tl2br w:val="nil"/>
              <w:tr2bl w:val="nil"/>
            </w:tcBorders>
            <w:noWrap w:val="0"/>
            <w:vAlign w:val="center"/>
          </w:tcPr>
          <w:p w14:paraId="6759EE9C">
            <w:pPr>
              <w:adjustRightInd w:val="0"/>
              <w:snapToGrid w:val="0"/>
              <w:jc w:val="both"/>
              <w:rPr>
                <w:rFonts w:hint="default"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新建（迁建）</w:t>
            </w:r>
          </w:p>
          <w:p w14:paraId="7A8DE6A1">
            <w:pPr>
              <w:adjustRightInd w:val="0"/>
              <w:snapToGrid w:val="0"/>
              <w:jc w:val="both"/>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sym w:font="Wingdings 2" w:char="00A3"/>
            </w:r>
            <w:r>
              <w:rPr>
                <w:rFonts w:hint="default" w:ascii="Times New Roman" w:hAnsi="Times New Roman" w:eastAsia="宋体" w:cs="Times New Roman"/>
                <w:color w:val="auto"/>
                <w:sz w:val="26"/>
                <w:szCs w:val="26"/>
                <w:highlight w:val="none"/>
              </w:rPr>
              <w:t>改建</w:t>
            </w:r>
          </w:p>
          <w:p w14:paraId="0FE3849B">
            <w:pPr>
              <w:adjustRightInd w:val="0"/>
              <w:snapToGrid w:val="0"/>
              <w:jc w:val="both"/>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sym w:font="Wingdings 2" w:char="0052"/>
            </w:r>
            <w:r>
              <w:rPr>
                <w:rFonts w:hint="default" w:ascii="Times New Roman" w:hAnsi="Times New Roman" w:eastAsia="宋体" w:cs="Times New Roman"/>
                <w:color w:val="auto"/>
                <w:sz w:val="26"/>
                <w:szCs w:val="26"/>
                <w:highlight w:val="none"/>
              </w:rPr>
              <w:t>扩建</w:t>
            </w:r>
          </w:p>
          <w:p w14:paraId="2482F173">
            <w:pPr>
              <w:adjustRightInd w:val="0"/>
              <w:snapToGrid w:val="0"/>
              <w:jc w:val="both"/>
              <w:rPr>
                <w:rFonts w:hint="default"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技术改造</w:t>
            </w:r>
          </w:p>
        </w:tc>
        <w:tc>
          <w:tcPr>
            <w:tcW w:w="2212" w:type="dxa"/>
            <w:tcBorders>
              <w:tl2br w:val="nil"/>
              <w:tr2bl w:val="nil"/>
            </w:tcBorders>
            <w:noWrap w:val="0"/>
            <w:vAlign w:val="center"/>
          </w:tcPr>
          <w:p w14:paraId="52BAFA0D">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建设项目</w:t>
            </w:r>
          </w:p>
          <w:p w14:paraId="383C23EF">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申报情形</w:t>
            </w:r>
          </w:p>
        </w:tc>
        <w:tc>
          <w:tcPr>
            <w:tcW w:w="2639" w:type="dxa"/>
            <w:tcBorders>
              <w:tl2br w:val="nil"/>
              <w:tr2bl w:val="nil"/>
            </w:tcBorders>
            <w:noWrap w:val="0"/>
            <w:vAlign w:val="center"/>
          </w:tcPr>
          <w:p w14:paraId="55C4A3F6">
            <w:pPr>
              <w:adjustRightInd w:val="0"/>
              <w:snapToGrid w:val="0"/>
              <w:jc w:val="both"/>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sym w:font="Wingdings 2" w:char="0052"/>
            </w:r>
            <w:r>
              <w:rPr>
                <w:rFonts w:hint="default" w:ascii="Times New Roman" w:hAnsi="Times New Roman" w:eastAsia="宋体" w:cs="Times New Roman"/>
                <w:color w:val="auto"/>
                <w:sz w:val="26"/>
                <w:szCs w:val="26"/>
              </w:rPr>
              <w:t xml:space="preserve">首次申报项目             </w:t>
            </w:r>
          </w:p>
          <w:p w14:paraId="6E923229">
            <w:pPr>
              <w:adjustRightInd w:val="0"/>
              <w:snapToGrid w:val="0"/>
              <w:jc w:val="both"/>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sym w:font="Wingdings 2" w:char="00A3"/>
            </w:r>
            <w:r>
              <w:rPr>
                <w:rFonts w:hint="default" w:ascii="Times New Roman" w:hAnsi="Times New Roman" w:eastAsia="宋体" w:cs="Times New Roman"/>
                <w:color w:val="auto"/>
                <w:sz w:val="26"/>
                <w:szCs w:val="26"/>
              </w:rPr>
              <w:t>不予批准后再次申报项目</w:t>
            </w:r>
          </w:p>
          <w:p w14:paraId="7B141FFB">
            <w:pPr>
              <w:adjustRightInd w:val="0"/>
              <w:snapToGrid w:val="0"/>
              <w:jc w:val="both"/>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sym w:font="Wingdings 2" w:char="00A3"/>
            </w:r>
            <w:r>
              <w:rPr>
                <w:rFonts w:hint="default" w:ascii="Times New Roman" w:hAnsi="Times New Roman" w:eastAsia="宋体" w:cs="Times New Roman"/>
                <w:color w:val="auto"/>
                <w:sz w:val="26"/>
                <w:szCs w:val="26"/>
              </w:rPr>
              <w:t xml:space="preserve">超五年重新审核项目     </w:t>
            </w:r>
          </w:p>
          <w:p w14:paraId="71AE7E9E">
            <w:pPr>
              <w:adjustRightInd w:val="0"/>
              <w:snapToGrid w:val="0"/>
              <w:jc w:val="both"/>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sym w:font="Wingdings 2" w:char="00A3"/>
            </w:r>
            <w:r>
              <w:rPr>
                <w:rFonts w:hint="default" w:ascii="Times New Roman" w:hAnsi="Times New Roman" w:eastAsia="宋体" w:cs="Times New Roman"/>
                <w:color w:val="auto"/>
                <w:sz w:val="26"/>
                <w:szCs w:val="26"/>
              </w:rPr>
              <w:t>重大变动重新报批项目</w:t>
            </w:r>
          </w:p>
        </w:tc>
      </w:tr>
      <w:tr w14:paraId="356327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gridSpan w:val="2"/>
            <w:tcBorders>
              <w:tl2br w:val="nil"/>
              <w:tr2bl w:val="nil"/>
            </w:tcBorders>
            <w:noWrap w:val="0"/>
            <w:tcMar>
              <w:top w:w="16" w:type="dxa"/>
              <w:left w:w="16" w:type="dxa"/>
              <w:right w:w="16" w:type="dxa"/>
            </w:tcMar>
            <w:vAlign w:val="center"/>
          </w:tcPr>
          <w:p w14:paraId="2F922981">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项目审批（核准/</w:t>
            </w:r>
          </w:p>
          <w:p w14:paraId="2830009E">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备案）部门（选填）</w:t>
            </w:r>
          </w:p>
        </w:tc>
        <w:tc>
          <w:tcPr>
            <w:tcW w:w="1637" w:type="dxa"/>
            <w:tcBorders>
              <w:tl2br w:val="nil"/>
              <w:tr2bl w:val="nil"/>
            </w:tcBorders>
            <w:noWrap w:val="0"/>
            <w:vAlign w:val="center"/>
          </w:tcPr>
          <w:p w14:paraId="58D6563E">
            <w:pPr>
              <w:adjustRightInd w:val="0"/>
              <w:snapToGrid w:val="0"/>
              <w:jc w:val="center"/>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eastAsia="zh-CN"/>
              </w:rPr>
              <w:t>重庆市九龙坡区发展和改革委员会</w:t>
            </w:r>
          </w:p>
        </w:tc>
        <w:tc>
          <w:tcPr>
            <w:tcW w:w="2212" w:type="dxa"/>
            <w:tcBorders>
              <w:tl2br w:val="nil"/>
              <w:tr2bl w:val="nil"/>
            </w:tcBorders>
            <w:noWrap w:val="0"/>
            <w:vAlign w:val="center"/>
          </w:tcPr>
          <w:p w14:paraId="7E95834F">
            <w:pPr>
              <w:adjustRightInd w:val="0"/>
              <w:snapToGrid w:val="0"/>
              <w:jc w:val="center"/>
              <w:rPr>
                <w:rFonts w:hint="default" w:ascii="Times New Roman" w:hAnsi="Times New Roman" w:cs="Times New Roman"/>
                <w:color w:val="auto"/>
                <w:sz w:val="26"/>
                <w:szCs w:val="26"/>
              </w:rPr>
            </w:pPr>
            <w:r>
              <w:rPr>
                <w:rFonts w:hint="default" w:ascii="Times New Roman" w:hAnsi="Times New Roman" w:cs="Times New Roman"/>
                <w:color w:val="auto"/>
                <w:sz w:val="26"/>
                <w:szCs w:val="26"/>
              </w:rPr>
              <w:t>项目审批（核准/</w:t>
            </w:r>
          </w:p>
          <w:p w14:paraId="6537A0C9">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cs="Times New Roman"/>
                <w:color w:val="auto"/>
                <w:sz w:val="26"/>
                <w:szCs w:val="26"/>
              </w:rPr>
              <w:t>备案）文号（选填）</w:t>
            </w:r>
          </w:p>
        </w:tc>
        <w:tc>
          <w:tcPr>
            <w:tcW w:w="2639" w:type="dxa"/>
            <w:tcBorders>
              <w:tl2br w:val="nil"/>
              <w:tr2bl w:val="nil"/>
            </w:tcBorders>
            <w:noWrap w:val="0"/>
            <w:vAlign w:val="center"/>
          </w:tcPr>
          <w:p w14:paraId="42580BF3">
            <w:pPr>
              <w:adjustRightInd w:val="0"/>
              <w:snapToGrid w:val="0"/>
              <w:jc w:val="center"/>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2603</w:t>
            </w:r>
            <w:r>
              <w:rPr>
                <w:rFonts w:hint="eastAsia" w:ascii="Times New Roman" w:hAnsi="Times New Roman" w:eastAsia="宋体" w:cs="Times New Roman"/>
                <w:color w:val="auto"/>
                <w:sz w:val="26"/>
                <w:szCs w:val="26"/>
                <w:lang w:eastAsia="zh-CN"/>
              </w:rPr>
              <w:t>-500107-</w:t>
            </w:r>
            <w:r>
              <w:rPr>
                <w:rFonts w:hint="eastAsia" w:ascii="Times New Roman" w:hAnsi="Times New Roman" w:eastAsia="宋体" w:cs="Times New Roman"/>
                <w:color w:val="auto"/>
                <w:sz w:val="26"/>
                <w:szCs w:val="26"/>
                <w:lang w:val="en-US" w:eastAsia="zh-CN"/>
              </w:rPr>
              <w:t>04</w:t>
            </w:r>
            <w:r>
              <w:rPr>
                <w:rFonts w:hint="eastAsia" w:ascii="Times New Roman" w:hAnsi="Times New Roman" w:eastAsia="宋体" w:cs="Times New Roman"/>
                <w:color w:val="auto"/>
                <w:sz w:val="26"/>
                <w:szCs w:val="26"/>
                <w:lang w:eastAsia="zh-CN"/>
              </w:rPr>
              <w:t>-0</w:t>
            </w:r>
            <w:r>
              <w:rPr>
                <w:rFonts w:hint="eastAsia" w:ascii="Times New Roman" w:hAnsi="Times New Roman" w:eastAsia="宋体" w:cs="Times New Roman"/>
                <w:color w:val="auto"/>
                <w:sz w:val="26"/>
                <w:szCs w:val="26"/>
                <w:lang w:val="en-US" w:eastAsia="zh-CN"/>
              </w:rPr>
              <w:t>5</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333627</w:t>
            </w:r>
          </w:p>
        </w:tc>
      </w:tr>
      <w:tr w14:paraId="58A810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tcBorders>
              <w:tl2br w:val="nil"/>
              <w:tr2bl w:val="nil"/>
            </w:tcBorders>
            <w:noWrap w:val="0"/>
            <w:tcMar>
              <w:top w:w="16" w:type="dxa"/>
              <w:left w:w="16" w:type="dxa"/>
              <w:right w:w="16" w:type="dxa"/>
            </w:tcMar>
            <w:vAlign w:val="center"/>
          </w:tcPr>
          <w:p w14:paraId="498F60FA">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总投资（万元）</w:t>
            </w:r>
          </w:p>
        </w:tc>
        <w:tc>
          <w:tcPr>
            <w:tcW w:w="1637" w:type="dxa"/>
            <w:tcBorders>
              <w:tl2br w:val="nil"/>
              <w:tr2bl w:val="nil"/>
            </w:tcBorders>
            <w:noWrap w:val="0"/>
            <w:vAlign w:val="center"/>
          </w:tcPr>
          <w:p w14:paraId="0477905F">
            <w:pPr>
              <w:adjustRightInd w:val="0"/>
              <w:snapToGrid w:val="0"/>
              <w:jc w:val="center"/>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150</w:t>
            </w:r>
          </w:p>
        </w:tc>
        <w:tc>
          <w:tcPr>
            <w:tcW w:w="2212" w:type="dxa"/>
            <w:tcBorders>
              <w:tl2br w:val="nil"/>
              <w:tr2bl w:val="nil"/>
            </w:tcBorders>
            <w:noWrap w:val="0"/>
            <w:tcMar>
              <w:top w:w="16" w:type="dxa"/>
              <w:left w:w="16" w:type="dxa"/>
              <w:right w:w="16" w:type="dxa"/>
            </w:tcMar>
            <w:vAlign w:val="center"/>
          </w:tcPr>
          <w:p w14:paraId="1FAFB6C4">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环保投资（万元）</w:t>
            </w:r>
          </w:p>
        </w:tc>
        <w:tc>
          <w:tcPr>
            <w:tcW w:w="2639" w:type="dxa"/>
            <w:tcBorders>
              <w:tl2br w:val="nil"/>
              <w:tr2bl w:val="nil"/>
            </w:tcBorders>
            <w:noWrap w:val="0"/>
            <w:vAlign w:val="center"/>
          </w:tcPr>
          <w:p w14:paraId="228ED1DE">
            <w:pPr>
              <w:adjustRightInd w:val="0"/>
              <w:snapToGrid w:val="0"/>
              <w:jc w:val="center"/>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5</w:t>
            </w:r>
          </w:p>
        </w:tc>
      </w:tr>
      <w:tr w14:paraId="244C2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tcBorders>
              <w:tl2br w:val="nil"/>
              <w:tr2bl w:val="nil"/>
            </w:tcBorders>
            <w:noWrap w:val="0"/>
            <w:tcMar>
              <w:top w:w="16" w:type="dxa"/>
              <w:left w:w="16" w:type="dxa"/>
              <w:right w:w="16" w:type="dxa"/>
            </w:tcMar>
            <w:vAlign w:val="center"/>
          </w:tcPr>
          <w:p w14:paraId="40F7EC44">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环保投资占比（%）</w:t>
            </w:r>
          </w:p>
        </w:tc>
        <w:tc>
          <w:tcPr>
            <w:tcW w:w="1637" w:type="dxa"/>
            <w:tcBorders>
              <w:tl2br w:val="nil"/>
              <w:tr2bl w:val="nil"/>
            </w:tcBorders>
            <w:noWrap w:val="0"/>
            <w:vAlign w:val="center"/>
          </w:tcPr>
          <w:p w14:paraId="655EA9DC">
            <w:pPr>
              <w:adjustRightInd w:val="0"/>
              <w:snapToGrid w:val="0"/>
              <w:jc w:val="center"/>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3.3%</w:t>
            </w:r>
          </w:p>
        </w:tc>
        <w:tc>
          <w:tcPr>
            <w:tcW w:w="2212" w:type="dxa"/>
            <w:tcBorders>
              <w:tl2br w:val="nil"/>
              <w:tr2bl w:val="nil"/>
            </w:tcBorders>
            <w:noWrap w:val="0"/>
            <w:tcMar>
              <w:top w:w="16" w:type="dxa"/>
              <w:left w:w="16" w:type="dxa"/>
              <w:right w:w="16" w:type="dxa"/>
            </w:tcMar>
            <w:vAlign w:val="center"/>
          </w:tcPr>
          <w:p w14:paraId="3D1AC7D3">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施工工期</w:t>
            </w:r>
          </w:p>
        </w:tc>
        <w:tc>
          <w:tcPr>
            <w:tcW w:w="2639" w:type="dxa"/>
            <w:tcBorders>
              <w:tl2br w:val="nil"/>
              <w:tr2bl w:val="nil"/>
            </w:tcBorders>
            <w:noWrap w:val="0"/>
            <w:vAlign w:val="center"/>
          </w:tcPr>
          <w:p w14:paraId="12A84D3A">
            <w:pPr>
              <w:adjustRightInd w:val="0"/>
              <w:snapToGrid w:val="0"/>
              <w:jc w:val="center"/>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9个月</w:t>
            </w:r>
          </w:p>
        </w:tc>
      </w:tr>
      <w:tr w14:paraId="62CBB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tcBorders>
              <w:tl2br w:val="nil"/>
              <w:tr2bl w:val="nil"/>
            </w:tcBorders>
            <w:noWrap w:val="0"/>
            <w:tcMar>
              <w:top w:w="16" w:type="dxa"/>
              <w:left w:w="16" w:type="dxa"/>
              <w:right w:w="16" w:type="dxa"/>
            </w:tcMar>
            <w:vAlign w:val="center"/>
          </w:tcPr>
          <w:p w14:paraId="1EEA26A7">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是否开工建设</w:t>
            </w:r>
          </w:p>
        </w:tc>
        <w:tc>
          <w:tcPr>
            <w:tcW w:w="1637" w:type="dxa"/>
            <w:tcBorders>
              <w:tl2br w:val="nil"/>
              <w:tr2bl w:val="nil"/>
            </w:tcBorders>
            <w:noWrap w:val="0"/>
            <w:vAlign w:val="center"/>
          </w:tcPr>
          <w:p w14:paraId="67556B9B">
            <w:pPr>
              <w:adjustRightInd w:val="0"/>
              <w:snapToGrid w:val="0"/>
              <w:jc w:val="both"/>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sym w:font="Wingdings 2" w:char="0052"/>
            </w:r>
            <w:r>
              <w:rPr>
                <w:rFonts w:hint="default" w:ascii="Times New Roman" w:hAnsi="Times New Roman" w:eastAsia="宋体" w:cs="Times New Roman"/>
                <w:color w:val="auto"/>
                <w:sz w:val="26"/>
                <w:szCs w:val="26"/>
              </w:rPr>
              <w:t>否</w:t>
            </w:r>
          </w:p>
          <w:p w14:paraId="2B6EBF1D">
            <w:pPr>
              <w:adjustRightInd w:val="0"/>
              <w:snapToGrid w:val="0"/>
              <w:jc w:val="both"/>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sym w:font="Wingdings 2" w:char="00A3"/>
            </w:r>
            <w:r>
              <w:rPr>
                <w:rFonts w:hint="default" w:ascii="Times New Roman" w:hAnsi="Times New Roman" w:eastAsia="宋体" w:cs="Times New Roman"/>
                <w:color w:val="auto"/>
                <w:sz w:val="26"/>
                <w:szCs w:val="26"/>
              </w:rPr>
              <w:t>是：</w:t>
            </w:r>
          </w:p>
        </w:tc>
        <w:tc>
          <w:tcPr>
            <w:tcW w:w="2212" w:type="dxa"/>
            <w:tcBorders>
              <w:tl2br w:val="nil"/>
              <w:tr2bl w:val="nil"/>
            </w:tcBorders>
            <w:noWrap w:val="0"/>
            <w:tcMar>
              <w:top w:w="16" w:type="dxa"/>
              <w:left w:w="16" w:type="dxa"/>
              <w:right w:w="16" w:type="dxa"/>
            </w:tcMar>
            <w:vAlign w:val="center"/>
          </w:tcPr>
          <w:p w14:paraId="2F811AC3">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用地</w:t>
            </w:r>
          </w:p>
          <w:p w14:paraId="50EB81F9">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面积（m</w:t>
            </w:r>
            <w:r>
              <w:rPr>
                <w:rFonts w:hint="default" w:ascii="Times New Roman" w:hAnsi="Times New Roman" w:eastAsia="宋体" w:cs="Times New Roman"/>
                <w:color w:val="auto"/>
                <w:sz w:val="26"/>
                <w:szCs w:val="26"/>
                <w:vertAlign w:val="superscript"/>
              </w:rPr>
              <w:t>2</w:t>
            </w:r>
            <w:r>
              <w:rPr>
                <w:rFonts w:hint="default" w:ascii="Times New Roman" w:hAnsi="Times New Roman" w:eastAsia="宋体" w:cs="Times New Roman"/>
                <w:color w:val="auto"/>
                <w:sz w:val="26"/>
                <w:szCs w:val="26"/>
              </w:rPr>
              <w:t>）</w:t>
            </w:r>
          </w:p>
        </w:tc>
        <w:tc>
          <w:tcPr>
            <w:tcW w:w="2639" w:type="dxa"/>
            <w:tcBorders>
              <w:tl2br w:val="nil"/>
              <w:tr2bl w:val="nil"/>
            </w:tcBorders>
            <w:noWrap w:val="0"/>
            <w:vAlign w:val="center"/>
          </w:tcPr>
          <w:p w14:paraId="2C2C6171">
            <w:pPr>
              <w:keepNext w:val="0"/>
              <w:keepLines w:val="0"/>
              <w:widowControl/>
              <w:suppressLineNumbers w:val="0"/>
              <w:jc w:val="left"/>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/（不新增用地，现有厂区占地面积</w:t>
            </w:r>
            <w:r>
              <w:rPr>
                <w:rFonts w:hint="default" w:ascii="Times New Roman" w:hAnsi="Times New Roman" w:eastAsia="宋体" w:cs="Times New Roman"/>
                <w:color w:val="auto"/>
                <w:sz w:val="26"/>
                <w:szCs w:val="26"/>
                <w:lang w:val="en-US" w:eastAsia="zh-CN"/>
              </w:rPr>
              <w:t>35423.6m</w:t>
            </w:r>
            <w:r>
              <w:rPr>
                <w:rFonts w:hint="default" w:ascii="Times New Roman" w:hAnsi="Times New Roman" w:eastAsia="宋体" w:cs="Times New Roman"/>
                <w:color w:val="auto"/>
                <w:sz w:val="26"/>
                <w:szCs w:val="26"/>
                <w:vertAlign w:val="superscript"/>
                <w:lang w:val="en-US" w:eastAsia="zh-CN"/>
              </w:rPr>
              <w:t>2</w:t>
            </w:r>
            <w:r>
              <w:rPr>
                <w:rFonts w:hint="eastAsia" w:ascii="Times New Roman" w:hAnsi="Times New Roman" w:eastAsia="宋体" w:cs="Times New Roman"/>
                <w:color w:val="auto"/>
                <w:sz w:val="26"/>
                <w:szCs w:val="26"/>
                <w:lang w:val="en-US" w:eastAsia="zh-CN"/>
              </w:rPr>
              <w:t>）</w:t>
            </w:r>
          </w:p>
        </w:tc>
      </w:tr>
      <w:tr w14:paraId="7F050C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382" w:type="dxa"/>
            <w:gridSpan w:val="2"/>
            <w:tcBorders>
              <w:tl2br w:val="nil"/>
              <w:tr2bl w:val="nil"/>
            </w:tcBorders>
            <w:noWrap w:val="0"/>
            <w:vAlign w:val="center"/>
          </w:tcPr>
          <w:p w14:paraId="6CB52903">
            <w:pPr>
              <w:adjustRightInd w:val="0"/>
              <w:snapToGrid w:val="0"/>
              <w:jc w:val="center"/>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专项评价设置情况</w:t>
            </w:r>
          </w:p>
        </w:tc>
        <w:tc>
          <w:tcPr>
            <w:tcW w:w="6488" w:type="dxa"/>
            <w:gridSpan w:val="3"/>
            <w:tcBorders>
              <w:tl2br w:val="nil"/>
              <w:tr2bl w:val="nil"/>
            </w:tcBorders>
            <w:noWrap w:val="0"/>
            <w:vAlign w:val="center"/>
          </w:tcPr>
          <w:p w14:paraId="5B0718BF">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专项评价设置情况见表1。根据下表分析，</w:t>
            </w:r>
            <w:r>
              <w:rPr>
                <w:rFonts w:hint="eastAsia" w:ascii="Times New Roman" w:hAnsi="Times New Roman" w:eastAsia="宋体" w:cs="Times New Roman"/>
                <w:color w:val="auto"/>
                <w:sz w:val="26"/>
                <w:szCs w:val="26"/>
                <w:lang w:val="en-US" w:eastAsia="zh-CN"/>
              </w:rPr>
              <w:t>本项目不设置专项评价</w:t>
            </w:r>
            <w:r>
              <w:rPr>
                <w:rFonts w:hint="default" w:ascii="Times New Roman" w:hAnsi="Times New Roman" w:eastAsia="宋体" w:cs="Times New Roman"/>
                <w:color w:val="auto"/>
                <w:sz w:val="26"/>
                <w:szCs w:val="26"/>
              </w:rPr>
              <w:t>。</w:t>
            </w:r>
          </w:p>
          <w:p w14:paraId="713B862F">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b/>
                <w:bCs/>
                <w:color w:val="auto"/>
                <w:sz w:val="26"/>
                <w:szCs w:val="26"/>
              </w:rPr>
            </w:pPr>
            <w:bookmarkStart w:id="2" w:name="_Ref135302100"/>
            <w:r>
              <w:rPr>
                <w:rFonts w:hint="default" w:ascii="Times New Roman" w:hAnsi="Times New Roman" w:eastAsia="宋体" w:cs="Times New Roman"/>
                <w:b/>
                <w:bCs/>
                <w:color w:val="auto"/>
                <w:sz w:val="26"/>
                <w:szCs w:val="26"/>
              </w:rPr>
              <w:t>表1</w:t>
            </w:r>
            <w:bookmarkEnd w:id="2"/>
            <w:r>
              <w:rPr>
                <w:rFonts w:hint="eastAsia" w:ascii="Times New Roman" w:hAnsi="Times New Roman" w:eastAsia="宋体" w:cs="Times New Roman"/>
                <w:b/>
                <w:bCs/>
                <w:color w:val="auto"/>
                <w:sz w:val="26"/>
                <w:szCs w:val="26"/>
                <w:lang w:val="en-US" w:eastAsia="zh-CN"/>
              </w:rPr>
              <w:t xml:space="preserve">  </w:t>
            </w:r>
            <w:r>
              <w:rPr>
                <w:rFonts w:hint="default" w:ascii="Times New Roman" w:hAnsi="Times New Roman" w:eastAsia="宋体" w:cs="Times New Roman"/>
                <w:b/>
                <w:bCs/>
                <w:color w:val="auto"/>
                <w:sz w:val="26"/>
                <w:szCs w:val="26"/>
              </w:rPr>
              <w:t>专项评价设置原则表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8"/>
              <w:gridCol w:w="2280"/>
              <w:gridCol w:w="2317"/>
              <w:gridCol w:w="678"/>
            </w:tblGrid>
            <w:tr w14:paraId="00E825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noWrap w:val="0"/>
                  <w:vAlign w:val="center"/>
                </w:tcPr>
                <w:p w14:paraId="20432E68">
                  <w:pPr>
                    <w:bidi w:val="0"/>
                    <w:rPr>
                      <w:rFonts w:hint="default"/>
                      <w:color w:val="auto"/>
                      <w:sz w:val="22"/>
                      <w:szCs w:val="22"/>
                    </w:rPr>
                  </w:pPr>
                  <w:r>
                    <w:rPr>
                      <w:rFonts w:hint="default"/>
                      <w:color w:val="auto"/>
                      <w:sz w:val="22"/>
                      <w:szCs w:val="22"/>
                    </w:rPr>
                    <w:t>专项评价的类别</w:t>
                  </w:r>
                </w:p>
              </w:tc>
              <w:tc>
                <w:tcPr>
                  <w:tcW w:w="1826" w:type="pct"/>
                  <w:tcBorders>
                    <w:tl2br w:val="nil"/>
                    <w:tr2bl w:val="nil"/>
                  </w:tcBorders>
                  <w:noWrap w:val="0"/>
                  <w:vAlign w:val="center"/>
                </w:tcPr>
                <w:p w14:paraId="74226EDE">
                  <w:pPr>
                    <w:bidi w:val="0"/>
                    <w:rPr>
                      <w:rFonts w:hint="default"/>
                      <w:color w:val="auto"/>
                      <w:sz w:val="22"/>
                      <w:szCs w:val="22"/>
                    </w:rPr>
                  </w:pPr>
                  <w:r>
                    <w:rPr>
                      <w:rFonts w:hint="default"/>
                      <w:color w:val="auto"/>
                      <w:sz w:val="22"/>
                      <w:szCs w:val="22"/>
                    </w:rPr>
                    <w:t>设置原则</w:t>
                  </w:r>
                </w:p>
              </w:tc>
              <w:tc>
                <w:tcPr>
                  <w:tcW w:w="1856" w:type="pct"/>
                  <w:tcBorders>
                    <w:tl2br w:val="nil"/>
                    <w:tr2bl w:val="nil"/>
                  </w:tcBorders>
                  <w:noWrap w:val="0"/>
                  <w:vAlign w:val="center"/>
                </w:tcPr>
                <w:p w14:paraId="04B4B8DE">
                  <w:pPr>
                    <w:bidi w:val="0"/>
                    <w:rPr>
                      <w:rFonts w:hint="default"/>
                      <w:color w:val="auto"/>
                      <w:sz w:val="22"/>
                      <w:szCs w:val="22"/>
                    </w:rPr>
                  </w:pPr>
                  <w:r>
                    <w:rPr>
                      <w:rFonts w:hint="default"/>
                      <w:color w:val="auto"/>
                      <w:sz w:val="22"/>
                      <w:szCs w:val="22"/>
                    </w:rPr>
                    <w:t>本工程情况</w:t>
                  </w:r>
                </w:p>
              </w:tc>
              <w:tc>
                <w:tcPr>
                  <w:tcW w:w="542" w:type="pct"/>
                  <w:tcBorders>
                    <w:tl2br w:val="nil"/>
                    <w:tr2bl w:val="nil"/>
                  </w:tcBorders>
                  <w:noWrap w:val="0"/>
                  <w:vAlign w:val="center"/>
                </w:tcPr>
                <w:p w14:paraId="3ABBD2EF">
                  <w:pPr>
                    <w:bidi w:val="0"/>
                    <w:rPr>
                      <w:rFonts w:hint="default"/>
                      <w:color w:val="auto"/>
                      <w:sz w:val="22"/>
                      <w:szCs w:val="22"/>
                    </w:rPr>
                  </w:pPr>
                  <w:r>
                    <w:rPr>
                      <w:rFonts w:hint="default"/>
                      <w:color w:val="auto"/>
                      <w:sz w:val="22"/>
                      <w:szCs w:val="22"/>
                    </w:rPr>
                    <w:t>是否设置</w:t>
                  </w:r>
                </w:p>
              </w:tc>
            </w:tr>
            <w:tr w14:paraId="13FE9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noWrap w:val="0"/>
                  <w:vAlign w:val="center"/>
                </w:tcPr>
                <w:p w14:paraId="29545FB4">
                  <w:pPr>
                    <w:bidi w:val="0"/>
                    <w:rPr>
                      <w:rFonts w:hint="default"/>
                      <w:color w:val="auto"/>
                      <w:sz w:val="22"/>
                      <w:szCs w:val="22"/>
                    </w:rPr>
                  </w:pPr>
                  <w:r>
                    <w:rPr>
                      <w:rFonts w:hint="default"/>
                      <w:color w:val="auto"/>
                      <w:sz w:val="22"/>
                      <w:szCs w:val="22"/>
                    </w:rPr>
                    <w:t>大气</w:t>
                  </w:r>
                </w:p>
              </w:tc>
              <w:tc>
                <w:tcPr>
                  <w:tcW w:w="1826" w:type="pct"/>
                  <w:tcBorders>
                    <w:tl2br w:val="nil"/>
                    <w:tr2bl w:val="nil"/>
                  </w:tcBorders>
                  <w:noWrap w:val="0"/>
                  <w:vAlign w:val="center"/>
                </w:tcPr>
                <w:p w14:paraId="5D2B0594">
                  <w:pPr>
                    <w:bidi w:val="0"/>
                    <w:rPr>
                      <w:rFonts w:hint="default"/>
                      <w:color w:val="auto"/>
                      <w:sz w:val="22"/>
                      <w:szCs w:val="22"/>
                    </w:rPr>
                  </w:pPr>
                  <w:r>
                    <w:rPr>
                      <w:rFonts w:hint="default"/>
                      <w:color w:val="auto"/>
                      <w:sz w:val="22"/>
                      <w:szCs w:val="22"/>
                    </w:rPr>
                    <w:t>排放废气含有毒有害污染物</w:t>
                  </w:r>
                  <w:r>
                    <w:rPr>
                      <w:rFonts w:hint="default"/>
                      <w:color w:val="auto"/>
                      <w:sz w:val="22"/>
                      <w:szCs w:val="22"/>
                      <w:vertAlign w:val="superscript"/>
                    </w:rPr>
                    <w:t>（1）</w:t>
                  </w:r>
                  <w:r>
                    <w:rPr>
                      <w:rFonts w:hint="default"/>
                      <w:color w:val="auto"/>
                      <w:sz w:val="22"/>
                      <w:szCs w:val="22"/>
                    </w:rPr>
                    <w:t>、二噁英、苯并[a]芘、氰化物、氯气且厂界外500 米范围内有环境空气保护目标</w:t>
                  </w:r>
                  <w:r>
                    <w:rPr>
                      <w:rFonts w:hint="default"/>
                      <w:color w:val="auto"/>
                      <w:sz w:val="22"/>
                      <w:szCs w:val="22"/>
                      <w:vertAlign w:val="superscript"/>
                    </w:rPr>
                    <w:t>（2）</w:t>
                  </w:r>
                  <w:r>
                    <w:rPr>
                      <w:rFonts w:hint="default"/>
                      <w:color w:val="auto"/>
                      <w:sz w:val="22"/>
                      <w:szCs w:val="22"/>
                    </w:rPr>
                    <w:t>的建设项目</w:t>
                  </w:r>
                </w:p>
              </w:tc>
              <w:tc>
                <w:tcPr>
                  <w:tcW w:w="1856" w:type="pct"/>
                  <w:tcBorders>
                    <w:tl2br w:val="nil"/>
                    <w:tr2bl w:val="nil"/>
                  </w:tcBorders>
                  <w:noWrap w:val="0"/>
                  <w:vAlign w:val="center"/>
                </w:tcPr>
                <w:p w14:paraId="38F7A1C5">
                  <w:pPr>
                    <w:bidi w:val="0"/>
                    <w:rPr>
                      <w:rFonts w:hint="default"/>
                      <w:color w:val="auto"/>
                      <w:sz w:val="22"/>
                      <w:szCs w:val="22"/>
                    </w:rPr>
                  </w:pPr>
                  <w:r>
                    <w:rPr>
                      <w:rFonts w:hint="default"/>
                      <w:color w:val="auto"/>
                      <w:sz w:val="22"/>
                      <w:szCs w:val="22"/>
                    </w:rPr>
                    <w:t>本项目</w:t>
                  </w:r>
                  <w:r>
                    <w:rPr>
                      <w:rFonts w:hint="default" w:ascii="Times New Roman" w:hAnsi="Times New Roman" w:eastAsia="宋体" w:cs="Times New Roman"/>
                      <w:color w:val="auto"/>
                      <w:sz w:val="22"/>
                      <w:szCs w:val="22"/>
                    </w:rPr>
                    <w:t>排放废气为</w:t>
                  </w:r>
                  <w:r>
                    <w:rPr>
                      <w:rFonts w:hint="eastAsia" w:ascii="Times New Roman" w:hAnsi="Times New Roman" w:eastAsia="宋体" w:cs="Times New Roman"/>
                      <w:color w:val="auto"/>
                      <w:sz w:val="22"/>
                      <w:szCs w:val="22"/>
                      <w:lang w:val="en-US" w:eastAsia="zh-CN"/>
                    </w:rPr>
                    <w:t>熔炼废气、均质废气、铸造废气、机加废气、铝回收装置废气</w:t>
                  </w:r>
                  <w:r>
                    <w:rPr>
                      <w:rFonts w:hint="default" w:ascii="Times New Roman" w:hAnsi="Times New Roman" w:eastAsia="宋体" w:cs="Times New Roman"/>
                      <w:color w:val="auto"/>
                      <w:sz w:val="22"/>
                      <w:szCs w:val="22"/>
                    </w:rPr>
                    <w:t>，</w:t>
                  </w:r>
                  <w:r>
                    <w:rPr>
                      <w:rFonts w:hint="eastAsia" w:ascii="Times New Roman" w:hAnsi="Times New Roman" w:eastAsia="宋体" w:cs="Times New Roman"/>
                      <w:color w:val="auto"/>
                      <w:sz w:val="22"/>
                      <w:szCs w:val="22"/>
                      <w:lang w:val="en-US" w:eastAsia="zh-CN"/>
                    </w:rPr>
                    <w:t>主要污染因子为SO</w:t>
                  </w:r>
                  <w:r>
                    <w:rPr>
                      <w:rFonts w:hint="eastAsia" w:ascii="Times New Roman" w:hAnsi="Times New Roman" w:eastAsia="宋体" w:cs="Times New Roman"/>
                      <w:color w:val="auto"/>
                      <w:sz w:val="22"/>
                      <w:szCs w:val="22"/>
                      <w:vertAlign w:val="subscript"/>
                      <w:lang w:val="en-US" w:eastAsia="zh-CN"/>
                    </w:rPr>
                    <w:t>2</w:t>
                  </w:r>
                  <w:r>
                    <w:rPr>
                      <w:rFonts w:hint="eastAsia" w:ascii="Times New Roman" w:hAnsi="Times New Roman" w:eastAsia="宋体" w:cs="Times New Roman"/>
                      <w:color w:val="auto"/>
                      <w:sz w:val="22"/>
                      <w:szCs w:val="22"/>
                      <w:lang w:val="en-US" w:eastAsia="zh-CN"/>
                    </w:rPr>
                    <w:t>、</w:t>
                  </w:r>
                  <w:r>
                    <w:rPr>
                      <w:rFonts w:hint="eastAsia" w:ascii="Times New Roman" w:hAnsi="Times New Roman" w:eastAsia="宋体" w:cs="Times New Roman"/>
                      <w:color w:val="auto"/>
                      <w:sz w:val="22"/>
                      <w:szCs w:val="22"/>
                    </w:rPr>
                    <w:t>NO</w:t>
                  </w:r>
                  <w:r>
                    <w:rPr>
                      <w:rFonts w:hint="eastAsia" w:ascii="Times New Roman" w:hAnsi="Times New Roman" w:eastAsia="宋体" w:cs="Times New Roman"/>
                      <w:color w:val="auto"/>
                      <w:sz w:val="22"/>
                      <w:szCs w:val="22"/>
                      <w:vertAlign w:val="subscript"/>
                    </w:rPr>
                    <w:t>2</w:t>
                  </w:r>
                  <w:r>
                    <w:rPr>
                      <w:rFonts w:hint="eastAsia" w:ascii="Times New Roman" w:hAnsi="Times New Roman" w:eastAsia="宋体" w:cs="Times New Roman"/>
                      <w:color w:val="auto"/>
                      <w:sz w:val="22"/>
                      <w:szCs w:val="22"/>
                      <w:lang w:val="en-US" w:eastAsia="zh-CN"/>
                    </w:rPr>
                    <w:t>、颗粒物、氟化物、氯化氢及非甲烷总烃，</w:t>
                  </w:r>
                  <w:r>
                    <w:rPr>
                      <w:rFonts w:hint="default" w:ascii="Times New Roman" w:hAnsi="Times New Roman" w:eastAsia="宋体" w:cs="Times New Roman"/>
                      <w:color w:val="auto"/>
                      <w:sz w:val="22"/>
                      <w:szCs w:val="22"/>
                    </w:rPr>
                    <w:t>不</w:t>
                  </w:r>
                  <w:r>
                    <w:rPr>
                      <w:rFonts w:hint="default"/>
                      <w:color w:val="auto"/>
                      <w:sz w:val="22"/>
                      <w:szCs w:val="22"/>
                    </w:rPr>
                    <w:t>属于</w:t>
                  </w:r>
                  <w:r>
                    <w:rPr>
                      <w:rFonts w:hint="eastAsia"/>
                      <w:color w:val="auto"/>
                      <w:sz w:val="22"/>
                      <w:szCs w:val="22"/>
                      <w:lang w:val="en-US" w:eastAsia="zh-CN"/>
                    </w:rPr>
                    <w:t>有</w:t>
                  </w:r>
                  <w:r>
                    <w:rPr>
                      <w:rFonts w:hint="default"/>
                      <w:color w:val="auto"/>
                      <w:sz w:val="22"/>
                      <w:szCs w:val="22"/>
                    </w:rPr>
                    <w:t>毒有害污染物</w:t>
                  </w:r>
                  <w:r>
                    <w:rPr>
                      <w:rFonts w:hint="default"/>
                      <w:color w:val="auto"/>
                      <w:sz w:val="22"/>
                      <w:szCs w:val="22"/>
                      <w:vertAlign w:val="superscript"/>
                    </w:rPr>
                    <w:t>（1）</w:t>
                  </w:r>
                  <w:r>
                    <w:rPr>
                      <w:rFonts w:hint="default"/>
                      <w:color w:val="auto"/>
                      <w:sz w:val="22"/>
                      <w:szCs w:val="22"/>
                    </w:rPr>
                    <w:t>、二噁英、苯并[a]芘、氰化物、氯气</w:t>
                  </w:r>
                </w:p>
              </w:tc>
              <w:tc>
                <w:tcPr>
                  <w:tcW w:w="542" w:type="pct"/>
                  <w:tcBorders>
                    <w:tl2br w:val="nil"/>
                    <w:tr2bl w:val="nil"/>
                  </w:tcBorders>
                  <w:noWrap w:val="0"/>
                  <w:vAlign w:val="center"/>
                </w:tcPr>
                <w:p w14:paraId="3060CEC9">
                  <w:pPr>
                    <w:bidi w:val="0"/>
                    <w:rPr>
                      <w:rFonts w:hint="default"/>
                      <w:color w:val="auto"/>
                      <w:sz w:val="22"/>
                      <w:szCs w:val="22"/>
                    </w:rPr>
                  </w:pPr>
                  <w:r>
                    <w:rPr>
                      <w:rFonts w:hint="default"/>
                      <w:color w:val="auto"/>
                      <w:sz w:val="22"/>
                      <w:szCs w:val="22"/>
                    </w:rPr>
                    <w:t>不设置</w:t>
                  </w:r>
                </w:p>
              </w:tc>
            </w:tr>
            <w:tr w14:paraId="73E62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noWrap w:val="0"/>
                  <w:vAlign w:val="center"/>
                </w:tcPr>
                <w:p w14:paraId="6B6F6DC9">
                  <w:pPr>
                    <w:bidi w:val="0"/>
                    <w:rPr>
                      <w:rFonts w:hint="default"/>
                      <w:color w:val="auto"/>
                      <w:sz w:val="22"/>
                      <w:szCs w:val="22"/>
                    </w:rPr>
                  </w:pPr>
                  <w:r>
                    <w:rPr>
                      <w:rFonts w:hint="default"/>
                      <w:color w:val="auto"/>
                      <w:sz w:val="22"/>
                      <w:szCs w:val="22"/>
                    </w:rPr>
                    <w:t>地表水</w:t>
                  </w:r>
                </w:p>
              </w:tc>
              <w:tc>
                <w:tcPr>
                  <w:tcW w:w="1826" w:type="pct"/>
                  <w:tcBorders>
                    <w:tl2br w:val="nil"/>
                    <w:tr2bl w:val="nil"/>
                  </w:tcBorders>
                  <w:noWrap w:val="0"/>
                  <w:vAlign w:val="center"/>
                </w:tcPr>
                <w:p w14:paraId="362025E8">
                  <w:pPr>
                    <w:bidi w:val="0"/>
                    <w:rPr>
                      <w:rFonts w:hint="default"/>
                      <w:color w:val="auto"/>
                      <w:sz w:val="22"/>
                      <w:szCs w:val="22"/>
                    </w:rPr>
                  </w:pPr>
                  <w:r>
                    <w:rPr>
                      <w:rFonts w:hint="default"/>
                      <w:color w:val="auto"/>
                      <w:sz w:val="22"/>
                      <w:szCs w:val="22"/>
                    </w:rPr>
                    <w:t>新增工业废水直排建设项目（槽罐车外送污水处理厂的除外）；新增废水直排的污水集中处理厂</w:t>
                  </w:r>
                </w:p>
              </w:tc>
              <w:tc>
                <w:tcPr>
                  <w:tcW w:w="1856" w:type="pct"/>
                  <w:tcBorders>
                    <w:tl2br w:val="nil"/>
                    <w:tr2bl w:val="nil"/>
                  </w:tcBorders>
                  <w:noWrap w:val="0"/>
                  <w:vAlign w:val="center"/>
                </w:tcPr>
                <w:p w14:paraId="7045E730">
                  <w:pPr>
                    <w:bidi w:val="0"/>
                    <w:rPr>
                      <w:rFonts w:hint="default" w:eastAsia="宋体"/>
                      <w:color w:val="auto"/>
                      <w:sz w:val="22"/>
                      <w:szCs w:val="22"/>
                      <w:lang w:val="en-US" w:eastAsia="zh-CN"/>
                    </w:rPr>
                  </w:pPr>
                  <w:r>
                    <w:rPr>
                      <w:rFonts w:hint="eastAsia"/>
                      <w:color w:val="auto"/>
                      <w:sz w:val="22"/>
                      <w:szCs w:val="22"/>
                      <w:lang w:val="en-US" w:eastAsia="zh-CN"/>
                    </w:rPr>
                    <w:t>本项目不产生生产废水，不新增生活污水</w:t>
                  </w:r>
                </w:p>
              </w:tc>
              <w:tc>
                <w:tcPr>
                  <w:tcW w:w="542" w:type="pct"/>
                  <w:tcBorders>
                    <w:tl2br w:val="nil"/>
                    <w:tr2bl w:val="nil"/>
                  </w:tcBorders>
                  <w:noWrap w:val="0"/>
                  <w:vAlign w:val="center"/>
                </w:tcPr>
                <w:p w14:paraId="757EFBE8">
                  <w:pPr>
                    <w:bidi w:val="0"/>
                    <w:rPr>
                      <w:rFonts w:hint="default"/>
                      <w:color w:val="auto"/>
                      <w:sz w:val="22"/>
                      <w:szCs w:val="22"/>
                    </w:rPr>
                  </w:pPr>
                  <w:r>
                    <w:rPr>
                      <w:rFonts w:hint="eastAsia"/>
                      <w:color w:val="auto"/>
                      <w:sz w:val="22"/>
                      <w:szCs w:val="22"/>
                      <w:lang w:val="en-US" w:eastAsia="zh-CN"/>
                    </w:rPr>
                    <w:t>不</w:t>
                  </w:r>
                  <w:r>
                    <w:rPr>
                      <w:rFonts w:hint="default"/>
                      <w:color w:val="auto"/>
                      <w:sz w:val="22"/>
                      <w:szCs w:val="22"/>
                    </w:rPr>
                    <w:t>设置</w:t>
                  </w:r>
                </w:p>
              </w:tc>
            </w:tr>
            <w:tr w14:paraId="6B6A6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noWrap w:val="0"/>
                  <w:vAlign w:val="center"/>
                </w:tcPr>
                <w:p w14:paraId="0B31ECE3">
                  <w:pPr>
                    <w:bidi w:val="0"/>
                    <w:rPr>
                      <w:rFonts w:hint="default"/>
                      <w:color w:val="auto"/>
                      <w:sz w:val="22"/>
                      <w:szCs w:val="22"/>
                    </w:rPr>
                  </w:pPr>
                  <w:r>
                    <w:rPr>
                      <w:rFonts w:hint="default"/>
                      <w:color w:val="auto"/>
                      <w:sz w:val="22"/>
                      <w:szCs w:val="22"/>
                    </w:rPr>
                    <w:t>环境风险</w:t>
                  </w:r>
                </w:p>
              </w:tc>
              <w:tc>
                <w:tcPr>
                  <w:tcW w:w="1826" w:type="pct"/>
                  <w:tcBorders>
                    <w:tl2br w:val="nil"/>
                    <w:tr2bl w:val="nil"/>
                  </w:tcBorders>
                  <w:noWrap w:val="0"/>
                  <w:vAlign w:val="center"/>
                </w:tcPr>
                <w:p w14:paraId="7F40095D">
                  <w:pPr>
                    <w:bidi w:val="0"/>
                    <w:rPr>
                      <w:rFonts w:hint="default"/>
                      <w:color w:val="auto"/>
                      <w:sz w:val="22"/>
                      <w:szCs w:val="22"/>
                    </w:rPr>
                  </w:pPr>
                  <w:r>
                    <w:rPr>
                      <w:rFonts w:hint="default"/>
                      <w:color w:val="auto"/>
                      <w:sz w:val="22"/>
                      <w:szCs w:val="22"/>
                    </w:rPr>
                    <w:t>有毒有害和易燃易爆危险物质存储量超过临界量</w:t>
                  </w:r>
                  <w:r>
                    <w:rPr>
                      <w:rFonts w:hint="default"/>
                      <w:color w:val="auto"/>
                      <w:sz w:val="22"/>
                      <w:szCs w:val="22"/>
                      <w:vertAlign w:val="superscript"/>
                    </w:rPr>
                    <w:t>（3）</w:t>
                  </w:r>
                  <w:r>
                    <w:rPr>
                      <w:rFonts w:hint="default"/>
                      <w:color w:val="auto"/>
                      <w:sz w:val="22"/>
                      <w:szCs w:val="22"/>
                    </w:rPr>
                    <w:t>的建设项目</w:t>
                  </w:r>
                </w:p>
              </w:tc>
              <w:tc>
                <w:tcPr>
                  <w:tcW w:w="1856" w:type="pct"/>
                  <w:tcBorders>
                    <w:tl2br w:val="nil"/>
                    <w:tr2bl w:val="nil"/>
                  </w:tcBorders>
                  <w:noWrap w:val="0"/>
                  <w:vAlign w:val="center"/>
                </w:tcPr>
                <w:p w14:paraId="3E1A36AB">
                  <w:pPr>
                    <w:bidi w:val="0"/>
                    <w:rPr>
                      <w:rFonts w:hint="default"/>
                      <w:color w:val="auto"/>
                      <w:sz w:val="22"/>
                      <w:szCs w:val="22"/>
                    </w:rPr>
                  </w:pPr>
                  <w:r>
                    <w:rPr>
                      <w:rFonts w:hint="default"/>
                      <w:color w:val="auto"/>
                      <w:sz w:val="22"/>
                      <w:szCs w:val="22"/>
                    </w:rPr>
                    <w:t>本项目有毒有害和易燃易爆危险物质存储量未超过临界量</w:t>
                  </w:r>
                </w:p>
              </w:tc>
              <w:tc>
                <w:tcPr>
                  <w:tcW w:w="542" w:type="pct"/>
                  <w:tcBorders>
                    <w:tl2br w:val="nil"/>
                    <w:tr2bl w:val="nil"/>
                  </w:tcBorders>
                  <w:noWrap w:val="0"/>
                  <w:vAlign w:val="center"/>
                </w:tcPr>
                <w:p w14:paraId="354CBC2F">
                  <w:pPr>
                    <w:bidi w:val="0"/>
                    <w:rPr>
                      <w:rFonts w:hint="default"/>
                      <w:color w:val="auto"/>
                      <w:sz w:val="22"/>
                      <w:szCs w:val="22"/>
                    </w:rPr>
                  </w:pPr>
                  <w:r>
                    <w:rPr>
                      <w:rFonts w:hint="default"/>
                      <w:color w:val="auto"/>
                      <w:sz w:val="22"/>
                      <w:szCs w:val="22"/>
                    </w:rPr>
                    <w:t>不设置</w:t>
                  </w:r>
                </w:p>
              </w:tc>
            </w:tr>
            <w:tr w14:paraId="6808D2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noWrap w:val="0"/>
                  <w:vAlign w:val="center"/>
                </w:tcPr>
                <w:p w14:paraId="0EB8703C">
                  <w:pPr>
                    <w:bidi w:val="0"/>
                    <w:rPr>
                      <w:rFonts w:hint="default"/>
                      <w:color w:val="auto"/>
                      <w:sz w:val="22"/>
                      <w:szCs w:val="22"/>
                    </w:rPr>
                  </w:pPr>
                  <w:r>
                    <w:rPr>
                      <w:rFonts w:hint="default"/>
                      <w:color w:val="auto"/>
                      <w:sz w:val="22"/>
                      <w:szCs w:val="22"/>
                    </w:rPr>
                    <w:t>生态</w:t>
                  </w:r>
                </w:p>
              </w:tc>
              <w:tc>
                <w:tcPr>
                  <w:tcW w:w="1826" w:type="pct"/>
                  <w:tcBorders>
                    <w:tl2br w:val="nil"/>
                    <w:tr2bl w:val="nil"/>
                  </w:tcBorders>
                  <w:noWrap w:val="0"/>
                  <w:vAlign w:val="center"/>
                </w:tcPr>
                <w:p w14:paraId="2D4B10D8">
                  <w:pPr>
                    <w:bidi w:val="0"/>
                    <w:rPr>
                      <w:rFonts w:hint="default"/>
                      <w:color w:val="auto"/>
                      <w:sz w:val="22"/>
                      <w:szCs w:val="22"/>
                    </w:rPr>
                  </w:pPr>
                  <w:r>
                    <w:rPr>
                      <w:rFonts w:hint="default"/>
                      <w:color w:val="auto"/>
                      <w:sz w:val="22"/>
                      <w:szCs w:val="22"/>
                    </w:rPr>
                    <w:t>取水口下游500米范围内有重要水生生物的自然产卵场、索饵场、越冬场和洄游通道的新增河道取水的污染类建设项目</w:t>
                  </w:r>
                </w:p>
              </w:tc>
              <w:tc>
                <w:tcPr>
                  <w:tcW w:w="1856" w:type="pct"/>
                  <w:tcBorders>
                    <w:tl2br w:val="nil"/>
                    <w:tr2bl w:val="nil"/>
                  </w:tcBorders>
                  <w:noWrap w:val="0"/>
                  <w:vAlign w:val="center"/>
                </w:tcPr>
                <w:p w14:paraId="7C424A0E">
                  <w:pPr>
                    <w:bidi w:val="0"/>
                    <w:rPr>
                      <w:rFonts w:hint="default"/>
                      <w:color w:val="auto"/>
                      <w:sz w:val="22"/>
                      <w:szCs w:val="22"/>
                    </w:rPr>
                  </w:pPr>
                  <w:r>
                    <w:rPr>
                      <w:rFonts w:hint="default"/>
                      <w:color w:val="auto"/>
                      <w:sz w:val="22"/>
                      <w:szCs w:val="22"/>
                    </w:rPr>
                    <w:t>本项目用水由市政供水，不涉及新增河道取水</w:t>
                  </w:r>
                </w:p>
              </w:tc>
              <w:tc>
                <w:tcPr>
                  <w:tcW w:w="542" w:type="pct"/>
                  <w:tcBorders>
                    <w:tl2br w:val="nil"/>
                    <w:tr2bl w:val="nil"/>
                  </w:tcBorders>
                  <w:noWrap w:val="0"/>
                  <w:vAlign w:val="center"/>
                </w:tcPr>
                <w:p w14:paraId="5C34E37E">
                  <w:pPr>
                    <w:bidi w:val="0"/>
                    <w:rPr>
                      <w:rFonts w:hint="default"/>
                      <w:color w:val="auto"/>
                      <w:sz w:val="22"/>
                      <w:szCs w:val="22"/>
                    </w:rPr>
                  </w:pPr>
                  <w:r>
                    <w:rPr>
                      <w:rFonts w:hint="default"/>
                      <w:color w:val="auto"/>
                      <w:sz w:val="22"/>
                      <w:szCs w:val="22"/>
                    </w:rPr>
                    <w:t>不设置</w:t>
                  </w:r>
                </w:p>
              </w:tc>
            </w:tr>
            <w:tr w14:paraId="6AA155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l2br w:val="nil"/>
                    <w:tr2bl w:val="nil"/>
                  </w:tcBorders>
                  <w:noWrap w:val="0"/>
                  <w:vAlign w:val="center"/>
                </w:tcPr>
                <w:p w14:paraId="4BF1F54F">
                  <w:pPr>
                    <w:bidi w:val="0"/>
                    <w:rPr>
                      <w:rFonts w:hint="default"/>
                      <w:color w:val="auto"/>
                      <w:sz w:val="22"/>
                      <w:szCs w:val="22"/>
                    </w:rPr>
                  </w:pPr>
                  <w:r>
                    <w:rPr>
                      <w:rFonts w:hint="default"/>
                      <w:color w:val="auto"/>
                      <w:sz w:val="22"/>
                      <w:szCs w:val="22"/>
                    </w:rPr>
                    <w:t>海洋</w:t>
                  </w:r>
                </w:p>
              </w:tc>
              <w:tc>
                <w:tcPr>
                  <w:tcW w:w="1826" w:type="pct"/>
                  <w:tcBorders>
                    <w:tl2br w:val="nil"/>
                    <w:tr2bl w:val="nil"/>
                  </w:tcBorders>
                  <w:noWrap w:val="0"/>
                  <w:vAlign w:val="center"/>
                </w:tcPr>
                <w:p w14:paraId="41547F2B">
                  <w:pPr>
                    <w:bidi w:val="0"/>
                    <w:rPr>
                      <w:rFonts w:hint="default"/>
                      <w:color w:val="auto"/>
                      <w:sz w:val="22"/>
                      <w:szCs w:val="22"/>
                    </w:rPr>
                  </w:pPr>
                  <w:r>
                    <w:rPr>
                      <w:rFonts w:hint="default"/>
                      <w:color w:val="auto"/>
                      <w:sz w:val="22"/>
                      <w:szCs w:val="22"/>
                    </w:rPr>
                    <w:t>直接向海排放污染物的海洋工程建设项目</w:t>
                  </w:r>
                </w:p>
              </w:tc>
              <w:tc>
                <w:tcPr>
                  <w:tcW w:w="1856" w:type="pct"/>
                  <w:tcBorders>
                    <w:tl2br w:val="nil"/>
                    <w:tr2bl w:val="nil"/>
                  </w:tcBorders>
                  <w:noWrap w:val="0"/>
                  <w:vAlign w:val="center"/>
                </w:tcPr>
                <w:p w14:paraId="17D75A8A">
                  <w:pPr>
                    <w:bidi w:val="0"/>
                    <w:rPr>
                      <w:rFonts w:hint="default" w:eastAsia="宋体"/>
                      <w:color w:val="auto"/>
                      <w:sz w:val="22"/>
                      <w:szCs w:val="22"/>
                      <w:lang w:val="en-US" w:eastAsia="zh-CN"/>
                    </w:rPr>
                  </w:pPr>
                  <w:r>
                    <w:rPr>
                      <w:rFonts w:hint="default"/>
                      <w:color w:val="auto"/>
                      <w:sz w:val="22"/>
                      <w:szCs w:val="22"/>
                    </w:rPr>
                    <w:t>本项目不</w:t>
                  </w:r>
                  <w:r>
                    <w:rPr>
                      <w:rFonts w:hint="eastAsia"/>
                      <w:color w:val="auto"/>
                      <w:sz w:val="22"/>
                      <w:szCs w:val="22"/>
                      <w:lang w:val="en-US" w:eastAsia="zh-CN"/>
                    </w:rPr>
                    <w:t>属于海洋工程建设项目</w:t>
                  </w:r>
                </w:p>
              </w:tc>
              <w:tc>
                <w:tcPr>
                  <w:tcW w:w="542" w:type="pct"/>
                  <w:tcBorders>
                    <w:tl2br w:val="nil"/>
                    <w:tr2bl w:val="nil"/>
                  </w:tcBorders>
                  <w:noWrap w:val="0"/>
                  <w:vAlign w:val="center"/>
                </w:tcPr>
                <w:p w14:paraId="2E7F2945">
                  <w:pPr>
                    <w:bidi w:val="0"/>
                    <w:rPr>
                      <w:rFonts w:hint="default"/>
                      <w:color w:val="auto"/>
                      <w:sz w:val="22"/>
                      <w:szCs w:val="22"/>
                    </w:rPr>
                  </w:pPr>
                  <w:r>
                    <w:rPr>
                      <w:rFonts w:hint="default"/>
                      <w:color w:val="auto"/>
                      <w:sz w:val="22"/>
                      <w:szCs w:val="22"/>
                    </w:rPr>
                    <w:t>不涉及</w:t>
                  </w:r>
                </w:p>
              </w:tc>
            </w:tr>
            <w:tr w14:paraId="33BAE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l2br w:val="nil"/>
                    <w:tr2bl w:val="nil"/>
                  </w:tcBorders>
                  <w:noWrap w:val="0"/>
                  <w:vAlign w:val="center"/>
                </w:tcPr>
                <w:p w14:paraId="43E0D93D">
                  <w:pPr>
                    <w:bidi w:val="0"/>
                    <w:rPr>
                      <w:rFonts w:hint="default"/>
                      <w:color w:val="auto"/>
                      <w:sz w:val="22"/>
                      <w:szCs w:val="22"/>
                    </w:rPr>
                  </w:pPr>
                  <w:r>
                    <w:rPr>
                      <w:rFonts w:hint="default"/>
                      <w:color w:val="auto"/>
                      <w:sz w:val="22"/>
                      <w:szCs w:val="22"/>
                    </w:rPr>
                    <w:t>注：1.废气中有毒有害污染物指纳入《有毒有害大气污染物名录》的污染物（不包括无排放标准的污染物）；</w:t>
                  </w:r>
                </w:p>
                <w:p w14:paraId="042C05A5">
                  <w:pPr>
                    <w:bidi w:val="0"/>
                    <w:rPr>
                      <w:rFonts w:hint="default"/>
                      <w:color w:val="auto"/>
                      <w:sz w:val="22"/>
                      <w:szCs w:val="22"/>
                    </w:rPr>
                  </w:pPr>
                  <w:r>
                    <w:rPr>
                      <w:rFonts w:hint="default"/>
                      <w:color w:val="auto"/>
                      <w:sz w:val="22"/>
                      <w:szCs w:val="22"/>
                    </w:rPr>
                    <w:t>2.环境空气保护目标指自然保护区、风景名胜区、居住区、文化区和农村地区中人群较集中的区域。</w:t>
                  </w:r>
                </w:p>
                <w:p w14:paraId="01BC9ED1">
                  <w:pPr>
                    <w:bidi w:val="0"/>
                    <w:rPr>
                      <w:rFonts w:hint="default"/>
                      <w:color w:val="auto"/>
                      <w:sz w:val="22"/>
                      <w:szCs w:val="22"/>
                    </w:rPr>
                  </w:pPr>
                  <w:r>
                    <w:rPr>
                      <w:rFonts w:hint="default"/>
                      <w:color w:val="auto"/>
                      <w:sz w:val="22"/>
                      <w:szCs w:val="22"/>
                    </w:rPr>
                    <w:t>3.临界量及其计算方法可参考《建设项目环境风险评价技术导则》（HJ 169）附录 B、附录C。</w:t>
                  </w:r>
                </w:p>
              </w:tc>
            </w:tr>
          </w:tbl>
          <w:p w14:paraId="005263D6">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highlight w:val="none"/>
                <w:lang w:val="en-US" w:eastAsia="zh-CN"/>
              </w:rPr>
            </w:pPr>
          </w:p>
        </w:tc>
      </w:tr>
      <w:tr w14:paraId="5E2ADA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2382" w:type="dxa"/>
            <w:gridSpan w:val="2"/>
            <w:tcBorders>
              <w:tl2br w:val="nil"/>
              <w:tr2bl w:val="nil"/>
            </w:tcBorders>
            <w:noWrap w:val="0"/>
            <w:vAlign w:val="center"/>
          </w:tcPr>
          <w:p w14:paraId="49F664FC">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规划情况</w:t>
            </w:r>
          </w:p>
        </w:tc>
        <w:tc>
          <w:tcPr>
            <w:tcW w:w="6488" w:type="dxa"/>
            <w:gridSpan w:val="3"/>
            <w:tcBorders>
              <w:tl2br w:val="nil"/>
              <w:tr2bl w:val="nil"/>
            </w:tcBorders>
            <w:noWrap w:val="0"/>
            <w:vAlign w:val="center"/>
          </w:tcPr>
          <w:p w14:paraId="33A500ED">
            <w:pPr>
              <w:keepNext w:val="0"/>
              <w:keepLines w:val="0"/>
              <w:pageBreakBefore w:val="0"/>
              <w:widowControl w:val="0"/>
              <w:kinsoku/>
              <w:wordWrap/>
              <w:overflowPunct/>
              <w:topLinePunct w:val="0"/>
              <w:autoSpaceDE/>
              <w:autoSpaceDN/>
              <w:bidi w:val="0"/>
              <w:adjustRightInd w:val="0"/>
              <w:snapToGrid w:val="0"/>
              <w:spacing w:line="460" w:lineRule="exact"/>
              <w:jc w:val="both"/>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规划名称：《重庆西彭工业园区规划》（2022年6月）</w:t>
            </w:r>
          </w:p>
          <w:p w14:paraId="10791095">
            <w:pPr>
              <w:keepNext w:val="0"/>
              <w:keepLines w:val="0"/>
              <w:pageBreakBefore w:val="0"/>
              <w:widowControl w:val="0"/>
              <w:kinsoku/>
              <w:wordWrap/>
              <w:overflowPunct/>
              <w:topLinePunct w:val="0"/>
              <w:autoSpaceDE/>
              <w:autoSpaceDN/>
              <w:bidi w:val="0"/>
              <w:adjustRightInd w:val="0"/>
              <w:snapToGrid w:val="0"/>
              <w:spacing w:line="460" w:lineRule="exact"/>
              <w:jc w:val="both"/>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审查机关：重庆市人民政府</w:t>
            </w:r>
          </w:p>
          <w:p w14:paraId="1A80887E">
            <w:pPr>
              <w:keepNext w:val="0"/>
              <w:keepLines w:val="0"/>
              <w:pageBreakBefore w:val="0"/>
              <w:widowControl w:val="0"/>
              <w:kinsoku/>
              <w:wordWrap/>
              <w:overflowPunct/>
              <w:topLinePunct w:val="0"/>
              <w:autoSpaceDE/>
              <w:autoSpaceDN/>
              <w:bidi w:val="0"/>
              <w:adjustRightInd w:val="0"/>
              <w:snapToGrid w:val="0"/>
              <w:spacing w:line="460" w:lineRule="exact"/>
              <w:jc w:val="both"/>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审批文件：</w:t>
            </w:r>
            <w:r>
              <w:rPr>
                <w:rFonts w:hint="default" w:ascii="Times New Roman" w:hAnsi="Times New Roman" w:eastAsia="宋体" w:cs="Times New Roman"/>
                <w:color w:val="auto"/>
                <w:sz w:val="26"/>
                <w:szCs w:val="26"/>
                <w:lang w:val="en-US" w:eastAsia="zh-CN"/>
              </w:rPr>
              <w:t>《重庆市人民政府关于同意黔江区等10个区县设立特色工业园区和拓展区的批复》（渝府〔2003〕169号）</w:t>
            </w:r>
          </w:p>
        </w:tc>
      </w:tr>
      <w:tr w14:paraId="47A52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4" w:hRule="atLeast"/>
          <w:jc w:val="center"/>
        </w:trPr>
        <w:tc>
          <w:tcPr>
            <w:tcW w:w="2382" w:type="dxa"/>
            <w:gridSpan w:val="2"/>
            <w:tcBorders>
              <w:tl2br w:val="nil"/>
              <w:tr2bl w:val="nil"/>
            </w:tcBorders>
            <w:noWrap w:val="0"/>
            <w:vAlign w:val="center"/>
          </w:tcPr>
          <w:p w14:paraId="56B672BD">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规划环境影响</w:t>
            </w:r>
          </w:p>
          <w:p w14:paraId="68F63CC4">
            <w:pPr>
              <w:adjustRightInd w:val="0"/>
              <w:snapToGrid w:val="0"/>
              <w:jc w:val="center"/>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评价情况</w:t>
            </w:r>
          </w:p>
        </w:tc>
        <w:tc>
          <w:tcPr>
            <w:tcW w:w="6488" w:type="dxa"/>
            <w:gridSpan w:val="3"/>
            <w:tcBorders>
              <w:tl2br w:val="nil"/>
              <w:tr2bl w:val="nil"/>
            </w:tcBorders>
            <w:noWrap w:val="0"/>
            <w:vAlign w:val="center"/>
          </w:tcPr>
          <w:p w14:paraId="107ECECA">
            <w:pPr>
              <w:keepNext w:val="0"/>
              <w:keepLines w:val="0"/>
              <w:pageBreakBefore w:val="0"/>
              <w:widowControl w:val="0"/>
              <w:kinsoku/>
              <w:wordWrap/>
              <w:overflowPunct/>
              <w:topLinePunct w:val="0"/>
              <w:autoSpaceDE/>
              <w:autoSpaceDN/>
              <w:bidi w:val="0"/>
              <w:adjustRightInd w:val="0"/>
              <w:snapToGrid w:val="0"/>
              <w:spacing w:line="460" w:lineRule="exact"/>
              <w:jc w:val="both"/>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文件名称：《重庆西彭工业园区规划环境影响报告书》</w:t>
            </w:r>
          </w:p>
          <w:p w14:paraId="6863959E">
            <w:pPr>
              <w:keepNext w:val="0"/>
              <w:keepLines w:val="0"/>
              <w:pageBreakBefore w:val="0"/>
              <w:widowControl w:val="0"/>
              <w:kinsoku/>
              <w:wordWrap/>
              <w:overflowPunct/>
              <w:topLinePunct w:val="0"/>
              <w:autoSpaceDE/>
              <w:autoSpaceDN/>
              <w:bidi w:val="0"/>
              <w:adjustRightInd w:val="0"/>
              <w:snapToGrid w:val="0"/>
              <w:spacing w:line="460" w:lineRule="exact"/>
              <w:jc w:val="both"/>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审查机关：重庆市生态环境局</w:t>
            </w:r>
          </w:p>
          <w:p w14:paraId="6CB461B7">
            <w:pPr>
              <w:keepNext w:val="0"/>
              <w:keepLines w:val="0"/>
              <w:pageBreakBefore w:val="0"/>
              <w:widowControl w:val="0"/>
              <w:kinsoku/>
              <w:wordWrap/>
              <w:overflowPunct/>
              <w:topLinePunct w:val="0"/>
              <w:autoSpaceDE/>
              <w:autoSpaceDN/>
              <w:bidi w:val="0"/>
              <w:adjustRightInd w:val="0"/>
              <w:snapToGrid w:val="0"/>
              <w:spacing w:line="460" w:lineRule="exact"/>
              <w:jc w:val="both"/>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审批文件名称及文号：《重庆市生态环境局关于重庆西彭工业园区规划环境影响报告书审查意见的函》（渝环函〔2023〕439号）</w:t>
            </w:r>
          </w:p>
          <w:p w14:paraId="4A5D5720">
            <w:pPr>
              <w:keepNext w:val="0"/>
              <w:keepLines w:val="0"/>
              <w:pageBreakBefore w:val="0"/>
              <w:widowControl w:val="0"/>
              <w:kinsoku/>
              <w:wordWrap/>
              <w:overflowPunct/>
              <w:topLinePunct w:val="0"/>
              <w:autoSpaceDE/>
              <w:autoSpaceDN/>
              <w:bidi w:val="0"/>
              <w:adjustRightInd w:val="0"/>
              <w:snapToGrid w:val="0"/>
              <w:spacing w:line="460" w:lineRule="exact"/>
              <w:jc w:val="both"/>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审查时间：2023年6月30日</w:t>
            </w:r>
          </w:p>
        </w:tc>
      </w:tr>
      <w:tr w14:paraId="75CE69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659" w:type="dxa"/>
            <w:tcBorders>
              <w:tl2br w:val="nil"/>
              <w:tr2bl w:val="nil"/>
            </w:tcBorders>
            <w:noWrap w:val="0"/>
            <w:vAlign w:val="center"/>
          </w:tcPr>
          <w:p w14:paraId="4CA03632">
            <w:pPr>
              <w:autoSpaceDE w:val="0"/>
              <w:autoSpaceDN w:val="0"/>
              <w:adjustRightInd w:val="0"/>
              <w:snapToGrid w:val="0"/>
              <w:jc w:val="center"/>
              <w:rPr>
                <w:rFonts w:hint="default" w:ascii="Times New Roman" w:hAnsi="Times New Roman" w:cs="Times New Roman"/>
                <w:color w:val="auto"/>
                <w:kern w:val="0"/>
                <w:sz w:val="26"/>
                <w:szCs w:val="26"/>
              </w:rPr>
            </w:pPr>
            <w:r>
              <w:rPr>
                <w:rFonts w:hint="default" w:ascii="Times New Roman" w:hAnsi="Times New Roman" w:cs="Times New Roman"/>
                <w:color w:val="auto"/>
                <w:kern w:val="0"/>
                <w:sz w:val="26"/>
                <w:szCs w:val="26"/>
              </w:rPr>
              <w:t>规划及规划环境</w:t>
            </w:r>
          </w:p>
          <w:p w14:paraId="6845FC9B">
            <w:pPr>
              <w:autoSpaceDE w:val="0"/>
              <w:autoSpaceDN w:val="0"/>
              <w:adjustRightInd w:val="0"/>
              <w:snapToGrid w:val="0"/>
              <w:jc w:val="center"/>
              <w:rPr>
                <w:rFonts w:hint="default" w:ascii="Times New Roman" w:hAnsi="Times New Roman" w:cs="Times New Roman"/>
                <w:color w:val="auto"/>
                <w:kern w:val="0"/>
                <w:sz w:val="26"/>
                <w:szCs w:val="26"/>
              </w:rPr>
            </w:pPr>
            <w:r>
              <w:rPr>
                <w:rFonts w:hint="default" w:ascii="Times New Roman" w:hAnsi="Times New Roman" w:cs="Times New Roman"/>
                <w:color w:val="auto"/>
                <w:kern w:val="0"/>
                <w:sz w:val="26"/>
                <w:szCs w:val="26"/>
              </w:rPr>
              <w:t>影响评价符合性分析</w:t>
            </w:r>
          </w:p>
        </w:tc>
        <w:tc>
          <w:tcPr>
            <w:tcW w:w="8211" w:type="dxa"/>
            <w:gridSpan w:val="4"/>
            <w:tcBorders>
              <w:tl2br w:val="nil"/>
              <w:tr2bl w:val="nil"/>
            </w:tcBorders>
            <w:noWrap w:val="0"/>
            <w:vAlign w:val="center"/>
          </w:tcPr>
          <w:p w14:paraId="43A20354">
            <w:pPr>
              <w:autoSpaceDE w:val="0"/>
              <w:autoSpaceDN w:val="0"/>
              <w:adjustRightInd w:val="0"/>
              <w:snapToGrid w:val="0"/>
              <w:spacing w:line="460" w:lineRule="exact"/>
              <w:rPr>
                <w:rFonts w:hint="eastAsia" w:ascii="Times New Roman" w:hAnsi="Times New Roman" w:eastAsia="宋体" w:cs="Times New Roman"/>
                <w:b/>
                <w:bCs/>
                <w:color w:val="auto"/>
                <w:kern w:val="0"/>
                <w:sz w:val="26"/>
                <w:szCs w:val="26"/>
                <w:lang w:val="en-US" w:eastAsia="zh-CN"/>
              </w:rPr>
            </w:pPr>
            <w:r>
              <w:rPr>
                <w:rFonts w:hint="default" w:ascii="Times New Roman" w:hAnsi="Times New Roman" w:eastAsia="宋体" w:cs="Times New Roman"/>
                <w:b/>
                <w:bCs/>
                <w:color w:val="auto"/>
                <w:kern w:val="0"/>
                <w:sz w:val="26"/>
                <w:szCs w:val="26"/>
              </w:rPr>
              <w:t>1.1</w:t>
            </w:r>
            <w:r>
              <w:rPr>
                <w:rFonts w:hint="eastAsia" w:ascii="Times New Roman" w:hAnsi="Times New Roman" w:eastAsia="宋体" w:cs="Times New Roman"/>
                <w:b/>
                <w:bCs/>
                <w:color w:val="auto"/>
                <w:kern w:val="0"/>
                <w:sz w:val="26"/>
                <w:szCs w:val="26"/>
              </w:rPr>
              <w:t>与规划的符合性分析</w:t>
            </w:r>
          </w:p>
          <w:p w14:paraId="6C7133A0">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根据《重庆市人民政府关于确认璧山高新区等15个产业园区国土空间开发利用范围的批复》（渝府〔2022〕10号），重庆西彭工业园区管理委员会组织编制了《重庆西彭工业园区规划》。重庆西彭工业园区最新规划面积为4267.24公顷，包含西彭组团、陶家组团和铜罐驿组团。其中，西彭组团2616.89公顷、陶家组团1420.22公顷、铜罐驿组团230.13公顷。</w:t>
            </w:r>
          </w:p>
          <w:p w14:paraId="79488933">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（1）</w:t>
            </w:r>
            <w:r>
              <w:rPr>
                <w:rFonts w:hint="default" w:ascii="Times New Roman" w:hAnsi="Times New Roman" w:eastAsia="宋体" w:cs="Times New Roman"/>
                <w:color w:val="auto"/>
                <w:sz w:val="26"/>
                <w:szCs w:val="26"/>
                <w:lang w:val="en-US" w:eastAsia="zh-CN"/>
              </w:rPr>
              <w:t>功能定位</w:t>
            </w:r>
          </w:p>
          <w:p w14:paraId="77C807A8">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西彭工业园区是九</w:t>
            </w:r>
            <w:r>
              <w:rPr>
                <w:rFonts w:hint="eastAsia" w:ascii="Times New Roman" w:hAnsi="Times New Roman" w:eastAsia="宋体" w:cs="Times New Roman"/>
                <w:color w:val="auto"/>
                <w:sz w:val="26"/>
                <w:szCs w:val="26"/>
                <w:lang w:val="en-US" w:eastAsia="zh-CN"/>
              </w:rPr>
              <w:t>龙坡“一江两山·三轴四片”中的重要组成部分；同时，规划区是九龙坡区“智造产业片区”的重要组成</w:t>
            </w:r>
            <w:r>
              <w:rPr>
                <w:rFonts w:hint="default" w:ascii="Times New Roman" w:hAnsi="Times New Roman" w:eastAsia="宋体" w:cs="Times New Roman"/>
                <w:color w:val="auto"/>
                <w:sz w:val="26"/>
                <w:szCs w:val="26"/>
                <w:lang w:val="en-US" w:eastAsia="zh-CN"/>
              </w:rPr>
              <w:t>部分，是以科技创新和扩大开放双轮驱动，建设面向一带一路和成渝地区双城经济圈的智慧产业片区，借力中铝高端制造项目的落地，统筹布局智慧产业，打</w:t>
            </w:r>
            <w:r>
              <w:rPr>
                <w:rFonts w:hint="eastAsia" w:ascii="Times New Roman" w:hAnsi="Times New Roman" w:eastAsia="宋体" w:cs="Times New Roman"/>
                <w:color w:val="auto"/>
                <w:sz w:val="26"/>
                <w:szCs w:val="26"/>
                <w:lang w:val="en-US" w:eastAsia="zh-CN"/>
              </w:rPr>
              <w:t>造“轻量化材料应用之都”，新</w:t>
            </w:r>
            <w:r>
              <w:rPr>
                <w:rFonts w:hint="default" w:ascii="Times New Roman" w:hAnsi="Times New Roman" w:eastAsia="宋体" w:cs="Times New Roman"/>
                <w:color w:val="auto"/>
                <w:sz w:val="26"/>
                <w:szCs w:val="26"/>
                <w:lang w:val="en-US" w:eastAsia="zh-CN"/>
              </w:rPr>
              <w:t>建陶家城市组团，打造科学城南部科创策源地，优化提升</w:t>
            </w:r>
            <w:r>
              <w:rPr>
                <w:rFonts w:hint="eastAsia" w:ascii="Times New Roman" w:hAnsi="Times New Roman" w:eastAsia="宋体" w:cs="Times New Roman"/>
                <w:color w:val="auto"/>
                <w:sz w:val="26"/>
                <w:szCs w:val="26"/>
                <w:lang w:val="en-US" w:eastAsia="zh-CN"/>
              </w:rPr>
              <w:t>黄磏港“铁-公-水”联运</w:t>
            </w:r>
            <w:r>
              <w:rPr>
                <w:rFonts w:hint="default" w:ascii="Times New Roman" w:hAnsi="Times New Roman" w:eastAsia="宋体" w:cs="Times New Roman"/>
                <w:color w:val="auto"/>
                <w:sz w:val="26"/>
                <w:szCs w:val="26"/>
                <w:lang w:val="en-US" w:eastAsia="zh-CN"/>
              </w:rPr>
              <w:t>的对外物流口岸。</w:t>
            </w:r>
          </w:p>
          <w:p w14:paraId="4713BBC2">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2）主导产业</w:t>
            </w:r>
          </w:p>
          <w:p w14:paraId="5E553C3B">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西彭组团主导产业为装备制造、新材料、仓储物流。装备制造重点发展高端智能装备及机器人、航空航天装备、轨道交通装备等；新材料重点发展先进有色合金材料、气凝胶等其他新材料等。</w:t>
            </w:r>
          </w:p>
          <w:p w14:paraId="6A2DB368">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陶家组团主导产业为新能源、装备制造、新材料。新能源重点发展氢燃料电池商用整车、氢燃料电池核心关键零部件等；装备制造重点发展通机及农机；新材料重点发展先进有色合金材料。</w:t>
            </w:r>
          </w:p>
          <w:p w14:paraId="17AE571A">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铜罐驿组团未来主要发展生活性服务业，工业总体维持现状规模。</w:t>
            </w:r>
          </w:p>
          <w:p w14:paraId="2B7DAE54">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西彭工业园区范围内禁止新引入木质家具制造、报废汽车拆解，玻璃制造（除光伏玻璃外）项目。</w:t>
            </w:r>
          </w:p>
          <w:p w14:paraId="6EC4CB66">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本</w:t>
            </w:r>
            <w:r>
              <w:rPr>
                <w:rFonts w:hint="default" w:ascii="Times New Roman" w:hAnsi="Times New Roman" w:eastAsia="宋体" w:cs="Times New Roman"/>
                <w:color w:val="auto"/>
                <w:sz w:val="26"/>
                <w:szCs w:val="26"/>
                <w:lang w:val="en-US" w:eastAsia="zh-CN"/>
              </w:rPr>
              <w:t>项目位于西彭组团</w:t>
            </w:r>
            <w:r>
              <w:rPr>
                <w:rFonts w:hint="eastAsia" w:ascii="Times New Roman" w:hAnsi="Times New Roman" w:eastAsia="宋体" w:cs="Times New Roman"/>
                <w:color w:val="auto"/>
                <w:sz w:val="26"/>
                <w:szCs w:val="26"/>
                <w:lang w:val="en-US" w:eastAsia="zh-CN"/>
              </w:rPr>
              <w:t>B分区西南铝片区，属于有色金属合金制造及铸造行业</w:t>
            </w:r>
            <w:r>
              <w:rPr>
                <w:rFonts w:hint="default" w:ascii="Times New Roman" w:hAnsi="Times New Roman" w:eastAsia="宋体" w:cs="Times New Roman"/>
                <w:color w:val="auto"/>
                <w:sz w:val="26"/>
                <w:szCs w:val="26"/>
                <w:lang w:val="en-US" w:eastAsia="zh-CN"/>
              </w:rPr>
              <w:t>，</w:t>
            </w:r>
            <w:r>
              <w:rPr>
                <w:rFonts w:hint="eastAsia" w:ascii="Times New Roman" w:hAnsi="Times New Roman" w:eastAsia="宋体" w:cs="Times New Roman"/>
                <w:color w:val="auto"/>
                <w:sz w:val="26"/>
                <w:szCs w:val="26"/>
                <w:lang w:val="en-US" w:eastAsia="zh-CN"/>
              </w:rPr>
              <w:t>为组团重点发展行业</w:t>
            </w:r>
            <w:r>
              <w:rPr>
                <w:rFonts w:hint="default" w:ascii="Times New Roman" w:hAnsi="Times New Roman" w:eastAsia="宋体" w:cs="Times New Roman"/>
                <w:color w:val="auto"/>
                <w:sz w:val="26"/>
                <w:szCs w:val="26"/>
                <w:lang w:val="en-US" w:eastAsia="zh-CN"/>
              </w:rPr>
              <w:t>，符合园区产业定位。</w:t>
            </w:r>
          </w:p>
          <w:p w14:paraId="715E2A67">
            <w:pPr>
              <w:autoSpaceDE w:val="0"/>
              <w:autoSpaceDN w:val="0"/>
              <w:adjustRightInd w:val="0"/>
              <w:snapToGrid w:val="0"/>
              <w:spacing w:line="460" w:lineRule="exact"/>
              <w:rPr>
                <w:rFonts w:hint="eastAsia" w:ascii="Times New Roman" w:hAnsi="Times New Roman" w:eastAsia="宋体" w:cs="Times New Roman"/>
                <w:b/>
                <w:bCs/>
                <w:color w:val="auto"/>
                <w:kern w:val="0"/>
                <w:sz w:val="26"/>
                <w:szCs w:val="26"/>
              </w:rPr>
            </w:pPr>
            <w:r>
              <w:rPr>
                <w:rFonts w:hint="eastAsia" w:ascii="Times New Roman" w:hAnsi="Times New Roman" w:eastAsia="宋体" w:cs="Times New Roman"/>
                <w:b/>
                <w:bCs/>
                <w:color w:val="auto"/>
                <w:kern w:val="0"/>
                <w:sz w:val="26"/>
                <w:szCs w:val="26"/>
              </w:rPr>
              <w:t>1.2与规划环境影响评价结论及审查意见的符合性</w:t>
            </w:r>
          </w:p>
          <w:p w14:paraId="31C5C7C2">
            <w:pPr>
              <w:autoSpaceDE w:val="0"/>
              <w:autoSpaceDN w:val="0"/>
              <w:adjustRightInd w:val="0"/>
              <w:snapToGrid w:val="0"/>
              <w:spacing w:line="460" w:lineRule="exact"/>
              <w:rPr>
                <w:rFonts w:hint="eastAsia" w:ascii="Times New Roman" w:hAnsi="Times New Roman" w:eastAsia="宋体" w:cs="Times New Roman"/>
                <w:b/>
                <w:bCs/>
                <w:color w:val="auto"/>
                <w:kern w:val="0"/>
                <w:sz w:val="26"/>
                <w:szCs w:val="26"/>
              </w:rPr>
            </w:pPr>
            <w:r>
              <w:rPr>
                <w:rFonts w:hint="eastAsia" w:ascii="Times New Roman" w:hAnsi="Times New Roman" w:eastAsia="宋体" w:cs="Times New Roman"/>
                <w:b/>
                <w:bCs/>
                <w:color w:val="auto"/>
                <w:kern w:val="0"/>
                <w:sz w:val="26"/>
                <w:szCs w:val="26"/>
              </w:rPr>
              <w:t>1.2.1与规划环境影响评价结论的符合性分析</w:t>
            </w:r>
          </w:p>
          <w:p w14:paraId="23C22385">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根据《重庆西彭工业园区规划环境影响报告书（报批版）》及《重庆西彭工业园区规划补充环境影响报告书》，产业园区生态环境准入、优化调整建议及总量管控限值要求见下表。</w:t>
            </w:r>
          </w:p>
          <w:p w14:paraId="4BC21537">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b w:val="0"/>
                <w:bCs w:val="0"/>
                <w:color w:val="auto"/>
                <w:kern w:val="0"/>
                <w:sz w:val="26"/>
                <w:szCs w:val="26"/>
                <w:lang w:val="en-US" w:eastAsia="zh-CN"/>
              </w:rPr>
            </w:pPr>
            <w:r>
              <w:rPr>
                <w:rFonts w:hint="eastAsia" w:ascii="Times New Roman" w:hAnsi="Times New Roman" w:eastAsia="宋体" w:cs="Times New Roman"/>
                <w:b w:val="0"/>
                <w:bCs w:val="0"/>
                <w:color w:val="auto"/>
                <w:kern w:val="0"/>
                <w:sz w:val="26"/>
                <w:szCs w:val="26"/>
                <w:lang w:eastAsia="zh-CN"/>
              </w:rPr>
              <w:t>（</w:t>
            </w:r>
            <w:r>
              <w:rPr>
                <w:rFonts w:hint="eastAsia" w:ascii="Times New Roman" w:hAnsi="Times New Roman" w:eastAsia="宋体" w:cs="Times New Roman"/>
                <w:b w:val="0"/>
                <w:bCs w:val="0"/>
                <w:color w:val="auto"/>
                <w:kern w:val="0"/>
                <w:sz w:val="26"/>
                <w:szCs w:val="26"/>
                <w:lang w:val="en-US" w:eastAsia="zh-CN"/>
              </w:rPr>
              <w:t>1</w:t>
            </w:r>
            <w:r>
              <w:rPr>
                <w:rFonts w:hint="eastAsia" w:ascii="Times New Roman" w:hAnsi="Times New Roman" w:eastAsia="宋体" w:cs="Times New Roman"/>
                <w:b w:val="0"/>
                <w:bCs w:val="0"/>
                <w:color w:val="auto"/>
                <w:kern w:val="0"/>
                <w:sz w:val="26"/>
                <w:szCs w:val="26"/>
                <w:lang w:eastAsia="zh-CN"/>
              </w:rPr>
              <w:t>）</w:t>
            </w:r>
            <w:r>
              <w:rPr>
                <w:rFonts w:hint="eastAsia" w:ascii="Times New Roman" w:hAnsi="Times New Roman" w:eastAsia="宋体" w:cs="Times New Roman"/>
                <w:b w:val="0"/>
                <w:bCs w:val="0"/>
                <w:color w:val="auto"/>
                <w:kern w:val="0"/>
                <w:sz w:val="26"/>
                <w:szCs w:val="26"/>
                <w:lang w:val="en-US" w:eastAsia="zh-CN"/>
              </w:rPr>
              <w:t>生态环境准入</w:t>
            </w:r>
          </w:p>
          <w:p w14:paraId="52E00990">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ascii="Times New Roman" w:hAnsi="Times New Roman" w:eastAsia="宋体" w:cs="Times New Roman"/>
                <w:b/>
                <w:bCs/>
                <w:color w:val="auto"/>
                <w:kern w:val="0"/>
                <w:sz w:val="26"/>
                <w:szCs w:val="26"/>
              </w:rPr>
            </w:pPr>
            <w:r>
              <w:rPr>
                <w:rFonts w:hint="eastAsia" w:ascii="Times New Roman" w:hAnsi="Times New Roman" w:eastAsia="宋体" w:cs="Times New Roman"/>
                <w:b/>
                <w:bCs/>
                <w:color w:val="auto"/>
                <w:kern w:val="0"/>
                <w:sz w:val="26"/>
                <w:szCs w:val="26"/>
              </w:rPr>
              <w:t>表1.2</w:t>
            </w:r>
            <w:r>
              <w:rPr>
                <w:rFonts w:hint="eastAsia" w:ascii="Times New Roman" w:hAnsi="Times New Roman" w:eastAsia="宋体" w:cs="Times New Roman"/>
                <w:b/>
                <w:bCs/>
                <w:color w:val="auto"/>
                <w:kern w:val="0"/>
                <w:sz w:val="26"/>
                <w:szCs w:val="26"/>
                <w:lang w:val="en-US" w:eastAsia="zh-CN"/>
              </w:rPr>
              <w:t>-</w:t>
            </w:r>
            <w:r>
              <w:rPr>
                <w:rFonts w:hint="eastAsia" w:ascii="Times New Roman" w:hAnsi="Times New Roman" w:eastAsia="宋体" w:cs="Times New Roman"/>
                <w:b/>
                <w:bCs/>
                <w:color w:val="auto"/>
                <w:kern w:val="0"/>
                <w:sz w:val="26"/>
                <w:szCs w:val="26"/>
              </w:rPr>
              <w:t>1  与规划环境影响评价生态环境准入的符合性分析表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1"/>
              <w:gridCol w:w="452"/>
              <w:gridCol w:w="4063"/>
              <w:gridCol w:w="2421"/>
              <w:gridCol w:w="429"/>
            </w:tblGrid>
            <w:tr w14:paraId="1907E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tcBorders>
                    <w:tl2br w:val="nil"/>
                    <w:tr2bl w:val="nil"/>
                  </w:tcBorders>
                  <w:noWrap w:val="0"/>
                  <w:vAlign w:val="center"/>
                </w:tcPr>
                <w:p w14:paraId="225BBA55">
                  <w:pPr>
                    <w:autoSpaceDE w:val="0"/>
                    <w:autoSpaceDN w:val="0"/>
                    <w:jc w:val="left"/>
                    <w:rPr>
                      <w:rFonts w:hint="default" w:ascii="Times New Roman" w:hAnsi="Times New Roman" w:eastAsia="宋体" w:cs="Times New Roman"/>
                      <w:bCs/>
                      <w:color w:val="auto"/>
                      <w:sz w:val="22"/>
                      <w:szCs w:val="22"/>
                    </w:rPr>
                  </w:pPr>
                  <w:r>
                    <w:rPr>
                      <w:rFonts w:hint="default" w:ascii="Times New Roman" w:hAnsi="Times New Roman" w:eastAsia="宋体" w:cs="Times New Roman"/>
                      <w:bCs/>
                      <w:color w:val="auto"/>
                      <w:sz w:val="22"/>
                      <w:szCs w:val="22"/>
                    </w:rPr>
                    <w:t>序号</w:t>
                  </w:r>
                </w:p>
              </w:tc>
              <w:tc>
                <w:tcPr>
                  <w:tcW w:w="4662" w:type="dxa"/>
                  <w:gridSpan w:val="2"/>
                  <w:tcBorders>
                    <w:tl2br w:val="nil"/>
                    <w:tr2bl w:val="nil"/>
                  </w:tcBorders>
                  <w:noWrap w:val="0"/>
                  <w:vAlign w:val="center"/>
                </w:tcPr>
                <w:p w14:paraId="061C0449">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规划环境影响评价结论</w:t>
                  </w:r>
                  <w:r>
                    <w:rPr>
                      <w:rFonts w:hint="default" w:ascii="Times New Roman" w:hAnsi="Times New Roman" w:eastAsia="宋体" w:cs="Times New Roman"/>
                      <w:bCs/>
                      <w:color w:val="auto"/>
                      <w:sz w:val="22"/>
                      <w:szCs w:val="22"/>
                    </w:rPr>
                    <w:t>的相关要求</w:t>
                  </w:r>
                  <w:r>
                    <w:rPr>
                      <w:rFonts w:hint="eastAsia" w:ascii="Times New Roman" w:hAnsi="Times New Roman" w:eastAsia="宋体" w:cs="Times New Roman"/>
                      <w:bCs/>
                      <w:color w:val="auto"/>
                      <w:sz w:val="22"/>
                      <w:szCs w:val="22"/>
                    </w:rPr>
                    <w:t>（与项目相关部分）</w:t>
                  </w:r>
                </w:p>
              </w:tc>
              <w:tc>
                <w:tcPr>
                  <w:tcW w:w="2500" w:type="dxa"/>
                  <w:tcBorders>
                    <w:tl2br w:val="nil"/>
                    <w:tr2bl w:val="nil"/>
                  </w:tcBorders>
                  <w:noWrap w:val="0"/>
                  <w:vAlign w:val="center"/>
                </w:tcPr>
                <w:p w14:paraId="564ECD65">
                  <w:pPr>
                    <w:autoSpaceDE w:val="0"/>
                    <w:autoSpaceDN w:val="0"/>
                    <w:jc w:val="center"/>
                    <w:rPr>
                      <w:rFonts w:hint="default" w:ascii="Times New Roman" w:hAnsi="Times New Roman" w:eastAsia="宋体" w:cs="Times New Roman"/>
                      <w:bCs/>
                      <w:color w:val="auto"/>
                      <w:sz w:val="22"/>
                      <w:szCs w:val="22"/>
                    </w:rPr>
                  </w:pPr>
                  <w:r>
                    <w:rPr>
                      <w:rFonts w:hint="default" w:ascii="Times New Roman" w:hAnsi="Times New Roman" w:eastAsia="宋体" w:cs="Times New Roman"/>
                      <w:bCs/>
                      <w:color w:val="auto"/>
                      <w:sz w:val="22"/>
                      <w:szCs w:val="22"/>
                    </w:rPr>
                    <w:t>项目情况</w:t>
                  </w:r>
                </w:p>
              </w:tc>
              <w:tc>
                <w:tcPr>
                  <w:tcW w:w="436" w:type="dxa"/>
                  <w:tcBorders>
                    <w:tl2br w:val="nil"/>
                    <w:tr2bl w:val="nil"/>
                  </w:tcBorders>
                  <w:noWrap w:val="0"/>
                  <w:vAlign w:val="center"/>
                </w:tcPr>
                <w:p w14:paraId="733408E1">
                  <w:pPr>
                    <w:autoSpaceDE w:val="0"/>
                    <w:autoSpaceDN w:val="0"/>
                    <w:jc w:val="left"/>
                    <w:rPr>
                      <w:rFonts w:hint="default" w:ascii="Times New Roman" w:hAnsi="Times New Roman" w:eastAsia="宋体" w:cs="Times New Roman"/>
                      <w:bCs/>
                      <w:color w:val="auto"/>
                      <w:sz w:val="22"/>
                      <w:szCs w:val="22"/>
                    </w:rPr>
                  </w:pPr>
                  <w:r>
                    <w:rPr>
                      <w:rFonts w:hint="default" w:ascii="Times New Roman" w:hAnsi="Times New Roman" w:eastAsia="宋体" w:cs="Times New Roman"/>
                      <w:bCs/>
                      <w:color w:val="auto"/>
                      <w:sz w:val="22"/>
                      <w:szCs w:val="22"/>
                    </w:rPr>
                    <w:t>符合性</w:t>
                  </w:r>
                </w:p>
              </w:tc>
            </w:tr>
            <w:tr w14:paraId="463D0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restart"/>
                  <w:tcBorders>
                    <w:tl2br w:val="nil"/>
                    <w:tr2bl w:val="nil"/>
                  </w:tcBorders>
                  <w:noWrap w:val="0"/>
                  <w:vAlign w:val="center"/>
                </w:tcPr>
                <w:p w14:paraId="1B8238B1">
                  <w:pPr>
                    <w:autoSpaceDE w:val="0"/>
                    <w:autoSpaceDN w:val="0"/>
                    <w:jc w:val="left"/>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1</w:t>
                  </w:r>
                </w:p>
              </w:tc>
              <w:tc>
                <w:tcPr>
                  <w:tcW w:w="460" w:type="dxa"/>
                  <w:vMerge w:val="restart"/>
                  <w:tcBorders>
                    <w:tl2br w:val="nil"/>
                    <w:tr2bl w:val="nil"/>
                  </w:tcBorders>
                  <w:noWrap w:val="0"/>
                  <w:vAlign w:val="center"/>
                </w:tcPr>
                <w:p w14:paraId="61714D8F">
                  <w:pPr>
                    <w:autoSpaceDE w:val="0"/>
                    <w:autoSpaceDN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rPr>
                    <w:t>空间布局</w:t>
                  </w:r>
                  <w:r>
                    <w:rPr>
                      <w:rFonts w:hint="eastAsia" w:ascii="Times New Roman" w:hAnsi="Times New Roman" w:eastAsia="宋体" w:cs="Times New Roman"/>
                      <w:bCs/>
                      <w:color w:val="auto"/>
                      <w:sz w:val="22"/>
                      <w:szCs w:val="22"/>
                      <w:lang w:val="en-US" w:eastAsia="zh-CN"/>
                    </w:rPr>
                    <w:t>约束</w:t>
                  </w:r>
                </w:p>
              </w:tc>
              <w:tc>
                <w:tcPr>
                  <w:tcW w:w="4202" w:type="dxa"/>
                  <w:tcBorders>
                    <w:tl2br w:val="nil"/>
                    <w:tr2bl w:val="nil"/>
                  </w:tcBorders>
                  <w:noWrap w:val="0"/>
                  <w:vAlign w:val="center"/>
                </w:tcPr>
                <w:p w14:paraId="32351F64">
                  <w:pPr>
                    <w:adjustRightInd w:val="0"/>
                    <w:snapToGrid w:val="0"/>
                    <w:jc w:val="center"/>
                    <w:rPr>
                      <w:rFonts w:hint="default" w:ascii="Times New Roman" w:hAnsi="Times New Roman" w:eastAsia="宋体" w:cs="Times New Roman"/>
                      <w:bCs/>
                      <w:color w:val="auto"/>
                      <w:sz w:val="22"/>
                      <w:szCs w:val="22"/>
                      <w:lang w:val="en-US" w:eastAsia="zh-CN"/>
                    </w:rPr>
                  </w:pPr>
                  <w:r>
                    <w:rPr>
                      <w:rFonts w:hint="eastAsia"/>
                      <w:color w:val="auto"/>
                      <w:sz w:val="22"/>
                      <w:szCs w:val="22"/>
                      <w:highlight w:val="none"/>
                      <w:lang w:eastAsia="zh-CN"/>
                    </w:rPr>
                    <w:t>西彭组团东北侧科研用地兼一类工业用地（C61-1/01、C61-4/01、C61-5/01、C62-1/01、C62-3/01、C63-1/01、C63-2/01）后续引入项目时应考虑以污染较轻的项目为主，禁止新建涉及喷漆、酸洗、熔炼等异味较大的生产工艺项目</w:t>
                  </w:r>
                </w:p>
              </w:tc>
              <w:tc>
                <w:tcPr>
                  <w:tcW w:w="2500" w:type="dxa"/>
                  <w:tcBorders>
                    <w:tl2br w:val="nil"/>
                    <w:tr2bl w:val="nil"/>
                  </w:tcBorders>
                  <w:noWrap w:val="0"/>
                  <w:vAlign w:val="center"/>
                </w:tcPr>
                <w:p w14:paraId="482FC9C8">
                  <w:pPr>
                    <w:autoSpaceDE w:val="0"/>
                    <w:autoSpaceDN w:val="0"/>
                    <w:jc w:val="both"/>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本项目属于西彭组团B分区，不涉及C分区工业用地管控要求，距离C61~C63用地约1000m</w:t>
                  </w:r>
                </w:p>
              </w:tc>
              <w:tc>
                <w:tcPr>
                  <w:tcW w:w="436" w:type="dxa"/>
                  <w:tcBorders>
                    <w:tl2br w:val="nil"/>
                    <w:tr2bl w:val="nil"/>
                  </w:tcBorders>
                  <w:noWrap w:val="0"/>
                  <w:vAlign w:val="center"/>
                </w:tcPr>
                <w:p w14:paraId="0CC17007">
                  <w:pPr>
                    <w:autoSpaceDE w:val="0"/>
                    <w:autoSpaceDN w:val="0"/>
                    <w:jc w:val="left"/>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符合</w:t>
                  </w:r>
                </w:p>
              </w:tc>
            </w:tr>
            <w:tr w14:paraId="116C88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noWrap w:val="0"/>
                  <w:vAlign w:val="center"/>
                </w:tcPr>
                <w:p w14:paraId="5E004F02">
                  <w:pPr>
                    <w:autoSpaceDE w:val="0"/>
                    <w:autoSpaceDN w:val="0"/>
                    <w:jc w:val="left"/>
                    <w:rPr>
                      <w:rFonts w:hint="eastAsia" w:ascii="Times New Roman" w:hAnsi="Times New Roman" w:eastAsia="宋体" w:cs="Times New Roman"/>
                      <w:bCs/>
                      <w:color w:val="auto"/>
                      <w:sz w:val="22"/>
                      <w:szCs w:val="22"/>
                    </w:rPr>
                  </w:pPr>
                </w:p>
              </w:tc>
              <w:tc>
                <w:tcPr>
                  <w:tcW w:w="460" w:type="dxa"/>
                  <w:vMerge w:val="continue"/>
                  <w:tcBorders>
                    <w:tl2br w:val="nil"/>
                    <w:tr2bl w:val="nil"/>
                  </w:tcBorders>
                  <w:noWrap w:val="0"/>
                  <w:vAlign w:val="center"/>
                </w:tcPr>
                <w:p w14:paraId="270531D9">
                  <w:pPr>
                    <w:autoSpaceDE w:val="0"/>
                    <w:autoSpaceDN w:val="0"/>
                    <w:jc w:val="left"/>
                    <w:rPr>
                      <w:rFonts w:hint="eastAsia" w:ascii="Times New Roman" w:hAnsi="Times New Roman" w:eastAsia="宋体" w:cs="Times New Roman"/>
                      <w:bCs/>
                      <w:color w:val="auto"/>
                      <w:sz w:val="22"/>
                      <w:szCs w:val="22"/>
                    </w:rPr>
                  </w:pPr>
                </w:p>
              </w:tc>
              <w:tc>
                <w:tcPr>
                  <w:tcW w:w="4202" w:type="dxa"/>
                  <w:tcBorders>
                    <w:tl2br w:val="nil"/>
                    <w:tr2bl w:val="nil"/>
                  </w:tcBorders>
                  <w:noWrap w:val="0"/>
                  <w:vAlign w:val="center"/>
                </w:tcPr>
                <w:p w14:paraId="45ADABDC">
                  <w:pPr>
                    <w:adjustRightInd w:val="0"/>
                    <w:snapToGrid w:val="0"/>
                    <w:jc w:val="center"/>
                    <w:rPr>
                      <w:rFonts w:hint="default" w:ascii="Times New Roman" w:hAnsi="Times New Roman" w:eastAsia="宋体" w:cs="Times New Roman"/>
                      <w:bCs/>
                      <w:color w:val="auto"/>
                      <w:sz w:val="22"/>
                      <w:szCs w:val="22"/>
                      <w:lang w:val="en-US" w:eastAsia="zh-CN"/>
                    </w:rPr>
                  </w:pPr>
                  <w:r>
                    <w:rPr>
                      <w:rFonts w:hint="eastAsia"/>
                      <w:color w:val="auto"/>
                      <w:sz w:val="22"/>
                      <w:szCs w:val="22"/>
                      <w:highlight w:val="none"/>
                    </w:rPr>
                    <w:t>西彭组团临近居住的A31/04、A33/04、A34/04、A30-1-1/06地块在新引入项目时应引入不涉及喷漆、酸洗、熔炼、铸造等异味较大的项目</w:t>
                  </w:r>
                </w:p>
              </w:tc>
              <w:tc>
                <w:tcPr>
                  <w:tcW w:w="2500" w:type="dxa"/>
                  <w:tcBorders>
                    <w:tl2br w:val="nil"/>
                    <w:tr2bl w:val="nil"/>
                  </w:tcBorders>
                  <w:noWrap w:val="0"/>
                  <w:vAlign w:val="center"/>
                </w:tcPr>
                <w:p w14:paraId="4C470103">
                  <w:pPr>
                    <w:autoSpaceDE w:val="0"/>
                    <w:autoSpaceDN w:val="0"/>
                    <w:jc w:val="both"/>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本项目属于西彭组团B分区，不涉及A分区工业用地管控要求，距离A分区居住约1700m</w:t>
                  </w:r>
                </w:p>
              </w:tc>
              <w:tc>
                <w:tcPr>
                  <w:tcW w:w="436" w:type="dxa"/>
                  <w:tcBorders>
                    <w:tl2br w:val="nil"/>
                    <w:tr2bl w:val="nil"/>
                  </w:tcBorders>
                  <w:noWrap w:val="0"/>
                  <w:vAlign w:val="center"/>
                </w:tcPr>
                <w:p w14:paraId="2F59D75F">
                  <w:pPr>
                    <w:autoSpaceDE w:val="0"/>
                    <w:autoSpaceDN w:val="0"/>
                    <w:jc w:val="left"/>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符合</w:t>
                  </w:r>
                </w:p>
              </w:tc>
            </w:tr>
            <w:tr w14:paraId="31A1D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noWrap w:val="0"/>
                  <w:vAlign w:val="center"/>
                </w:tcPr>
                <w:p w14:paraId="39968BF7">
                  <w:pPr>
                    <w:autoSpaceDE w:val="0"/>
                    <w:autoSpaceDN w:val="0"/>
                    <w:jc w:val="left"/>
                    <w:rPr>
                      <w:rFonts w:hint="eastAsia" w:ascii="Times New Roman" w:hAnsi="Times New Roman" w:eastAsia="宋体" w:cs="Times New Roman"/>
                      <w:bCs/>
                      <w:color w:val="auto"/>
                      <w:sz w:val="22"/>
                      <w:szCs w:val="22"/>
                    </w:rPr>
                  </w:pPr>
                </w:p>
              </w:tc>
              <w:tc>
                <w:tcPr>
                  <w:tcW w:w="460" w:type="dxa"/>
                  <w:vMerge w:val="continue"/>
                  <w:tcBorders>
                    <w:tl2br w:val="nil"/>
                    <w:tr2bl w:val="nil"/>
                  </w:tcBorders>
                  <w:noWrap w:val="0"/>
                  <w:vAlign w:val="center"/>
                </w:tcPr>
                <w:p w14:paraId="1CD712F5">
                  <w:pPr>
                    <w:autoSpaceDE w:val="0"/>
                    <w:autoSpaceDN w:val="0"/>
                    <w:jc w:val="left"/>
                    <w:rPr>
                      <w:rFonts w:hint="eastAsia" w:ascii="Times New Roman" w:hAnsi="Times New Roman" w:eastAsia="宋体" w:cs="Times New Roman"/>
                      <w:bCs/>
                      <w:color w:val="auto"/>
                      <w:sz w:val="22"/>
                      <w:szCs w:val="22"/>
                    </w:rPr>
                  </w:pPr>
                </w:p>
              </w:tc>
              <w:tc>
                <w:tcPr>
                  <w:tcW w:w="4202" w:type="dxa"/>
                  <w:tcBorders>
                    <w:tl2br w:val="nil"/>
                    <w:tr2bl w:val="nil"/>
                  </w:tcBorders>
                  <w:noWrap w:val="0"/>
                  <w:vAlign w:val="center"/>
                </w:tcPr>
                <w:p w14:paraId="33B8DD54">
                  <w:pPr>
                    <w:adjustRightInd w:val="0"/>
                    <w:snapToGrid w:val="0"/>
                    <w:jc w:val="center"/>
                    <w:rPr>
                      <w:rFonts w:hint="default" w:ascii="Times New Roman" w:hAnsi="Times New Roman" w:eastAsia="宋体" w:cs="Times New Roman"/>
                      <w:bCs/>
                      <w:color w:val="auto"/>
                      <w:sz w:val="22"/>
                      <w:szCs w:val="22"/>
                      <w:lang w:val="en-US" w:eastAsia="zh-CN"/>
                    </w:rPr>
                  </w:pPr>
                  <w:r>
                    <w:rPr>
                      <w:rFonts w:hint="eastAsia"/>
                      <w:color w:val="auto"/>
                      <w:sz w:val="22"/>
                      <w:szCs w:val="22"/>
                      <w:highlight w:val="none"/>
                      <w:lang w:eastAsia="zh-CN"/>
                    </w:rPr>
                    <w:t>陶家组团规划的工业用地（</w:t>
                  </w:r>
                  <w:r>
                    <w:rPr>
                      <w:rFonts w:hint="eastAsia"/>
                      <w:color w:val="auto"/>
                      <w:sz w:val="22"/>
                      <w:szCs w:val="22"/>
                      <w:highlight w:val="none"/>
                      <w:lang w:val="en-US" w:eastAsia="zh-CN"/>
                    </w:rPr>
                    <w:t>O</w:t>
                  </w:r>
                  <w:r>
                    <w:rPr>
                      <w:rFonts w:hint="eastAsia"/>
                      <w:color w:val="auto"/>
                      <w:sz w:val="22"/>
                      <w:szCs w:val="22"/>
                      <w:highlight w:val="none"/>
                      <w:lang w:eastAsia="zh-CN"/>
                    </w:rPr>
                    <w:t>80-04/01、</w:t>
                  </w:r>
                  <w:r>
                    <w:rPr>
                      <w:rFonts w:hint="eastAsia"/>
                      <w:color w:val="auto"/>
                      <w:sz w:val="22"/>
                      <w:szCs w:val="22"/>
                      <w:highlight w:val="none"/>
                      <w:lang w:val="en-US" w:eastAsia="zh-CN"/>
                    </w:rPr>
                    <w:t>O</w:t>
                  </w:r>
                  <w:r>
                    <w:rPr>
                      <w:rFonts w:hint="eastAsia"/>
                      <w:color w:val="auto"/>
                      <w:sz w:val="22"/>
                      <w:szCs w:val="22"/>
                      <w:highlight w:val="none"/>
                      <w:lang w:eastAsia="zh-CN"/>
                    </w:rPr>
                    <w:t>80-01/04、L1-02-2/03、L1-02-1/03、L4-03/01、L9-01/02、L27-02-1/04、J41-9/01、J41-10/01）禁止引入涉及喷漆、熔炼、铸造等异味较大的生产工艺项目</w:t>
                  </w:r>
                </w:p>
              </w:tc>
              <w:tc>
                <w:tcPr>
                  <w:tcW w:w="2500" w:type="dxa"/>
                  <w:tcBorders>
                    <w:tl2br w:val="nil"/>
                    <w:tr2bl w:val="nil"/>
                  </w:tcBorders>
                  <w:noWrap w:val="0"/>
                  <w:vAlign w:val="center"/>
                </w:tcPr>
                <w:p w14:paraId="236DABD8">
                  <w:pPr>
                    <w:autoSpaceDE w:val="0"/>
                    <w:autoSpaceDN w:val="0"/>
                    <w:jc w:val="both"/>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本项目属于西彭组团B分区，不涉及陶家组团</w:t>
                  </w:r>
                </w:p>
              </w:tc>
              <w:tc>
                <w:tcPr>
                  <w:tcW w:w="436" w:type="dxa"/>
                  <w:tcBorders>
                    <w:tl2br w:val="nil"/>
                    <w:tr2bl w:val="nil"/>
                  </w:tcBorders>
                  <w:noWrap w:val="0"/>
                  <w:vAlign w:val="center"/>
                </w:tcPr>
                <w:p w14:paraId="6FA61E7E">
                  <w:pPr>
                    <w:autoSpaceDE w:val="0"/>
                    <w:autoSpaceDN w:val="0"/>
                    <w:jc w:val="left"/>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符合</w:t>
                  </w:r>
                </w:p>
              </w:tc>
            </w:tr>
            <w:tr w14:paraId="136037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noWrap w:val="0"/>
                  <w:vAlign w:val="center"/>
                </w:tcPr>
                <w:p w14:paraId="231A5354">
                  <w:pPr>
                    <w:autoSpaceDE w:val="0"/>
                    <w:autoSpaceDN w:val="0"/>
                    <w:jc w:val="left"/>
                    <w:rPr>
                      <w:rFonts w:hint="eastAsia" w:ascii="Times New Roman" w:hAnsi="Times New Roman" w:eastAsia="宋体" w:cs="Times New Roman"/>
                      <w:bCs/>
                      <w:color w:val="auto"/>
                      <w:sz w:val="22"/>
                      <w:szCs w:val="22"/>
                    </w:rPr>
                  </w:pPr>
                </w:p>
              </w:tc>
              <w:tc>
                <w:tcPr>
                  <w:tcW w:w="460" w:type="dxa"/>
                  <w:vMerge w:val="continue"/>
                  <w:tcBorders>
                    <w:tl2br w:val="nil"/>
                    <w:tr2bl w:val="nil"/>
                  </w:tcBorders>
                  <w:noWrap w:val="0"/>
                  <w:vAlign w:val="center"/>
                </w:tcPr>
                <w:p w14:paraId="3F865D11">
                  <w:pPr>
                    <w:autoSpaceDE w:val="0"/>
                    <w:autoSpaceDN w:val="0"/>
                    <w:jc w:val="left"/>
                    <w:rPr>
                      <w:rFonts w:hint="eastAsia" w:ascii="Times New Roman" w:hAnsi="Times New Roman" w:eastAsia="宋体" w:cs="Times New Roman"/>
                      <w:bCs/>
                      <w:color w:val="auto"/>
                      <w:sz w:val="22"/>
                      <w:szCs w:val="22"/>
                    </w:rPr>
                  </w:pPr>
                </w:p>
              </w:tc>
              <w:tc>
                <w:tcPr>
                  <w:tcW w:w="4202" w:type="dxa"/>
                  <w:tcBorders>
                    <w:tl2br w:val="nil"/>
                    <w:tr2bl w:val="nil"/>
                  </w:tcBorders>
                  <w:noWrap w:val="0"/>
                  <w:vAlign w:val="center"/>
                </w:tcPr>
                <w:p w14:paraId="7C6285BD">
                  <w:pPr>
                    <w:adjustRightInd w:val="0"/>
                    <w:snapToGrid w:val="0"/>
                    <w:jc w:val="center"/>
                    <w:rPr>
                      <w:rFonts w:hint="default" w:ascii="Times New Roman" w:hAnsi="Times New Roman" w:eastAsia="宋体" w:cs="Times New Roman"/>
                      <w:bCs/>
                      <w:color w:val="auto"/>
                      <w:sz w:val="22"/>
                      <w:szCs w:val="22"/>
                      <w:lang w:val="en-US" w:eastAsia="zh-CN"/>
                    </w:rPr>
                  </w:pPr>
                  <w:r>
                    <w:rPr>
                      <w:rFonts w:hint="eastAsia"/>
                      <w:color w:val="auto"/>
                      <w:sz w:val="22"/>
                      <w:szCs w:val="22"/>
                      <w:highlight w:val="none"/>
                      <w:lang w:eastAsia="zh-CN"/>
                    </w:rPr>
                    <w:t>规划区禁止新引入木质家具制造、报废汽车拆解，玻璃制造（除光伏玻璃外）工业项目</w:t>
                  </w:r>
                </w:p>
              </w:tc>
              <w:tc>
                <w:tcPr>
                  <w:tcW w:w="2500" w:type="dxa"/>
                  <w:tcBorders>
                    <w:tl2br w:val="nil"/>
                    <w:tr2bl w:val="nil"/>
                  </w:tcBorders>
                  <w:noWrap w:val="0"/>
                  <w:vAlign w:val="center"/>
                </w:tcPr>
                <w:p w14:paraId="06E5355C">
                  <w:pPr>
                    <w:autoSpaceDE w:val="0"/>
                    <w:autoSpaceDN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本项目属于有色金属合金制造及铸造行业，不属于禁止类工业项目</w:t>
                  </w:r>
                </w:p>
              </w:tc>
              <w:tc>
                <w:tcPr>
                  <w:tcW w:w="436" w:type="dxa"/>
                  <w:tcBorders>
                    <w:tl2br w:val="nil"/>
                    <w:tr2bl w:val="nil"/>
                  </w:tcBorders>
                  <w:noWrap w:val="0"/>
                  <w:vAlign w:val="center"/>
                </w:tcPr>
                <w:p w14:paraId="2C637F21">
                  <w:pPr>
                    <w:autoSpaceDE w:val="0"/>
                    <w:autoSpaceDN w:val="0"/>
                    <w:jc w:val="left"/>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符合</w:t>
                  </w:r>
                </w:p>
              </w:tc>
            </w:tr>
            <w:tr w14:paraId="7F6D4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noWrap w:val="0"/>
                  <w:vAlign w:val="center"/>
                </w:tcPr>
                <w:p w14:paraId="795F70D8">
                  <w:pPr>
                    <w:autoSpaceDE w:val="0"/>
                    <w:autoSpaceDN w:val="0"/>
                    <w:jc w:val="left"/>
                    <w:rPr>
                      <w:rFonts w:hint="eastAsia" w:ascii="Times New Roman" w:hAnsi="Times New Roman" w:eastAsia="宋体" w:cs="Times New Roman"/>
                      <w:bCs/>
                      <w:color w:val="auto"/>
                      <w:sz w:val="22"/>
                      <w:szCs w:val="22"/>
                    </w:rPr>
                  </w:pPr>
                </w:p>
              </w:tc>
              <w:tc>
                <w:tcPr>
                  <w:tcW w:w="460" w:type="dxa"/>
                  <w:vMerge w:val="continue"/>
                  <w:tcBorders>
                    <w:tl2br w:val="nil"/>
                    <w:tr2bl w:val="nil"/>
                  </w:tcBorders>
                  <w:noWrap w:val="0"/>
                  <w:vAlign w:val="center"/>
                </w:tcPr>
                <w:p w14:paraId="637536F8">
                  <w:pPr>
                    <w:adjustRightInd w:val="0"/>
                    <w:snapToGrid w:val="0"/>
                    <w:jc w:val="center"/>
                    <w:rPr>
                      <w:rFonts w:hint="eastAsia" w:ascii="Times New Roman" w:hAnsi="Times New Roman" w:eastAsia="宋体" w:cs="Times New Roman"/>
                      <w:color w:val="auto"/>
                      <w:sz w:val="22"/>
                      <w:szCs w:val="22"/>
                      <w:highlight w:val="none"/>
                      <w:lang w:eastAsia="zh-CN"/>
                    </w:rPr>
                  </w:pPr>
                </w:p>
              </w:tc>
              <w:tc>
                <w:tcPr>
                  <w:tcW w:w="4202" w:type="dxa"/>
                  <w:tcBorders>
                    <w:tl2br w:val="nil"/>
                    <w:tr2bl w:val="nil"/>
                  </w:tcBorders>
                  <w:noWrap w:val="0"/>
                  <w:vAlign w:val="center"/>
                </w:tcPr>
                <w:p w14:paraId="2A2CE9B4">
                  <w:pPr>
                    <w:adjustRightInd w:val="0"/>
                    <w:snapToGrid w:val="0"/>
                    <w:jc w:val="center"/>
                    <w:rPr>
                      <w:rFonts w:hint="eastAsia" w:ascii="Times New Roman" w:hAnsi="Times New Roman" w:eastAsia="宋体" w:cs="Times New Roman"/>
                      <w:color w:val="auto"/>
                      <w:sz w:val="22"/>
                      <w:szCs w:val="22"/>
                      <w:highlight w:val="none"/>
                      <w:lang w:eastAsia="zh-CN"/>
                    </w:rPr>
                  </w:pPr>
                  <w:r>
                    <w:rPr>
                      <w:rFonts w:hint="eastAsia" w:ascii="Times New Roman" w:hAnsi="Times New Roman" w:eastAsia="宋体" w:cs="Times New Roman"/>
                      <w:color w:val="auto"/>
                      <w:sz w:val="22"/>
                      <w:szCs w:val="22"/>
                      <w:highlight w:val="none"/>
                      <w:lang w:eastAsia="zh-CN"/>
                    </w:rPr>
                    <w:t>E07单元05街区018/01地块禁止引入高噪声以及涉及喷漆、酸洗、熔炼、铸造等异味明显的生产项目，企业生产线往地块中部布局，并确保企业与居住区等环境敏感目标留有一定的防护距离（防护距离由项目环评具体确定）</w:t>
                  </w:r>
                </w:p>
              </w:tc>
              <w:tc>
                <w:tcPr>
                  <w:tcW w:w="2500" w:type="dxa"/>
                  <w:tcBorders>
                    <w:tl2br w:val="nil"/>
                    <w:tr2bl w:val="nil"/>
                  </w:tcBorders>
                  <w:noWrap w:val="0"/>
                  <w:vAlign w:val="center"/>
                </w:tcPr>
                <w:p w14:paraId="33B7A161">
                  <w:pPr>
                    <w:adjustRightInd w:val="0"/>
                    <w:snapToGrid w:val="0"/>
                    <w:jc w:val="center"/>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本项目位于B01-2-5/04地块，与</w:t>
                  </w:r>
                  <w:r>
                    <w:rPr>
                      <w:rFonts w:hint="eastAsia" w:ascii="Times New Roman" w:hAnsi="Times New Roman" w:eastAsia="宋体" w:cs="Times New Roman"/>
                      <w:color w:val="auto"/>
                      <w:sz w:val="22"/>
                      <w:szCs w:val="22"/>
                      <w:highlight w:val="none"/>
                      <w:lang w:eastAsia="zh-CN"/>
                    </w:rPr>
                    <w:t>E07单元05街区018/01地块</w:t>
                  </w:r>
                  <w:r>
                    <w:rPr>
                      <w:rFonts w:hint="eastAsia" w:ascii="Times New Roman" w:hAnsi="Times New Roman" w:eastAsia="宋体" w:cs="Times New Roman"/>
                      <w:color w:val="auto"/>
                      <w:sz w:val="22"/>
                      <w:szCs w:val="22"/>
                      <w:highlight w:val="none"/>
                      <w:lang w:val="en-US" w:eastAsia="zh-CN"/>
                    </w:rPr>
                    <w:t>相距较远</w:t>
                  </w:r>
                </w:p>
              </w:tc>
              <w:tc>
                <w:tcPr>
                  <w:tcW w:w="436" w:type="dxa"/>
                  <w:tcBorders>
                    <w:tl2br w:val="nil"/>
                    <w:tr2bl w:val="nil"/>
                  </w:tcBorders>
                  <w:noWrap w:val="0"/>
                  <w:vAlign w:val="center"/>
                </w:tcPr>
                <w:p w14:paraId="32B54CA6">
                  <w:pPr>
                    <w:adjustRightInd w:val="0"/>
                    <w:snapToGrid w:val="0"/>
                    <w:jc w:val="center"/>
                    <w:rPr>
                      <w:rFonts w:hint="eastAsia" w:ascii="Times New Roman" w:hAnsi="Times New Roman" w:eastAsia="宋体" w:cs="Times New Roman"/>
                      <w:color w:val="auto"/>
                      <w:sz w:val="22"/>
                      <w:szCs w:val="22"/>
                      <w:highlight w:val="none"/>
                      <w:lang w:eastAsia="zh-CN"/>
                    </w:rPr>
                  </w:pPr>
                  <w:r>
                    <w:rPr>
                      <w:rFonts w:hint="eastAsia" w:ascii="Times New Roman" w:hAnsi="Times New Roman" w:eastAsia="宋体" w:cs="Times New Roman"/>
                      <w:bCs/>
                      <w:color w:val="auto"/>
                      <w:sz w:val="22"/>
                      <w:szCs w:val="22"/>
                    </w:rPr>
                    <w:t>符合</w:t>
                  </w:r>
                </w:p>
              </w:tc>
            </w:tr>
            <w:tr w14:paraId="4B6BBD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67" w:type="dxa"/>
                  <w:vMerge w:val="restart"/>
                  <w:tcBorders>
                    <w:tl2br w:val="nil"/>
                    <w:tr2bl w:val="nil"/>
                  </w:tcBorders>
                  <w:noWrap w:val="0"/>
                  <w:vAlign w:val="center"/>
                </w:tcPr>
                <w:p w14:paraId="26B5DBC8">
                  <w:pPr>
                    <w:autoSpaceDE w:val="0"/>
                    <w:autoSpaceDN w:val="0"/>
                    <w:jc w:val="left"/>
                    <w:rPr>
                      <w:rFonts w:hint="default"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2</w:t>
                  </w:r>
                </w:p>
              </w:tc>
              <w:tc>
                <w:tcPr>
                  <w:tcW w:w="460" w:type="dxa"/>
                  <w:vMerge w:val="restart"/>
                  <w:tcBorders>
                    <w:tl2br w:val="nil"/>
                    <w:tr2bl w:val="nil"/>
                  </w:tcBorders>
                  <w:noWrap w:val="0"/>
                  <w:vAlign w:val="center"/>
                </w:tcPr>
                <w:p w14:paraId="4916DFB4">
                  <w:pPr>
                    <w:autoSpaceDE w:val="0"/>
                    <w:autoSpaceDN w:val="0"/>
                    <w:jc w:val="left"/>
                    <w:rPr>
                      <w:rFonts w:hint="eastAsia"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rPr>
                    <w:t>污染物排放管控</w:t>
                  </w:r>
                </w:p>
              </w:tc>
              <w:tc>
                <w:tcPr>
                  <w:tcW w:w="4202" w:type="dxa"/>
                  <w:tcBorders>
                    <w:tl2br w:val="nil"/>
                    <w:tr2bl w:val="nil"/>
                  </w:tcBorders>
                  <w:noWrap w:val="0"/>
                  <w:vAlign w:val="center"/>
                </w:tcPr>
                <w:p w14:paraId="4DC7992D">
                  <w:pPr>
                    <w:adjustRightInd w:val="0"/>
                    <w:snapToGrid w:val="0"/>
                    <w:jc w:val="center"/>
                    <w:rPr>
                      <w:rFonts w:hint="eastAsia" w:ascii="Times New Roman" w:hAnsi="Times New Roman" w:eastAsia="宋体" w:cs="Times New Roman"/>
                      <w:bCs/>
                      <w:color w:val="auto"/>
                      <w:sz w:val="22"/>
                      <w:szCs w:val="22"/>
                      <w:lang w:val="en-US" w:eastAsia="zh-CN"/>
                    </w:rPr>
                  </w:pPr>
                  <w:r>
                    <w:rPr>
                      <w:rFonts w:hint="eastAsia"/>
                      <w:color w:val="auto"/>
                      <w:sz w:val="22"/>
                      <w:szCs w:val="22"/>
                      <w:highlight w:val="none"/>
                      <w:lang w:eastAsia="zh-CN"/>
                    </w:rPr>
                    <w:t>规划区范围内污染物排放总量不得突破本次规划环评确定的污染物排放总量限值</w:t>
                  </w:r>
                </w:p>
              </w:tc>
              <w:tc>
                <w:tcPr>
                  <w:tcW w:w="2500" w:type="dxa"/>
                  <w:tcBorders>
                    <w:tl2br w:val="nil"/>
                    <w:tr2bl w:val="nil"/>
                  </w:tcBorders>
                  <w:noWrap w:val="0"/>
                  <w:vAlign w:val="center"/>
                </w:tcPr>
                <w:p w14:paraId="16C20FA7">
                  <w:pPr>
                    <w:keepNext w:val="0"/>
                    <w:keepLines w:val="0"/>
                    <w:pageBreakBefore w:val="0"/>
                    <w:widowControl w:val="0"/>
                    <w:kinsoku/>
                    <w:wordWrap w:val="0"/>
                    <w:overflowPunct/>
                    <w:topLinePunct w:val="0"/>
                    <w:autoSpaceDE w:val="0"/>
                    <w:autoSpaceDN w:val="0"/>
                    <w:bidi w:val="0"/>
                    <w:adjustRightInd/>
                    <w:snapToGrid/>
                    <w:jc w:val="both"/>
                    <w:textAlignment w:val="auto"/>
                    <w:rPr>
                      <w:rFonts w:hint="default" w:ascii="Times New Roman" w:hAnsi="Times New Roman" w:eastAsia="宋体" w:cs="Times New Roman"/>
                      <w:bCs/>
                      <w:color w:val="auto"/>
                      <w:sz w:val="22"/>
                      <w:szCs w:val="22"/>
                      <w:lang w:val="en-US" w:eastAsia="zh-CN"/>
                    </w:rPr>
                  </w:pPr>
                  <w:r>
                    <w:rPr>
                      <w:rFonts w:hint="eastAsia"/>
                      <w:color w:val="auto"/>
                      <w:sz w:val="22"/>
                      <w:szCs w:val="22"/>
                      <w:lang w:val="en-US" w:eastAsia="zh-CN"/>
                    </w:rPr>
                    <w:t>本项目实施后全厂新增废气排放量SO</w:t>
                  </w:r>
                  <w:r>
                    <w:rPr>
                      <w:rFonts w:hint="eastAsia"/>
                      <w:color w:val="auto"/>
                      <w:sz w:val="22"/>
                      <w:szCs w:val="22"/>
                      <w:vertAlign w:val="subscript"/>
                      <w:lang w:val="en-US" w:eastAsia="zh-CN"/>
                    </w:rPr>
                    <w:t>2</w:t>
                  </w:r>
                  <w:r>
                    <w:rPr>
                      <w:rFonts w:hint="eastAsia"/>
                      <w:color w:val="auto"/>
                      <w:sz w:val="22"/>
                      <w:szCs w:val="22"/>
                      <w:lang w:val="en-US" w:eastAsia="zh-CN"/>
                    </w:rPr>
                    <w:t xml:space="preserve"> 0.788t/a、NOx 13.214t/a，不新增废水污染物排放量，废气及废水排放量均不突破本次规划环评确定总量限值</w:t>
                  </w:r>
                </w:p>
              </w:tc>
              <w:tc>
                <w:tcPr>
                  <w:tcW w:w="436" w:type="dxa"/>
                  <w:tcBorders>
                    <w:tl2br w:val="nil"/>
                    <w:tr2bl w:val="nil"/>
                  </w:tcBorders>
                  <w:noWrap w:val="0"/>
                  <w:vAlign w:val="center"/>
                </w:tcPr>
                <w:p w14:paraId="7B69D34A">
                  <w:pPr>
                    <w:autoSpaceDE w:val="0"/>
                    <w:autoSpaceDN w:val="0"/>
                    <w:jc w:val="left"/>
                    <w:rPr>
                      <w:rFonts w:hint="default"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符合</w:t>
                  </w:r>
                </w:p>
              </w:tc>
            </w:tr>
            <w:tr w14:paraId="407F2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noWrap w:val="0"/>
                  <w:vAlign w:val="center"/>
                </w:tcPr>
                <w:p w14:paraId="4406322C">
                  <w:pPr>
                    <w:autoSpaceDE w:val="0"/>
                    <w:autoSpaceDN w:val="0"/>
                    <w:jc w:val="left"/>
                    <w:rPr>
                      <w:rFonts w:hint="eastAsia" w:ascii="Times New Roman" w:hAnsi="Times New Roman" w:eastAsia="宋体" w:cs="Times New Roman"/>
                      <w:bCs/>
                      <w:color w:val="auto"/>
                      <w:sz w:val="22"/>
                      <w:szCs w:val="22"/>
                    </w:rPr>
                  </w:pPr>
                </w:p>
              </w:tc>
              <w:tc>
                <w:tcPr>
                  <w:tcW w:w="460" w:type="dxa"/>
                  <w:vMerge w:val="continue"/>
                  <w:tcBorders>
                    <w:tl2br w:val="nil"/>
                    <w:tr2bl w:val="nil"/>
                  </w:tcBorders>
                  <w:noWrap w:val="0"/>
                  <w:vAlign w:val="center"/>
                </w:tcPr>
                <w:p w14:paraId="75D4B4CF">
                  <w:pPr>
                    <w:autoSpaceDE w:val="0"/>
                    <w:autoSpaceDN w:val="0"/>
                    <w:jc w:val="left"/>
                    <w:rPr>
                      <w:rFonts w:hint="default" w:ascii="Times New Roman" w:hAnsi="Times New Roman" w:eastAsia="宋体" w:cs="Times New Roman"/>
                      <w:bCs/>
                      <w:color w:val="auto"/>
                      <w:sz w:val="22"/>
                      <w:szCs w:val="22"/>
                    </w:rPr>
                  </w:pPr>
                </w:p>
              </w:tc>
              <w:tc>
                <w:tcPr>
                  <w:tcW w:w="4202" w:type="dxa"/>
                  <w:tcBorders>
                    <w:tl2br w:val="nil"/>
                    <w:tr2bl w:val="nil"/>
                  </w:tcBorders>
                  <w:noWrap w:val="0"/>
                  <w:vAlign w:val="center"/>
                </w:tcPr>
                <w:p w14:paraId="039A5687">
                  <w:pPr>
                    <w:adjustRightInd w:val="0"/>
                    <w:snapToGrid w:val="0"/>
                    <w:jc w:val="center"/>
                    <w:rPr>
                      <w:rFonts w:hint="eastAsia" w:ascii="Times New Roman" w:hAnsi="Times New Roman" w:eastAsia="宋体" w:cs="Times New Roman"/>
                      <w:bCs/>
                      <w:color w:val="auto"/>
                      <w:sz w:val="22"/>
                      <w:szCs w:val="22"/>
                      <w:lang w:val="en-US" w:eastAsia="zh-CN"/>
                    </w:rPr>
                  </w:pPr>
                  <w:r>
                    <w:rPr>
                      <w:color w:val="auto"/>
                      <w:sz w:val="22"/>
                      <w:szCs w:val="22"/>
                      <w:highlight w:val="none"/>
                    </w:rPr>
                    <w:t>禁止新建、扩建排放废水</w:t>
                  </w:r>
                  <w:r>
                    <w:rPr>
                      <w:rFonts w:hint="eastAsia"/>
                      <w:color w:val="auto"/>
                      <w:sz w:val="22"/>
                      <w:szCs w:val="22"/>
                      <w:highlight w:val="none"/>
                      <w:lang w:eastAsia="zh-CN"/>
                    </w:rPr>
                    <w:t>含有</w:t>
                  </w:r>
                  <w:r>
                    <w:rPr>
                      <w:rFonts w:hint="eastAsia"/>
                      <w:color w:val="auto"/>
                      <w:sz w:val="22"/>
                      <w:szCs w:val="22"/>
                      <w:highlight w:val="none"/>
                    </w:rPr>
                    <w:t>五类</w:t>
                  </w:r>
                  <w:r>
                    <w:rPr>
                      <w:color w:val="auto"/>
                      <w:sz w:val="22"/>
                      <w:szCs w:val="22"/>
                      <w:highlight w:val="none"/>
                    </w:rPr>
                    <w:t>重金属（铬、镉、汞、砷、铅）、剧毒物质和持久性有机污染物的工业项目</w:t>
                  </w:r>
                </w:p>
              </w:tc>
              <w:tc>
                <w:tcPr>
                  <w:tcW w:w="2500" w:type="dxa"/>
                  <w:tcBorders>
                    <w:tl2br w:val="nil"/>
                    <w:tr2bl w:val="nil"/>
                  </w:tcBorders>
                  <w:noWrap w:val="0"/>
                  <w:vAlign w:val="center"/>
                </w:tcPr>
                <w:p w14:paraId="135ACDBE">
                  <w:pPr>
                    <w:autoSpaceDE w:val="0"/>
                    <w:autoSpaceDN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本项目不新增外排废水，不涉及</w:t>
                  </w:r>
                  <w:r>
                    <w:rPr>
                      <w:rFonts w:hint="eastAsia" w:ascii="Times New Roman" w:hAnsi="Times New Roman" w:eastAsia="宋体" w:cs="Times New Roman"/>
                      <w:bCs/>
                      <w:color w:val="auto"/>
                      <w:sz w:val="22"/>
                      <w:szCs w:val="22"/>
                    </w:rPr>
                    <w:t>重金属、剧毒物质和持久性有机污染物</w:t>
                  </w:r>
                </w:p>
              </w:tc>
              <w:tc>
                <w:tcPr>
                  <w:tcW w:w="436" w:type="dxa"/>
                  <w:tcBorders>
                    <w:tl2br w:val="nil"/>
                    <w:tr2bl w:val="nil"/>
                  </w:tcBorders>
                  <w:noWrap w:val="0"/>
                  <w:vAlign w:val="center"/>
                </w:tcPr>
                <w:p w14:paraId="2EF00573">
                  <w:pPr>
                    <w:autoSpaceDE w:val="0"/>
                    <w:autoSpaceDN w:val="0"/>
                    <w:jc w:val="left"/>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符合</w:t>
                  </w:r>
                </w:p>
              </w:tc>
            </w:tr>
            <w:tr w14:paraId="6F9DD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dxa"/>
                  <w:vMerge w:val="continue"/>
                  <w:tcBorders>
                    <w:tl2br w:val="nil"/>
                    <w:tr2bl w:val="nil"/>
                  </w:tcBorders>
                  <w:noWrap w:val="0"/>
                  <w:vAlign w:val="center"/>
                </w:tcPr>
                <w:p w14:paraId="5093396C">
                  <w:pPr>
                    <w:autoSpaceDE w:val="0"/>
                    <w:autoSpaceDN w:val="0"/>
                    <w:jc w:val="left"/>
                    <w:rPr>
                      <w:rFonts w:hint="eastAsia" w:ascii="Times New Roman" w:hAnsi="Times New Roman" w:eastAsia="宋体" w:cs="Times New Roman"/>
                      <w:bCs/>
                      <w:color w:val="auto"/>
                      <w:sz w:val="22"/>
                      <w:szCs w:val="22"/>
                    </w:rPr>
                  </w:pPr>
                </w:p>
              </w:tc>
              <w:tc>
                <w:tcPr>
                  <w:tcW w:w="460" w:type="dxa"/>
                  <w:vMerge w:val="continue"/>
                  <w:tcBorders>
                    <w:tl2br w:val="nil"/>
                    <w:tr2bl w:val="nil"/>
                  </w:tcBorders>
                  <w:noWrap w:val="0"/>
                  <w:vAlign w:val="center"/>
                </w:tcPr>
                <w:p w14:paraId="278ECB9B">
                  <w:pPr>
                    <w:autoSpaceDE w:val="0"/>
                    <w:autoSpaceDN w:val="0"/>
                    <w:jc w:val="left"/>
                    <w:rPr>
                      <w:rFonts w:hint="default" w:ascii="Times New Roman" w:hAnsi="Times New Roman" w:eastAsia="宋体" w:cs="Times New Roman"/>
                      <w:bCs/>
                      <w:color w:val="auto"/>
                      <w:sz w:val="22"/>
                      <w:szCs w:val="22"/>
                    </w:rPr>
                  </w:pPr>
                </w:p>
              </w:tc>
              <w:tc>
                <w:tcPr>
                  <w:tcW w:w="4202" w:type="dxa"/>
                  <w:tcBorders>
                    <w:tl2br w:val="nil"/>
                    <w:tr2bl w:val="nil"/>
                  </w:tcBorders>
                  <w:noWrap w:val="0"/>
                  <w:vAlign w:val="center"/>
                </w:tcPr>
                <w:p w14:paraId="366C2B65">
                  <w:pPr>
                    <w:adjustRightInd w:val="0"/>
                    <w:snapToGrid w:val="0"/>
                    <w:jc w:val="center"/>
                    <w:rPr>
                      <w:rFonts w:hint="eastAsia" w:ascii="Times New Roman" w:hAnsi="Times New Roman" w:eastAsia="宋体" w:cs="Times New Roman"/>
                      <w:bCs/>
                      <w:color w:val="auto"/>
                      <w:sz w:val="22"/>
                      <w:szCs w:val="22"/>
                      <w:lang w:val="en-US" w:eastAsia="zh-CN"/>
                    </w:rPr>
                  </w:pPr>
                  <w:r>
                    <w:rPr>
                      <w:rFonts w:hint="eastAsia"/>
                      <w:color w:val="auto"/>
                      <w:kern w:val="0"/>
                      <w:sz w:val="22"/>
                      <w:szCs w:val="22"/>
                      <w:highlight w:val="none"/>
                      <w:lang w:eastAsia="zh-CN"/>
                    </w:rPr>
                    <w:t>陶家组团范围内</w:t>
                  </w:r>
                  <w:r>
                    <w:rPr>
                      <w:rFonts w:hint="eastAsia"/>
                      <w:color w:val="auto"/>
                      <w:kern w:val="0"/>
                      <w:sz w:val="22"/>
                      <w:szCs w:val="22"/>
                      <w:highlight w:val="none"/>
                    </w:rPr>
                    <w:t>重庆奇爽实业（集团）有限公司不再扩大用地规模、不新增污染物排放</w:t>
                  </w:r>
                </w:p>
              </w:tc>
              <w:tc>
                <w:tcPr>
                  <w:tcW w:w="2500" w:type="dxa"/>
                  <w:tcBorders>
                    <w:tl2br w:val="nil"/>
                    <w:tr2bl w:val="nil"/>
                  </w:tcBorders>
                  <w:noWrap w:val="0"/>
                  <w:vAlign w:val="center"/>
                </w:tcPr>
                <w:p w14:paraId="032CCEEA">
                  <w:pPr>
                    <w:autoSpaceDE w:val="0"/>
                    <w:autoSpaceDN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w:t>
                  </w:r>
                </w:p>
              </w:tc>
              <w:tc>
                <w:tcPr>
                  <w:tcW w:w="436" w:type="dxa"/>
                  <w:tcBorders>
                    <w:tl2br w:val="nil"/>
                    <w:tr2bl w:val="nil"/>
                  </w:tcBorders>
                  <w:noWrap w:val="0"/>
                  <w:vAlign w:val="center"/>
                </w:tcPr>
                <w:p w14:paraId="2B80875A">
                  <w:pPr>
                    <w:autoSpaceDE w:val="0"/>
                    <w:autoSpaceDN w:val="0"/>
                    <w:jc w:val="left"/>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符合</w:t>
                  </w:r>
                </w:p>
              </w:tc>
            </w:tr>
            <w:tr w14:paraId="684B1D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noWrap w:val="0"/>
                  <w:vAlign w:val="center"/>
                </w:tcPr>
                <w:p w14:paraId="444601A6">
                  <w:pPr>
                    <w:autoSpaceDE w:val="0"/>
                    <w:autoSpaceDN w:val="0"/>
                    <w:jc w:val="left"/>
                    <w:rPr>
                      <w:rFonts w:hint="eastAsia" w:ascii="Times New Roman" w:hAnsi="Times New Roman" w:eastAsia="宋体" w:cs="Times New Roman"/>
                      <w:bCs/>
                      <w:color w:val="auto"/>
                      <w:sz w:val="22"/>
                      <w:szCs w:val="22"/>
                    </w:rPr>
                  </w:pPr>
                </w:p>
              </w:tc>
              <w:tc>
                <w:tcPr>
                  <w:tcW w:w="460" w:type="dxa"/>
                  <w:vMerge w:val="continue"/>
                  <w:tcBorders>
                    <w:tl2br w:val="nil"/>
                    <w:tr2bl w:val="nil"/>
                  </w:tcBorders>
                  <w:noWrap w:val="0"/>
                  <w:vAlign w:val="center"/>
                </w:tcPr>
                <w:p w14:paraId="58DB9F30">
                  <w:pPr>
                    <w:autoSpaceDE w:val="0"/>
                    <w:autoSpaceDN w:val="0"/>
                    <w:jc w:val="left"/>
                    <w:rPr>
                      <w:rFonts w:hint="default" w:ascii="Times New Roman" w:hAnsi="Times New Roman" w:eastAsia="宋体" w:cs="Times New Roman"/>
                      <w:bCs/>
                      <w:color w:val="auto"/>
                      <w:sz w:val="22"/>
                      <w:szCs w:val="22"/>
                    </w:rPr>
                  </w:pPr>
                </w:p>
              </w:tc>
              <w:tc>
                <w:tcPr>
                  <w:tcW w:w="4202" w:type="dxa"/>
                  <w:tcBorders>
                    <w:tl2br w:val="nil"/>
                    <w:tr2bl w:val="nil"/>
                  </w:tcBorders>
                  <w:noWrap w:val="0"/>
                  <w:vAlign w:val="center"/>
                </w:tcPr>
                <w:p w14:paraId="241110BE">
                  <w:pPr>
                    <w:adjustRightInd w:val="0"/>
                    <w:snapToGrid w:val="0"/>
                    <w:jc w:val="center"/>
                    <w:rPr>
                      <w:rFonts w:hint="eastAsia" w:ascii="Times New Roman" w:hAnsi="Times New Roman" w:eastAsia="宋体" w:cs="Times New Roman"/>
                      <w:bCs/>
                      <w:color w:val="auto"/>
                      <w:sz w:val="22"/>
                      <w:szCs w:val="22"/>
                      <w:lang w:val="en-US" w:eastAsia="zh-CN"/>
                    </w:rPr>
                  </w:pPr>
                  <w:r>
                    <w:rPr>
                      <w:rFonts w:hint="eastAsia"/>
                      <w:color w:val="auto"/>
                      <w:sz w:val="22"/>
                      <w:szCs w:val="22"/>
                      <w:highlight w:val="none"/>
                      <w:lang w:eastAsia="zh-CN"/>
                    </w:rPr>
                    <w:t>铜罐驿组团范围内</w:t>
                  </w:r>
                  <w:r>
                    <w:rPr>
                      <w:rFonts w:hint="eastAsia"/>
                      <w:color w:val="auto"/>
                      <w:sz w:val="22"/>
                      <w:szCs w:val="22"/>
                      <w:highlight w:val="none"/>
                    </w:rPr>
                    <w:t>红蜻蜓（重庆）植物油脂有限公司、重庆小可食品有限公司、重庆豆奇食品有限公司</w:t>
                  </w:r>
                  <w:r>
                    <w:rPr>
                      <w:rFonts w:hint="eastAsia"/>
                      <w:color w:val="auto"/>
                      <w:kern w:val="0"/>
                      <w:sz w:val="22"/>
                      <w:szCs w:val="22"/>
                      <w:highlight w:val="none"/>
                    </w:rPr>
                    <w:t>不再扩大用地规模、不新增污染物排放</w:t>
                  </w:r>
                </w:p>
              </w:tc>
              <w:tc>
                <w:tcPr>
                  <w:tcW w:w="2500" w:type="dxa"/>
                  <w:tcBorders>
                    <w:tl2br w:val="nil"/>
                    <w:tr2bl w:val="nil"/>
                  </w:tcBorders>
                  <w:noWrap w:val="0"/>
                  <w:vAlign w:val="center"/>
                </w:tcPr>
                <w:p w14:paraId="31347600">
                  <w:pPr>
                    <w:autoSpaceDE w:val="0"/>
                    <w:autoSpaceDN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w:t>
                  </w:r>
                </w:p>
              </w:tc>
              <w:tc>
                <w:tcPr>
                  <w:tcW w:w="436" w:type="dxa"/>
                  <w:tcBorders>
                    <w:tl2br w:val="nil"/>
                    <w:tr2bl w:val="nil"/>
                  </w:tcBorders>
                  <w:noWrap w:val="0"/>
                  <w:vAlign w:val="center"/>
                </w:tcPr>
                <w:p w14:paraId="6F2A59EF">
                  <w:pPr>
                    <w:autoSpaceDE w:val="0"/>
                    <w:autoSpaceDN w:val="0"/>
                    <w:jc w:val="left"/>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符合</w:t>
                  </w:r>
                </w:p>
              </w:tc>
            </w:tr>
            <w:tr w14:paraId="01A26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restart"/>
                  <w:tcBorders>
                    <w:tl2br w:val="nil"/>
                    <w:tr2bl w:val="nil"/>
                  </w:tcBorders>
                  <w:noWrap w:val="0"/>
                  <w:vAlign w:val="center"/>
                </w:tcPr>
                <w:p w14:paraId="35496552">
                  <w:pPr>
                    <w:autoSpaceDE w:val="0"/>
                    <w:autoSpaceDN w:val="0"/>
                    <w:jc w:val="left"/>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3</w:t>
                  </w:r>
                </w:p>
              </w:tc>
              <w:tc>
                <w:tcPr>
                  <w:tcW w:w="460" w:type="dxa"/>
                  <w:vMerge w:val="restart"/>
                  <w:tcBorders>
                    <w:tl2br w:val="nil"/>
                    <w:tr2bl w:val="nil"/>
                  </w:tcBorders>
                  <w:noWrap w:val="0"/>
                  <w:vAlign w:val="center"/>
                </w:tcPr>
                <w:p w14:paraId="6987EC0F">
                  <w:pPr>
                    <w:autoSpaceDE w:val="0"/>
                    <w:autoSpaceDN w:val="0"/>
                    <w:jc w:val="left"/>
                    <w:rPr>
                      <w:rFonts w:hint="eastAsia"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rPr>
                    <w:t>环境风险防控</w:t>
                  </w:r>
                </w:p>
              </w:tc>
              <w:tc>
                <w:tcPr>
                  <w:tcW w:w="4202" w:type="dxa"/>
                  <w:tcBorders>
                    <w:tl2br w:val="nil"/>
                    <w:tr2bl w:val="nil"/>
                  </w:tcBorders>
                  <w:noWrap w:val="0"/>
                  <w:vAlign w:val="center"/>
                </w:tcPr>
                <w:p w14:paraId="0F9DC58F">
                  <w:pPr>
                    <w:adjustRightInd w:val="0"/>
                    <w:snapToGrid w:val="0"/>
                    <w:jc w:val="center"/>
                    <w:rPr>
                      <w:rFonts w:hint="eastAsia" w:ascii="Times New Roman" w:hAnsi="Times New Roman" w:eastAsia="宋体" w:cs="Times New Roman"/>
                      <w:bCs/>
                      <w:color w:val="auto"/>
                      <w:sz w:val="22"/>
                      <w:szCs w:val="22"/>
                      <w:lang w:val="en-US" w:eastAsia="zh-CN"/>
                    </w:rPr>
                  </w:pPr>
                  <w:r>
                    <w:rPr>
                      <w:rFonts w:hint="eastAsia"/>
                      <w:color w:val="auto"/>
                      <w:sz w:val="22"/>
                      <w:szCs w:val="22"/>
                      <w:highlight w:val="none"/>
                      <w:lang w:eastAsia="zh-CN"/>
                    </w:rPr>
                    <w:t>西彭组团和铜罐驿组团</w:t>
                  </w:r>
                  <w:r>
                    <w:rPr>
                      <w:rFonts w:hint="eastAsia"/>
                      <w:color w:val="auto"/>
                      <w:sz w:val="22"/>
                      <w:szCs w:val="22"/>
                      <w:highlight w:val="none"/>
                    </w:rPr>
                    <w:t>沿江1km范围内规划仓储用地（A72-1/04、A90-1/04、A88/02、A87-1/03、A101/01、A99/01、A102/01、A104/01、A103/01、A105/01、F40-1/02、F41-1/01地块）禁止新引入从事危险化学品储存、运输的仓储物流项目</w:t>
                  </w:r>
                </w:p>
              </w:tc>
              <w:tc>
                <w:tcPr>
                  <w:tcW w:w="2500" w:type="dxa"/>
                  <w:tcBorders>
                    <w:tl2br w:val="nil"/>
                    <w:tr2bl w:val="nil"/>
                  </w:tcBorders>
                  <w:noWrap w:val="0"/>
                  <w:vAlign w:val="center"/>
                </w:tcPr>
                <w:p w14:paraId="0C0C3528">
                  <w:pPr>
                    <w:autoSpaceDE w:val="0"/>
                    <w:autoSpaceDN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本项目占地不属于沿江1km范围的规划仓储用地</w:t>
                  </w:r>
                </w:p>
              </w:tc>
              <w:tc>
                <w:tcPr>
                  <w:tcW w:w="436" w:type="dxa"/>
                  <w:tcBorders>
                    <w:tl2br w:val="nil"/>
                    <w:tr2bl w:val="nil"/>
                  </w:tcBorders>
                  <w:noWrap w:val="0"/>
                  <w:vAlign w:val="center"/>
                </w:tcPr>
                <w:p w14:paraId="7155722F">
                  <w:pPr>
                    <w:autoSpaceDE w:val="0"/>
                    <w:autoSpaceDN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符合</w:t>
                  </w:r>
                </w:p>
              </w:tc>
            </w:tr>
            <w:tr w14:paraId="1C7900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noWrap w:val="0"/>
                  <w:vAlign w:val="center"/>
                </w:tcPr>
                <w:p w14:paraId="17862174">
                  <w:pPr>
                    <w:autoSpaceDE w:val="0"/>
                    <w:autoSpaceDN w:val="0"/>
                    <w:jc w:val="left"/>
                    <w:rPr>
                      <w:rFonts w:hint="eastAsia" w:ascii="Times New Roman" w:hAnsi="Times New Roman" w:eastAsia="宋体" w:cs="Times New Roman"/>
                      <w:bCs/>
                      <w:color w:val="auto"/>
                      <w:sz w:val="22"/>
                      <w:szCs w:val="22"/>
                      <w:lang w:val="en-US" w:eastAsia="zh-CN"/>
                    </w:rPr>
                  </w:pPr>
                </w:p>
              </w:tc>
              <w:tc>
                <w:tcPr>
                  <w:tcW w:w="460" w:type="dxa"/>
                  <w:vMerge w:val="continue"/>
                  <w:tcBorders>
                    <w:tl2br w:val="nil"/>
                    <w:tr2bl w:val="nil"/>
                  </w:tcBorders>
                  <w:noWrap w:val="0"/>
                  <w:vAlign w:val="center"/>
                </w:tcPr>
                <w:p w14:paraId="1C8F3D1D">
                  <w:pPr>
                    <w:autoSpaceDE w:val="0"/>
                    <w:autoSpaceDN w:val="0"/>
                    <w:jc w:val="left"/>
                    <w:rPr>
                      <w:rFonts w:hint="default" w:ascii="Times New Roman" w:hAnsi="Times New Roman" w:eastAsia="宋体" w:cs="Times New Roman"/>
                      <w:bCs/>
                      <w:color w:val="auto"/>
                      <w:sz w:val="22"/>
                      <w:szCs w:val="22"/>
                    </w:rPr>
                  </w:pPr>
                </w:p>
              </w:tc>
              <w:tc>
                <w:tcPr>
                  <w:tcW w:w="4202" w:type="dxa"/>
                  <w:tcBorders>
                    <w:tl2br w:val="nil"/>
                    <w:tr2bl w:val="nil"/>
                  </w:tcBorders>
                  <w:noWrap w:val="0"/>
                  <w:vAlign w:val="center"/>
                </w:tcPr>
                <w:p w14:paraId="65BB9825">
                  <w:pPr>
                    <w:adjustRightInd w:val="0"/>
                    <w:snapToGrid w:val="0"/>
                    <w:jc w:val="center"/>
                    <w:rPr>
                      <w:rFonts w:hint="eastAsia" w:ascii="Times New Roman" w:hAnsi="Times New Roman" w:eastAsia="宋体" w:cs="Times New Roman"/>
                      <w:bCs/>
                      <w:color w:val="auto"/>
                      <w:sz w:val="22"/>
                      <w:szCs w:val="22"/>
                    </w:rPr>
                  </w:pPr>
                  <w:r>
                    <w:rPr>
                      <w:rFonts w:hint="eastAsia"/>
                      <w:color w:val="auto"/>
                      <w:sz w:val="22"/>
                      <w:szCs w:val="22"/>
                      <w:highlight w:val="none"/>
                    </w:rPr>
                    <w:t>临长江道路禁止规划运输危险化学品及危险废物路线</w:t>
                  </w:r>
                </w:p>
              </w:tc>
              <w:tc>
                <w:tcPr>
                  <w:tcW w:w="2500" w:type="dxa"/>
                  <w:tcBorders>
                    <w:tl2br w:val="nil"/>
                    <w:tr2bl w:val="nil"/>
                  </w:tcBorders>
                  <w:noWrap w:val="0"/>
                  <w:vAlign w:val="center"/>
                </w:tcPr>
                <w:p w14:paraId="6130BA53">
                  <w:pPr>
                    <w:autoSpaceDE w:val="0"/>
                    <w:autoSpaceDN w:val="0"/>
                    <w:jc w:val="left"/>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本项目不属于化工项目</w:t>
                  </w:r>
                </w:p>
              </w:tc>
              <w:tc>
                <w:tcPr>
                  <w:tcW w:w="436" w:type="dxa"/>
                  <w:tcBorders>
                    <w:tl2br w:val="nil"/>
                    <w:tr2bl w:val="nil"/>
                  </w:tcBorders>
                  <w:noWrap w:val="0"/>
                  <w:vAlign w:val="center"/>
                </w:tcPr>
                <w:p w14:paraId="24D94BF8">
                  <w:pPr>
                    <w:autoSpaceDE w:val="0"/>
                    <w:autoSpaceDN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符合</w:t>
                  </w:r>
                </w:p>
              </w:tc>
            </w:tr>
            <w:tr w14:paraId="5C053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noWrap w:val="0"/>
                  <w:vAlign w:val="center"/>
                </w:tcPr>
                <w:p w14:paraId="41DF966E">
                  <w:pPr>
                    <w:autoSpaceDE w:val="0"/>
                    <w:autoSpaceDN w:val="0"/>
                    <w:jc w:val="left"/>
                    <w:rPr>
                      <w:rFonts w:hint="eastAsia" w:ascii="Times New Roman" w:hAnsi="Times New Roman" w:eastAsia="宋体" w:cs="Times New Roman"/>
                      <w:bCs/>
                      <w:color w:val="auto"/>
                      <w:sz w:val="22"/>
                      <w:szCs w:val="22"/>
                      <w:lang w:val="en-US" w:eastAsia="zh-CN"/>
                    </w:rPr>
                  </w:pPr>
                </w:p>
              </w:tc>
              <w:tc>
                <w:tcPr>
                  <w:tcW w:w="460" w:type="dxa"/>
                  <w:vMerge w:val="continue"/>
                  <w:tcBorders>
                    <w:tl2br w:val="nil"/>
                    <w:tr2bl w:val="nil"/>
                  </w:tcBorders>
                  <w:noWrap w:val="0"/>
                  <w:vAlign w:val="center"/>
                </w:tcPr>
                <w:p w14:paraId="1A13C0E3">
                  <w:pPr>
                    <w:autoSpaceDE w:val="0"/>
                    <w:autoSpaceDN w:val="0"/>
                    <w:jc w:val="left"/>
                    <w:rPr>
                      <w:rFonts w:hint="default" w:ascii="Times New Roman" w:hAnsi="Times New Roman" w:eastAsia="宋体" w:cs="Times New Roman"/>
                      <w:bCs/>
                      <w:color w:val="auto"/>
                      <w:sz w:val="22"/>
                      <w:szCs w:val="22"/>
                    </w:rPr>
                  </w:pPr>
                </w:p>
              </w:tc>
              <w:tc>
                <w:tcPr>
                  <w:tcW w:w="4202" w:type="dxa"/>
                  <w:tcBorders>
                    <w:tl2br w:val="nil"/>
                    <w:tr2bl w:val="nil"/>
                  </w:tcBorders>
                  <w:noWrap w:val="0"/>
                  <w:vAlign w:val="center"/>
                </w:tcPr>
                <w:p w14:paraId="4BC6E06D">
                  <w:pPr>
                    <w:adjustRightInd w:val="0"/>
                    <w:snapToGrid w:val="0"/>
                    <w:jc w:val="center"/>
                    <w:rPr>
                      <w:rFonts w:hint="eastAsia" w:ascii="Times New Roman" w:hAnsi="Times New Roman" w:eastAsia="宋体" w:cs="Times New Roman"/>
                      <w:bCs/>
                      <w:color w:val="auto"/>
                      <w:sz w:val="22"/>
                      <w:szCs w:val="22"/>
                    </w:rPr>
                  </w:pPr>
                  <w:r>
                    <w:rPr>
                      <w:color w:val="auto"/>
                      <w:sz w:val="22"/>
                      <w:szCs w:val="22"/>
                      <w:highlight w:val="none"/>
                    </w:rPr>
                    <w:t>禁止</w:t>
                  </w:r>
                  <w:r>
                    <w:rPr>
                      <w:rFonts w:hint="eastAsia"/>
                      <w:color w:val="auto"/>
                      <w:sz w:val="22"/>
                      <w:szCs w:val="22"/>
                      <w:highlight w:val="none"/>
                    </w:rPr>
                    <w:t>新建</w:t>
                  </w:r>
                  <w:r>
                    <w:rPr>
                      <w:rFonts w:hint="eastAsia"/>
                      <w:color w:val="auto"/>
                      <w:sz w:val="22"/>
                      <w:szCs w:val="22"/>
                      <w:highlight w:val="none"/>
                      <w:lang w:eastAsia="zh-CN"/>
                    </w:rPr>
                    <w:t>、扩建</w:t>
                  </w:r>
                  <w:r>
                    <w:rPr>
                      <w:color w:val="auto"/>
                      <w:sz w:val="22"/>
                      <w:szCs w:val="22"/>
                      <w:highlight w:val="none"/>
                    </w:rPr>
                    <w:t>化工项目</w:t>
                  </w:r>
                </w:p>
              </w:tc>
              <w:tc>
                <w:tcPr>
                  <w:tcW w:w="2500" w:type="dxa"/>
                  <w:tcBorders>
                    <w:tl2br w:val="nil"/>
                    <w:tr2bl w:val="nil"/>
                  </w:tcBorders>
                  <w:noWrap w:val="0"/>
                  <w:vAlign w:val="center"/>
                </w:tcPr>
                <w:p w14:paraId="0487247D">
                  <w:pPr>
                    <w:autoSpaceDE w:val="0"/>
                    <w:autoSpaceDN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本项目不属于化工项目</w:t>
                  </w:r>
                </w:p>
              </w:tc>
              <w:tc>
                <w:tcPr>
                  <w:tcW w:w="436" w:type="dxa"/>
                  <w:tcBorders>
                    <w:tl2br w:val="nil"/>
                    <w:tr2bl w:val="nil"/>
                  </w:tcBorders>
                  <w:noWrap w:val="0"/>
                  <w:vAlign w:val="center"/>
                </w:tcPr>
                <w:p w14:paraId="38DC4BBB">
                  <w:pPr>
                    <w:autoSpaceDE w:val="0"/>
                    <w:autoSpaceDN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符合</w:t>
                  </w:r>
                </w:p>
              </w:tc>
            </w:tr>
            <w:tr w14:paraId="1DE43B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restart"/>
                  <w:tcBorders>
                    <w:tl2br w:val="nil"/>
                    <w:tr2bl w:val="nil"/>
                  </w:tcBorders>
                  <w:noWrap w:val="0"/>
                  <w:vAlign w:val="center"/>
                </w:tcPr>
                <w:p w14:paraId="1F4BBED6">
                  <w:pPr>
                    <w:autoSpaceDE w:val="0"/>
                    <w:autoSpaceDN w:val="0"/>
                    <w:jc w:val="left"/>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4</w:t>
                  </w:r>
                </w:p>
              </w:tc>
              <w:tc>
                <w:tcPr>
                  <w:tcW w:w="460" w:type="dxa"/>
                  <w:vMerge w:val="restart"/>
                  <w:tcBorders>
                    <w:tl2br w:val="nil"/>
                    <w:tr2bl w:val="nil"/>
                  </w:tcBorders>
                  <w:noWrap w:val="0"/>
                  <w:vAlign w:val="center"/>
                </w:tcPr>
                <w:p w14:paraId="3B32E458">
                  <w:pPr>
                    <w:autoSpaceDE w:val="0"/>
                    <w:autoSpaceDN w:val="0"/>
                    <w:jc w:val="left"/>
                    <w:rPr>
                      <w:rFonts w:hint="eastAsia"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rPr>
                    <w:t>资源利用效率</w:t>
                  </w:r>
                </w:p>
              </w:tc>
              <w:tc>
                <w:tcPr>
                  <w:tcW w:w="4202" w:type="dxa"/>
                  <w:tcBorders>
                    <w:tl2br w:val="nil"/>
                    <w:tr2bl w:val="nil"/>
                  </w:tcBorders>
                  <w:noWrap w:val="0"/>
                  <w:vAlign w:val="center"/>
                </w:tcPr>
                <w:p w14:paraId="492BA8C5">
                  <w:pPr>
                    <w:adjustRightInd w:val="0"/>
                    <w:snapToGrid w:val="0"/>
                    <w:jc w:val="center"/>
                    <w:rPr>
                      <w:rFonts w:hint="eastAsia" w:ascii="Times New Roman" w:hAnsi="Times New Roman" w:eastAsia="宋体" w:cs="Times New Roman"/>
                      <w:bCs/>
                      <w:color w:val="auto"/>
                      <w:sz w:val="22"/>
                      <w:szCs w:val="22"/>
                      <w:lang w:val="en-US" w:eastAsia="zh-CN"/>
                    </w:rPr>
                  </w:pPr>
                  <w:r>
                    <w:rPr>
                      <w:rFonts w:hint="eastAsia"/>
                      <w:color w:val="auto"/>
                      <w:sz w:val="22"/>
                      <w:szCs w:val="26"/>
                      <w:highlight w:val="none"/>
                    </w:rPr>
                    <w:t>禁止新建、扩建燃用煤、重油等高污染燃料的工业项目，重庆和友实业股份有限公司不再</w:t>
                  </w:r>
                  <w:r>
                    <w:rPr>
                      <w:rFonts w:hint="eastAsia"/>
                      <w:color w:val="auto"/>
                      <w:sz w:val="22"/>
                      <w:szCs w:val="26"/>
                      <w:highlight w:val="none"/>
                      <w:lang w:eastAsia="zh-CN"/>
                    </w:rPr>
                    <w:t>新增</w:t>
                  </w:r>
                  <w:r>
                    <w:rPr>
                      <w:rFonts w:hint="eastAsia"/>
                      <w:color w:val="auto"/>
                      <w:sz w:val="22"/>
                      <w:szCs w:val="26"/>
                      <w:highlight w:val="none"/>
                    </w:rPr>
                    <w:t>燃煤总量</w:t>
                  </w:r>
                </w:p>
              </w:tc>
              <w:tc>
                <w:tcPr>
                  <w:tcW w:w="2500" w:type="dxa"/>
                  <w:tcBorders>
                    <w:tl2br w:val="nil"/>
                    <w:tr2bl w:val="nil"/>
                  </w:tcBorders>
                  <w:noWrap w:val="0"/>
                  <w:vAlign w:val="center"/>
                </w:tcPr>
                <w:p w14:paraId="15B22794">
                  <w:pPr>
                    <w:autoSpaceDE w:val="0"/>
                    <w:autoSpaceDN w:val="0"/>
                    <w:jc w:val="left"/>
                    <w:rPr>
                      <w:rFonts w:hint="eastAsia" w:ascii="Times New Roman" w:hAnsi="Times New Roman" w:eastAsia="宋体" w:cs="Times New Roman"/>
                      <w:bCs/>
                      <w:color w:val="auto"/>
                      <w:sz w:val="22"/>
                      <w:szCs w:val="22"/>
                      <w:lang w:val="en-US" w:eastAsia="zh-CN"/>
                    </w:rPr>
                  </w:pPr>
                  <w:r>
                    <w:rPr>
                      <w:rFonts w:hint="eastAsia" w:ascii="Times New Roman" w:hAnsi="Times New Roman" w:cs="Times New Roman"/>
                      <w:bCs/>
                      <w:color w:val="auto"/>
                      <w:sz w:val="22"/>
                      <w:szCs w:val="22"/>
                      <w:lang w:val="en-US" w:eastAsia="zh-CN"/>
                    </w:rPr>
                    <w:t>本项目不使用高污染燃料</w:t>
                  </w:r>
                </w:p>
              </w:tc>
              <w:tc>
                <w:tcPr>
                  <w:tcW w:w="436" w:type="dxa"/>
                  <w:tcBorders>
                    <w:tl2br w:val="nil"/>
                    <w:tr2bl w:val="nil"/>
                  </w:tcBorders>
                  <w:noWrap w:val="0"/>
                  <w:vAlign w:val="center"/>
                </w:tcPr>
                <w:p w14:paraId="7E3E7E6F">
                  <w:pPr>
                    <w:autoSpaceDE w:val="0"/>
                    <w:autoSpaceDN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符合</w:t>
                  </w:r>
                </w:p>
              </w:tc>
            </w:tr>
            <w:tr w14:paraId="69F1C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7" w:type="dxa"/>
                  <w:vMerge w:val="continue"/>
                  <w:tcBorders>
                    <w:tl2br w:val="nil"/>
                    <w:tr2bl w:val="nil"/>
                  </w:tcBorders>
                  <w:noWrap w:val="0"/>
                  <w:vAlign w:val="center"/>
                </w:tcPr>
                <w:p w14:paraId="3B4D7D3C">
                  <w:pPr>
                    <w:autoSpaceDE w:val="0"/>
                    <w:autoSpaceDN w:val="0"/>
                    <w:jc w:val="left"/>
                    <w:rPr>
                      <w:rFonts w:hint="eastAsia" w:ascii="Times New Roman" w:hAnsi="Times New Roman" w:eastAsia="宋体" w:cs="Times New Roman"/>
                      <w:bCs/>
                      <w:color w:val="auto"/>
                      <w:sz w:val="22"/>
                      <w:szCs w:val="22"/>
                      <w:lang w:val="en-US" w:eastAsia="zh-CN"/>
                    </w:rPr>
                  </w:pPr>
                </w:p>
              </w:tc>
              <w:tc>
                <w:tcPr>
                  <w:tcW w:w="460" w:type="dxa"/>
                  <w:vMerge w:val="continue"/>
                  <w:tcBorders>
                    <w:tl2br w:val="nil"/>
                    <w:tr2bl w:val="nil"/>
                  </w:tcBorders>
                  <w:noWrap w:val="0"/>
                  <w:vAlign w:val="center"/>
                </w:tcPr>
                <w:p w14:paraId="5BB5CD79">
                  <w:pPr>
                    <w:autoSpaceDE w:val="0"/>
                    <w:autoSpaceDN w:val="0"/>
                    <w:jc w:val="left"/>
                    <w:rPr>
                      <w:rFonts w:hint="default" w:ascii="Times New Roman" w:hAnsi="Times New Roman" w:eastAsia="宋体" w:cs="Times New Roman"/>
                      <w:bCs/>
                      <w:color w:val="auto"/>
                      <w:sz w:val="22"/>
                      <w:szCs w:val="22"/>
                    </w:rPr>
                  </w:pPr>
                </w:p>
              </w:tc>
              <w:tc>
                <w:tcPr>
                  <w:tcW w:w="4202" w:type="dxa"/>
                  <w:tcBorders>
                    <w:tl2br w:val="nil"/>
                    <w:tr2bl w:val="nil"/>
                  </w:tcBorders>
                  <w:noWrap w:val="0"/>
                  <w:vAlign w:val="center"/>
                </w:tcPr>
                <w:p w14:paraId="58C9438C">
                  <w:pPr>
                    <w:adjustRightInd w:val="0"/>
                    <w:snapToGrid w:val="0"/>
                    <w:jc w:val="center"/>
                    <w:rPr>
                      <w:rFonts w:hint="default" w:ascii="Times New Roman" w:hAnsi="Times New Roman" w:eastAsia="宋体" w:cs="Times New Roman"/>
                      <w:color w:val="auto"/>
                      <w:sz w:val="22"/>
                      <w:szCs w:val="26"/>
                      <w:highlight w:val="none"/>
                    </w:rPr>
                  </w:pPr>
                  <w:r>
                    <w:rPr>
                      <w:rFonts w:hint="eastAsia" w:ascii="Times New Roman" w:hAnsi="Times New Roman" w:eastAsia="宋体" w:cs="Times New Roman"/>
                      <w:color w:val="auto"/>
                      <w:sz w:val="22"/>
                      <w:szCs w:val="26"/>
                      <w:highlight w:val="none"/>
                    </w:rPr>
                    <w:t>新建和改、扩建的工业项目清洁生产水平应达到国内先进水平</w:t>
                  </w:r>
                </w:p>
              </w:tc>
              <w:tc>
                <w:tcPr>
                  <w:tcW w:w="2500" w:type="dxa"/>
                  <w:tcBorders>
                    <w:tl2br w:val="nil"/>
                    <w:tr2bl w:val="nil"/>
                  </w:tcBorders>
                  <w:noWrap w:val="0"/>
                  <w:vAlign w:val="center"/>
                </w:tcPr>
                <w:p w14:paraId="1B3C2D0B">
                  <w:pPr>
                    <w:adjustRightInd w:val="0"/>
                    <w:snapToGrid w:val="0"/>
                    <w:jc w:val="both"/>
                    <w:rPr>
                      <w:rFonts w:hint="default" w:ascii="Times New Roman" w:hAnsi="Times New Roman" w:eastAsia="宋体" w:cs="Times New Roman"/>
                      <w:color w:val="auto"/>
                      <w:sz w:val="22"/>
                      <w:szCs w:val="26"/>
                      <w:highlight w:val="none"/>
                      <w:lang w:val="en-US" w:eastAsia="zh-CN"/>
                    </w:rPr>
                  </w:pPr>
                  <w:r>
                    <w:rPr>
                      <w:rFonts w:hint="eastAsia" w:ascii="Times New Roman" w:hAnsi="Times New Roman" w:eastAsia="宋体" w:cs="Times New Roman"/>
                      <w:color w:val="auto"/>
                      <w:sz w:val="22"/>
                      <w:szCs w:val="26"/>
                      <w:highlight w:val="none"/>
                      <w:lang w:val="en-US" w:eastAsia="zh-CN"/>
                    </w:rPr>
                    <w:t>本项目清洁生产水平可</w:t>
                  </w:r>
                  <w:r>
                    <w:rPr>
                      <w:rFonts w:hint="eastAsia" w:ascii="Times New Roman" w:hAnsi="Times New Roman" w:eastAsia="宋体" w:cs="Times New Roman"/>
                      <w:color w:val="auto"/>
                      <w:sz w:val="22"/>
                      <w:szCs w:val="26"/>
                      <w:highlight w:val="none"/>
                    </w:rPr>
                    <w:t>达到国内先进水平</w:t>
                  </w:r>
                </w:p>
              </w:tc>
              <w:tc>
                <w:tcPr>
                  <w:tcW w:w="436" w:type="dxa"/>
                  <w:tcBorders>
                    <w:tl2br w:val="nil"/>
                    <w:tr2bl w:val="nil"/>
                  </w:tcBorders>
                  <w:noWrap w:val="0"/>
                  <w:vAlign w:val="center"/>
                </w:tcPr>
                <w:p w14:paraId="2196D852">
                  <w:pPr>
                    <w:autoSpaceDE w:val="0"/>
                    <w:autoSpaceDN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符合</w:t>
                  </w:r>
                </w:p>
              </w:tc>
            </w:tr>
          </w:tbl>
          <w:p w14:paraId="778DFB84">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eastAsia" w:ascii="Times New Roman" w:hAnsi="Times New Roman" w:eastAsia="宋体" w:cs="Times New Roman"/>
                <w:b w:val="0"/>
                <w:bCs w:val="0"/>
                <w:color w:val="auto"/>
                <w:kern w:val="0"/>
                <w:sz w:val="26"/>
                <w:szCs w:val="26"/>
                <w:lang w:val="en-US" w:eastAsia="zh-CN"/>
              </w:rPr>
            </w:pPr>
          </w:p>
          <w:p w14:paraId="4203BC99">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b w:val="0"/>
                <w:bCs w:val="0"/>
                <w:color w:val="auto"/>
                <w:kern w:val="0"/>
                <w:sz w:val="26"/>
                <w:szCs w:val="26"/>
                <w:lang w:val="en-US" w:eastAsia="zh-CN"/>
              </w:rPr>
            </w:pPr>
            <w:r>
              <w:rPr>
                <w:rFonts w:hint="eastAsia" w:ascii="Times New Roman" w:hAnsi="Times New Roman" w:eastAsia="宋体" w:cs="Times New Roman"/>
                <w:b w:val="0"/>
                <w:bCs w:val="0"/>
                <w:color w:val="auto"/>
                <w:kern w:val="0"/>
                <w:sz w:val="26"/>
                <w:szCs w:val="26"/>
                <w:lang w:val="en-US" w:eastAsia="zh-CN"/>
              </w:rPr>
              <w:t>（2）优化调整建议</w:t>
            </w:r>
          </w:p>
          <w:p w14:paraId="58196DF3">
            <w:pPr>
              <w:autoSpaceDE w:val="0"/>
              <w:autoSpaceDN w:val="0"/>
              <w:adjustRightInd w:val="0"/>
              <w:snapToGrid w:val="0"/>
              <w:spacing w:line="460" w:lineRule="exact"/>
              <w:jc w:val="center"/>
              <w:rPr>
                <w:rFonts w:hint="eastAsia" w:ascii="Times New Roman" w:hAnsi="Times New Roman" w:eastAsia="宋体" w:cs="Times New Roman"/>
                <w:b/>
                <w:bCs/>
                <w:color w:val="auto"/>
                <w:kern w:val="0"/>
                <w:sz w:val="26"/>
                <w:szCs w:val="26"/>
              </w:rPr>
            </w:pPr>
            <w:r>
              <w:rPr>
                <w:rFonts w:hint="eastAsia" w:ascii="Times New Roman" w:hAnsi="Times New Roman" w:eastAsia="宋体" w:cs="Times New Roman"/>
                <w:b/>
                <w:bCs/>
                <w:color w:val="auto"/>
                <w:kern w:val="0"/>
                <w:sz w:val="26"/>
                <w:szCs w:val="26"/>
              </w:rPr>
              <w:t>表1.2</w:t>
            </w:r>
            <w:r>
              <w:rPr>
                <w:rFonts w:hint="eastAsia" w:ascii="Times New Roman" w:hAnsi="Times New Roman" w:eastAsia="宋体" w:cs="Times New Roman"/>
                <w:b/>
                <w:bCs/>
                <w:color w:val="auto"/>
                <w:kern w:val="0"/>
                <w:sz w:val="26"/>
                <w:szCs w:val="26"/>
                <w:lang w:val="en-US" w:eastAsia="zh-CN"/>
              </w:rPr>
              <w:t>-2</w:t>
            </w:r>
            <w:r>
              <w:rPr>
                <w:rFonts w:hint="eastAsia" w:ascii="Times New Roman" w:hAnsi="Times New Roman" w:eastAsia="宋体" w:cs="Times New Roman"/>
                <w:b/>
                <w:bCs/>
                <w:color w:val="auto"/>
                <w:kern w:val="0"/>
                <w:sz w:val="26"/>
                <w:szCs w:val="26"/>
              </w:rPr>
              <w:t xml:space="preserve">  与规划环境影响评价</w:t>
            </w:r>
            <w:r>
              <w:rPr>
                <w:rFonts w:hint="eastAsia" w:ascii="Times New Roman" w:hAnsi="Times New Roman" w:eastAsia="宋体" w:cs="Times New Roman"/>
                <w:b/>
                <w:bCs/>
                <w:color w:val="auto"/>
                <w:kern w:val="0"/>
                <w:sz w:val="26"/>
                <w:szCs w:val="26"/>
                <w:lang w:val="en-US" w:eastAsia="zh-CN"/>
              </w:rPr>
              <w:t>优化调整建议</w:t>
            </w:r>
            <w:r>
              <w:rPr>
                <w:rFonts w:hint="eastAsia" w:ascii="Times New Roman" w:hAnsi="Times New Roman" w:eastAsia="宋体" w:cs="Times New Roman"/>
                <w:b/>
                <w:bCs/>
                <w:color w:val="auto"/>
                <w:kern w:val="0"/>
                <w:sz w:val="26"/>
                <w:szCs w:val="26"/>
              </w:rPr>
              <w:t>的符合性分析表</w:t>
            </w:r>
          </w:p>
          <w:tbl>
            <w:tblPr>
              <w:tblStyle w:val="26"/>
              <w:tblW w:w="48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614"/>
              <w:gridCol w:w="3152"/>
              <w:gridCol w:w="1872"/>
              <w:gridCol w:w="399"/>
            </w:tblGrid>
            <w:tr w14:paraId="71FFD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5" w:type="pct"/>
                  <w:tcBorders>
                    <w:tl2br w:val="nil"/>
                    <w:tr2bl w:val="nil"/>
                  </w:tcBorders>
                  <w:noWrap w:val="0"/>
                  <w:vAlign w:val="center"/>
                </w:tcPr>
                <w:p w14:paraId="6A0DC12B">
                  <w:pPr>
                    <w:widowControl/>
                    <w:adjustRightInd w:val="0"/>
                    <w:snapToGrid w:val="0"/>
                    <w:jc w:val="center"/>
                    <w:rPr>
                      <w:color w:val="auto"/>
                      <w:kern w:val="0"/>
                      <w:sz w:val="22"/>
                      <w:szCs w:val="22"/>
                      <w:highlight w:val="none"/>
                    </w:rPr>
                  </w:pPr>
                  <w:r>
                    <w:rPr>
                      <w:color w:val="auto"/>
                      <w:kern w:val="0"/>
                      <w:sz w:val="22"/>
                      <w:szCs w:val="22"/>
                      <w:highlight w:val="none"/>
                    </w:rPr>
                    <w:t>优化调整类型</w:t>
                  </w:r>
                </w:p>
              </w:tc>
              <w:tc>
                <w:tcPr>
                  <w:tcW w:w="1044" w:type="pct"/>
                  <w:tcBorders>
                    <w:tl2br w:val="nil"/>
                    <w:tr2bl w:val="nil"/>
                  </w:tcBorders>
                  <w:noWrap w:val="0"/>
                  <w:vAlign w:val="center"/>
                </w:tcPr>
                <w:p w14:paraId="554C1B50">
                  <w:pPr>
                    <w:widowControl/>
                    <w:adjustRightInd w:val="0"/>
                    <w:snapToGrid w:val="0"/>
                    <w:jc w:val="center"/>
                    <w:rPr>
                      <w:color w:val="auto"/>
                      <w:kern w:val="0"/>
                      <w:sz w:val="22"/>
                      <w:szCs w:val="22"/>
                      <w:highlight w:val="none"/>
                    </w:rPr>
                  </w:pPr>
                  <w:r>
                    <w:rPr>
                      <w:color w:val="auto"/>
                      <w:kern w:val="0"/>
                      <w:sz w:val="22"/>
                      <w:szCs w:val="22"/>
                      <w:highlight w:val="none"/>
                    </w:rPr>
                    <w:t>规划内容</w:t>
                  </w:r>
                </w:p>
              </w:tc>
              <w:tc>
                <w:tcPr>
                  <w:tcW w:w="2040" w:type="pct"/>
                  <w:tcBorders>
                    <w:tl2br w:val="nil"/>
                    <w:tr2bl w:val="nil"/>
                  </w:tcBorders>
                  <w:noWrap w:val="0"/>
                  <w:vAlign w:val="center"/>
                </w:tcPr>
                <w:p w14:paraId="1919BDFF">
                  <w:pPr>
                    <w:widowControl/>
                    <w:adjustRightInd w:val="0"/>
                    <w:snapToGrid w:val="0"/>
                    <w:jc w:val="center"/>
                    <w:rPr>
                      <w:color w:val="auto"/>
                      <w:kern w:val="0"/>
                      <w:sz w:val="22"/>
                      <w:szCs w:val="22"/>
                      <w:highlight w:val="none"/>
                    </w:rPr>
                  </w:pPr>
                  <w:r>
                    <w:rPr>
                      <w:color w:val="auto"/>
                      <w:kern w:val="0"/>
                      <w:sz w:val="22"/>
                      <w:szCs w:val="22"/>
                      <w:highlight w:val="none"/>
                    </w:rPr>
                    <w:t>调整建议</w:t>
                  </w:r>
                </w:p>
              </w:tc>
              <w:tc>
                <w:tcPr>
                  <w:tcW w:w="1211" w:type="pct"/>
                  <w:tcBorders>
                    <w:tl2br w:val="nil"/>
                    <w:tr2bl w:val="nil"/>
                  </w:tcBorders>
                  <w:noWrap w:val="0"/>
                  <w:vAlign w:val="center"/>
                </w:tcPr>
                <w:p w14:paraId="1C337DC3">
                  <w:pPr>
                    <w:widowControl/>
                    <w:adjustRightInd w:val="0"/>
                    <w:snapToGrid w:val="0"/>
                    <w:jc w:val="center"/>
                    <w:rPr>
                      <w:rFonts w:hint="default" w:eastAsia="宋体"/>
                      <w:color w:val="auto"/>
                      <w:kern w:val="0"/>
                      <w:sz w:val="22"/>
                      <w:szCs w:val="22"/>
                      <w:highlight w:val="none"/>
                      <w:lang w:val="en-US" w:eastAsia="zh-CN"/>
                    </w:rPr>
                  </w:pPr>
                  <w:r>
                    <w:rPr>
                      <w:rFonts w:hint="eastAsia"/>
                      <w:color w:val="auto"/>
                      <w:kern w:val="0"/>
                      <w:sz w:val="22"/>
                      <w:szCs w:val="22"/>
                      <w:highlight w:val="none"/>
                      <w:lang w:val="en-US" w:eastAsia="zh-CN"/>
                    </w:rPr>
                    <w:t>项目情况</w:t>
                  </w:r>
                </w:p>
              </w:tc>
              <w:tc>
                <w:tcPr>
                  <w:tcW w:w="258" w:type="pct"/>
                  <w:tcBorders>
                    <w:tl2br w:val="nil"/>
                    <w:tr2bl w:val="nil"/>
                  </w:tcBorders>
                  <w:noWrap w:val="0"/>
                  <w:vAlign w:val="center"/>
                </w:tcPr>
                <w:p w14:paraId="7774160D">
                  <w:pPr>
                    <w:widowControl/>
                    <w:adjustRightInd w:val="0"/>
                    <w:snapToGrid w:val="0"/>
                    <w:jc w:val="center"/>
                    <w:rPr>
                      <w:rFonts w:hint="default"/>
                      <w:color w:val="auto"/>
                      <w:kern w:val="0"/>
                      <w:sz w:val="22"/>
                      <w:szCs w:val="22"/>
                      <w:highlight w:val="none"/>
                      <w:lang w:val="en-US" w:eastAsia="zh-CN"/>
                    </w:rPr>
                  </w:pPr>
                  <w:r>
                    <w:rPr>
                      <w:rFonts w:hint="eastAsia"/>
                      <w:color w:val="auto"/>
                      <w:kern w:val="0"/>
                      <w:sz w:val="22"/>
                      <w:szCs w:val="22"/>
                      <w:highlight w:val="none"/>
                      <w:lang w:val="en-US" w:eastAsia="zh-CN"/>
                    </w:rPr>
                    <w:t>符合性</w:t>
                  </w:r>
                </w:p>
              </w:tc>
            </w:tr>
            <w:tr w14:paraId="4595EE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5" w:type="pct"/>
                  <w:vMerge w:val="restart"/>
                  <w:tcBorders>
                    <w:tl2br w:val="nil"/>
                    <w:tr2bl w:val="nil"/>
                  </w:tcBorders>
                  <w:noWrap w:val="0"/>
                  <w:vAlign w:val="center"/>
                </w:tcPr>
                <w:p w14:paraId="4802AB5B">
                  <w:pPr>
                    <w:widowControl/>
                    <w:adjustRightInd w:val="0"/>
                    <w:snapToGrid w:val="0"/>
                    <w:jc w:val="center"/>
                    <w:rPr>
                      <w:rFonts w:hint="eastAsia" w:eastAsia="宋体"/>
                      <w:color w:val="auto"/>
                      <w:kern w:val="0"/>
                      <w:sz w:val="22"/>
                      <w:szCs w:val="22"/>
                      <w:highlight w:val="none"/>
                      <w:lang w:eastAsia="zh-CN"/>
                    </w:rPr>
                  </w:pPr>
                  <w:r>
                    <w:rPr>
                      <w:rFonts w:hint="eastAsia"/>
                      <w:color w:val="auto"/>
                      <w:kern w:val="0"/>
                      <w:sz w:val="22"/>
                      <w:szCs w:val="22"/>
                      <w:highlight w:val="none"/>
                      <w:lang w:eastAsia="zh-CN"/>
                    </w:rPr>
                    <w:t>用地布局规划</w:t>
                  </w:r>
                </w:p>
              </w:tc>
              <w:tc>
                <w:tcPr>
                  <w:tcW w:w="1044" w:type="pct"/>
                  <w:tcBorders>
                    <w:tl2br w:val="nil"/>
                    <w:tr2bl w:val="nil"/>
                  </w:tcBorders>
                  <w:noWrap w:val="0"/>
                  <w:vAlign w:val="center"/>
                </w:tcPr>
                <w:p w14:paraId="2B4F0624">
                  <w:pPr>
                    <w:widowControl/>
                    <w:adjustRightInd w:val="0"/>
                    <w:snapToGrid w:val="0"/>
                    <w:jc w:val="center"/>
                    <w:rPr>
                      <w:rFonts w:hint="default" w:eastAsia="宋体"/>
                      <w:color w:val="auto"/>
                      <w:kern w:val="0"/>
                      <w:sz w:val="22"/>
                      <w:szCs w:val="22"/>
                      <w:highlight w:val="none"/>
                      <w:lang w:val="en-US" w:eastAsia="zh-CN"/>
                    </w:rPr>
                  </w:pPr>
                  <w:r>
                    <w:rPr>
                      <w:rFonts w:hint="eastAsia"/>
                      <w:color w:val="auto"/>
                      <w:kern w:val="0"/>
                      <w:sz w:val="22"/>
                      <w:szCs w:val="22"/>
                      <w:highlight w:val="none"/>
                      <w:lang w:eastAsia="zh-CN"/>
                    </w:rPr>
                    <w:t>渝西中学高中部周边为规划工业用地（</w:t>
                  </w:r>
                  <w:r>
                    <w:rPr>
                      <w:rFonts w:hint="eastAsia"/>
                      <w:color w:val="auto"/>
                      <w:kern w:val="0"/>
                      <w:sz w:val="22"/>
                      <w:szCs w:val="22"/>
                      <w:highlight w:val="none"/>
                      <w:lang w:val="en-US" w:eastAsia="zh-CN"/>
                    </w:rPr>
                    <w:t>M1</w:t>
                  </w:r>
                  <w:r>
                    <w:rPr>
                      <w:rFonts w:hint="eastAsia"/>
                      <w:color w:val="auto"/>
                      <w:kern w:val="0"/>
                      <w:sz w:val="22"/>
                      <w:szCs w:val="22"/>
                      <w:highlight w:val="none"/>
                      <w:lang w:eastAsia="zh-CN"/>
                    </w:rPr>
                    <w:t>）</w:t>
                  </w:r>
                </w:p>
              </w:tc>
              <w:tc>
                <w:tcPr>
                  <w:tcW w:w="2040" w:type="pct"/>
                  <w:tcBorders>
                    <w:tl2br w:val="nil"/>
                    <w:tr2bl w:val="nil"/>
                  </w:tcBorders>
                  <w:noWrap w:val="0"/>
                  <w:vAlign w:val="center"/>
                </w:tcPr>
                <w:p w14:paraId="73C1EBB2">
                  <w:pPr>
                    <w:widowControl/>
                    <w:adjustRightInd w:val="0"/>
                    <w:snapToGrid w:val="0"/>
                    <w:jc w:val="center"/>
                    <w:rPr>
                      <w:rFonts w:hint="eastAsia" w:ascii="Times New Roman" w:hAnsi="Times New Roman" w:eastAsia="宋体" w:cs="Times New Roman"/>
                      <w:color w:val="auto"/>
                      <w:kern w:val="0"/>
                      <w:sz w:val="22"/>
                      <w:szCs w:val="22"/>
                      <w:highlight w:val="none"/>
                      <w:lang w:val="en-US" w:eastAsia="zh-CN"/>
                    </w:rPr>
                  </w:pPr>
                  <w:r>
                    <w:rPr>
                      <w:rFonts w:hint="eastAsia" w:ascii="Times New Roman" w:hAnsi="Times New Roman" w:eastAsia="宋体" w:cs="Times New Roman"/>
                      <w:color w:val="auto"/>
                      <w:kern w:val="0"/>
                      <w:sz w:val="22"/>
                      <w:szCs w:val="22"/>
                      <w:highlight w:val="none"/>
                      <w:lang w:val="en-US" w:eastAsia="zh-CN"/>
                    </w:rPr>
                    <w:t>渝西中学与周边未开发工业用地后续引进项目的生产车间之间应设置不少于100m防护距离</w:t>
                  </w:r>
                </w:p>
              </w:tc>
              <w:tc>
                <w:tcPr>
                  <w:tcW w:w="1211" w:type="pct"/>
                  <w:tcBorders>
                    <w:tl2br w:val="nil"/>
                    <w:tr2bl w:val="nil"/>
                  </w:tcBorders>
                  <w:noWrap w:val="0"/>
                  <w:vAlign w:val="center"/>
                </w:tcPr>
                <w:p w14:paraId="42F64ADD">
                  <w:pPr>
                    <w:widowControl/>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eastAsia" w:ascii="Times New Roman" w:hAnsi="Times New Roman" w:eastAsia="宋体" w:cs="Times New Roman"/>
                      <w:color w:val="auto"/>
                      <w:kern w:val="0"/>
                      <w:sz w:val="22"/>
                      <w:szCs w:val="22"/>
                      <w:highlight w:val="none"/>
                      <w:lang w:val="en-US" w:eastAsia="zh-CN"/>
                    </w:rPr>
                    <w:t>本项目距离渝西中学1600m，不属于周边工业地块</w:t>
                  </w:r>
                </w:p>
              </w:tc>
              <w:tc>
                <w:tcPr>
                  <w:tcW w:w="258" w:type="pct"/>
                  <w:tcBorders>
                    <w:tl2br w:val="nil"/>
                    <w:tr2bl w:val="nil"/>
                  </w:tcBorders>
                  <w:noWrap w:val="0"/>
                  <w:vAlign w:val="center"/>
                </w:tcPr>
                <w:p w14:paraId="6CF00831">
                  <w:pPr>
                    <w:widowControl/>
                    <w:adjustRightInd w:val="0"/>
                    <w:snapToGrid w:val="0"/>
                    <w:jc w:val="center"/>
                    <w:rPr>
                      <w:rFonts w:hint="default" w:eastAsia="宋体"/>
                      <w:color w:val="auto"/>
                      <w:kern w:val="0"/>
                      <w:sz w:val="22"/>
                      <w:szCs w:val="22"/>
                      <w:highlight w:val="none"/>
                      <w:lang w:val="en-US" w:eastAsia="zh-CN"/>
                    </w:rPr>
                  </w:pPr>
                  <w:r>
                    <w:rPr>
                      <w:rFonts w:hint="eastAsia" w:eastAsia="宋体"/>
                      <w:color w:val="auto"/>
                      <w:kern w:val="0"/>
                      <w:sz w:val="22"/>
                      <w:szCs w:val="22"/>
                      <w:highlight w:val="none"/>
                      <w:lang w:val="en-US" w:eastAsia="zh-CN"/>
                    </w:rPr>
                    <w:t>符合</w:t>
                  </w:r>
                </w:p>
              </w:tc>
            </w:tr>
            <w:tr w14:paraId="666008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5" w:type="pct"/>
                  <w:vMerge w:val="continue"/>
                  <w:tcBorders>
                    <w:tl2br w:val="nil"/>
                    <w:tr2bl w:val="nil"/>
                  </w:tcBorders>
                  <w:noWrap w:val="0"/>
                  <w:vAlign w:val="center"/>
                </w:tcPr>
                <w:p w14:paraId="709B8266">
                  <w:pPr>
                    <w:widowControl/>
                    <w:adjustRightInd w:val="0"/>
                    <w:snapToGrid w:val="0"/>
                    <w:jc w:val="center"/>
                    <w:rPr>
                      <w:rFonts w:hint="eastAsia"/>
                      <w:color w:val="auto"/>
                      <w:kern w:val="0"/>
                      <w:sz w:val="22"/>
                      <w:szCs w:val="22"/>
                      <w:highlight w:val="none"/>
                      <w:lang w:eastAsia="zh-CN"/>
                    </w:rPr>
                  </w:pPr>
                </w:p>
              </w:tc>
              <w:tc>
                <w:tcPr>
                  <w:tcW w:w="1044" w:type="pct"/>
                  <w:tcBorders>
                    <w:tl2br w:val="nil"/>
                    <w:tr2bl w:val="nil"/>
                  </w:tcBorders>
                  <w:noWrap w:val="0"/>
                  <w:vAlign w:val="center"/>
                </w:tcPr>
                <w:p w14:paraId="358C3D61">
                  <w:pPr>
                    <w:widowControl/>
                    <w:adjustRightInd w:val="0"/>
                    <w:snapToGrid w:val="0"/>
                    <w:jc w:val="center"/>
                    <w:rPr>
                      <w:rFonts w:hint="eastAsia"/>
                      <w:color w:val="auto"/>
                      <w:kern w:val="0"/>
                      <w:sz w:val="22"/>
                      <w:szCs w:val="22"/>
                      <w:highlight w:val="none"/>
                      <w:lang w:eastAsia="zh-CN"/>
                    </w:rPr>
                  </w:pPr>
                  <w:r>
                    <w:rPr>
                      <w:rFonts w:hint="default" w:ascii="Times New Roman" w:hAnsi="Times New Roman" w:eastAsia="宋体" w:cs="Times New Roman"/>
                      <w:color w:val="auto"/>
                      <w:kern w:val="0"/>
                      <w:sz w:val="22"/>
                      <w:szCs w:val="22"/>
                      <w:highlight w:val="none"/>
                      <w:lang w:eastAsia="zh-CN"/>
                    </w:rPr>
                    <w:t>A31/04、A33/04、A34/04、A32/04</w:t>
                  </w:r>
                  <w:r>
                    <w:rPr>
                      <w:rFonts w:hint="eastAsia" w:cs="Times New Roman"/>
                      <w:color w:val="auto"/>
                      <w:kern w:val="0"/>
                      <w:sz w:val="22"/>
                      <w:szCs w:val="22"/>
                      <w:highlight w:val="none"/>
                      <w:lang w:eastAsia="zh-CN"/>
                    </w:rPr>
                    <w:t>、A30-1-1/06</w:t>
                  </w:r>
                  <w:r>
                    <w:rPr>
                      <w:rFonts w:hint="default" w:ascii="Times New Roman" w:hAnsi="Times New Roman" w:eastAsia="宋体" w:cs="Times New Roman"/>
                      <w:color w:val="auto"/>
                      <w:kern w:val="0"/>
                      <w:sz w:val="22"/>
                      <w:szCs w:val="22"/>
                      <w:highlight w:val="none"/>
                      <w:lang w:eastAsia="zh-CN"/>
                    </w:rPr>
                    <w:t>规划为工业用地，周边紧邻居住用地</w:t>
                  </w:r>
                </w:p>
              </w:tc>
              <w:tc>
                <w:tcPr>
                  <w:tcW w:w="2040" w:type="pct"/>
                  <w:tcBorders>
                    <w:tl2br w:val="nil"/>
                    <w:tr2bl w:val="nil"/>
                  </w:tcBorders>
                  <w:noWrap w:val="0"/>
                  <w:vAlign w:val="center"/>
                </w:tcPr>
                <w:p w14:paraId="2D354F2F">
                  <w:pPr>
                    <w:widowControl/>
                    <w:adjustRightInd w:val="0"/>
                    <w:snapToGrid w:val="0"/>
                    <w:jc w:val="center"/>
                    <w:rPr>
                      <w:rFonts w:hint="eastAsia"/>
                      <w:color w:val="auto"/>
                      <w:kern w:val="0"/>
                      <w:sz w:val="22"/>
                      <w:szCs w:val="22"/>
                      <w:highlight w:val="none"/>
                      <w:lang w:eastAsia="zh-CN"/>
                    </w:rPr>
                  </w:pPr>
                  <w:r>
                    <w:rPr>
                      <w:rFonts w:hint="eastAsia"/>
                      <w:color w:val="auto"/>
                      <w:kern w:val="0"/>
                      <w:sz w:val="22"/>
                      <w:szCs w:val="22"/>
                      <w:highlight w:val="none"/>
                      <w:lang w:eastAsia="zh-CN"/>
                    </w:rPr>
                    <w:t>工业地块A31/04、A33/04、A34/04、A32/04、A30-1-1/06后续引进项目的生产车间与周边居住用地之间均应设置不少于100米防护距离</w:t>
                  </w:r>
                </w:p>
              </w:tc>
              <w:tc>
                <w:tcPr>
                  <w:tcW w:w="1211" w:type="pct"/>
                  <w:tcBorders>
                    <w:tl2br w:val="nil"/>
                    <w:tr2bl w:val="nil"/>
                  </w:tcBorders>
                  <w:noWrap w:val="0"/>
                  <w:vAlign w:val="center"/>
                </w:tcPr>
                <w:p w14:paraId="2EB97307">
                  <w:pPr>
                    <w:widowControl/>
                    <w:adjustRightInd w:val="0"/>
                    <w:snapToGrid w:val="0"/>
                    <w:jc w:val="center"/>
                    <w:rPr>
                      <w:rFonts w:hint="eastAsia"/>
                      <w:color w:val="auto"/>
                      <w:kern w:val="0"/>
                      <w:sz w:val="22"/>
                      <w:szCs w:val="22"/>
                      <w:highlight w:val="none"/>
                      <w:lang w:eastAsia="zh-CN"/>
                    </w:rPr>
                  </w:pPr>
                  <w:r>
                    <w:rPr>
                      <w:rFonts w:hint="eastAsia" w:ascii="Times New Roman" w:hAnsi="Times New Roman" w:eastAsia="宋体" w:cs="Times New Roman"/>
                      <w:bCs/>
                      <w:color w:val="auto"/>
                      <w:sz w:val="22"/>
                      <w:szCs w:val="22"/>
                      <w:lang w:val="en-US" w:eastAsia="zh-CN"/>
                    </w:rPr>
                    <w:t>本项目属于西彭组团B分区，距离A分区居住用地约1700m</w:t>
                  </w:r>
                </w:p>
              </w:tc>
              <w:tc>
                <w:tcPr>
                  <w:tcW w:w="258" w:type="pct"/>
                  <w:tcBorders>
                    <w:tl2br w:val="nil"/>
                    <w:tr2bl w:val="nil"/>
                  </w:tcBorders>
                  <w:noWrap w:val="0"/>
                  <w:vAlign w:val="center"/>
                </w:tcPr>
                <w:p w14:paraId="179B3FD6">
                  <w:pPr>
                    <w:widowControl/>
                    <w:adjustRightInd w:val="0"/>
                    <w:snapToGrid w:val="0"/>
                    <w:jc w:val="center"/>
                    <w:rPr>
                      <w:rFonts w:hint="default"/>
                      <w:color w:val="auto"/>
                      <w:kern w:val="0"/>
                      <w:sz w:val="22"/>
                      <w:szCs w:val="22"/>
                      <w:highlight w:val="none"/>
                      <w:lang w:val="en-US" w:eastAsia="zh-CN"/>
                    </w:rPr>
                  </w:pPr>
                  <w:r>
                    <w:rPr>
                      <w:rFonts w:hint="eastAsia"/>
                      <w:color w:val="auto"/>
                      <w:kern w:val="0"/>
                      <w:sz w:val="22"/>
                      <w:szCs w:val="22"/>
                      <w:highlight w:val="none"/>
                      <w:lang w:val="en-US" w:eastAsia="zh-CN"/>
                    </w:rPr>
                    <w:t>符合</w:t>
                  </w:r>
                </w:p>
              </w:tc>
            </w:tr>
            <w:tr w14:paraId="78205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5" w:type="pct"/>
                  <w:vMerge w:val="restart"/>
                  <w:tcBorders>
                    <w:tl2br w:val="nil"/>
                    <w:tr2bl w:val="nil"/>
                  </w:tcBorders>
                  <w:noWrap w:val="0"/>
                  <w:vAlign w:val="center"/>
                </w:tcPr>
                <w:p w14:paraId="4CE877D5">
                  <w:pPr>
                    <w:widowControl/>
                    <w:adjustRightInd w:val="0"/>
                    <w:snapToGrid w:val="0"/>
                    <w:jc w:val="center"/>
                    <w:rPr>
                      <w:rFonts w:hint="eastAsia"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eastAsia="zh-CN"/>
                    </w:rPr>
                    <w:t>基础设施规划</w:t>
                  </w:r>
                </w:p>
              </w:tc>
              <w:tc>
                <w:tcPr>
                  <w:tcW w:w="1044" w:type="pct"/>
                  <w:tcBorders>
                    <w:tl2br w:val="nil"/>
                    <w:tr2bl w:val="nil"/>
                  </w:tcBorders>
                  <w:noWrap w:val="0"/>
                  <w:vAlign w:val="center"/>
                </w:tcPr>
                <w:p w14:paraId="0C882A55">
                  <w:pPr>
                    <w:widowControl/>
                    <w:adjustRightInd w:val="0"/>
                    <w:snapToGrid w:val="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eastAsia="zh-CN"/>
                    </w:rPr>
                    <w:t>环境风险设施规划</w:t>
                  </w:r>
                </w:p>
              </w:tc>
              <w:tc>
                <w:tcPr>
                  <w:tcW w:w="2040" w:type="pct"/>
                  <w:tcBorders>
                    <w:tl2br w:val="nil"/>
                    <w:tr2bl w:val="nil"/>
                  </w:tcBorders>
                  <w:noWrap w:val="0"/>
                  <w:vAlign w:val="center"/>
                </w:tcPr>
                <w:p w14:paraId="35E8AA66">
                  <w:pPr>
                    <w:widowControl/>
                    <w:adjustRightInd w:val="0"/>
                    <w:snapToGrid w:val="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eastAsia="zh-CN"/>
                    </w:rPr>
                    <w:t>立即启动金竹沟闸坝的修建工作，在合理工期内（除不可抗力外），原则上2023年年底前完成金竹沟闸坝的修建</w:t>
                  </w:r>
                </w:p>
              </w:tc>
              <w:tc>
                <w:tcPr>
                  <w:tcW w:w="1211" w:type="pct"/>
                  <w:tcBorders>
                    <w:tl2br w:val="nil"/>
                    <w:tr2bl w:val="nil"/>
                  </w:tcBorders>
                  <w:noWrap w:val="0"/>
                  <w:vAlign w:val="center"/>
                </w:tcPr>
                <w:p w14:paraId="562BB4F8">
                  <w:pPr>
                    <w:widowControl/>
                    <w:adjustRightInd w:val="0"/>
                    <w:snapToGrid w:val="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eastAsia="宋体" w:cs="Times New Roman"/>
                      <w:color w:val="auto"/>
                      <w:kern w:val="0"/>
                      <w:sz w:val="22"/>
                      <w:szCs w:val="22"/>
                      <w:highlight w:val="none"/>
                      <w:lang w:val="en-US" w:eastAsia="zh-CN" w:bidi="ar-SA"/>
                    </w:rPr>
                    <w:t>/</w:t>
                  </w:r>
                </w:p>
              </w:tc>
              <w:tc>
                <w:tcPr>
                  <w:tcW w:w="258" w:type="pct"/>
                  <w:tcBorders>
                    <w:tl2br w:val="nil"/>
                    <w:tr2bl w:val="nil"/>
                  </w:tcBorders>
                  <w:noWrap w:val="0"/>
                  <w:vAlign w:val="center"/>
                </w:tcPr>
                <w:p w14:paraId="09A55FFF">
                  <w:pPr>
                    <w:widowControl/>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eastAsia" w:ascii="Times New Roman" w:hAnsi="Times New Roman" w:eastAsia="宋体" w:cs="Times New Roman"/>
                      <w:color w:val="auto"/>
                      <w:kern w:val="0"/>
                      <w:sz w:val="22"/>
                      <w:szCs w:val="22"/>
                      <w:highlight w:val="none"/>
                      <w:lang w:val="en-US" w:eastAsia="zh-CN"/>
                    </w:rPr>
                    <w:t>/</w:t>
                  </w:r>
                </w:p>
              </w:tc>
            </w:tr>
            <w:tr w14:paraId="7B0BCA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5" w:type="pct"/>
                  <w:vMerge w:val="continue"/>
                  <w:tcBorders>
                    <w:tl2br w:val="nil"/>
                    <w:tr2bl w:val="nil"/>
                  </w:tcBorders>
                  <w:noWrap w:val="0"/>
                  <w:vAlign w:val="center"/>
                </w:tcPr>
                <w:p w14:paraId="1C8E5DA7">
                  <w:pPr>
                    <w:widowControl/>
                    <w:adjustRightInd w:val="0"/>
                    <w:snapToGrid w:val="0"/>
                    <w:jc w:val="center"/>
                    <w:rPr>
                      <w:rFonts w:hint="eastAsia"/>
                      <w:color w:val="auto"/>
                      <w:kern w:val="0"/>
                      <w:sz w:val="22"/>
                      <w:szCs w:val="22"/>
                      <w:highlight w:val="none"/>
                      <w:lang w:eastAsia="zh-CN"/>
                    </w:rPr>
                  </w:pPr>
                </w:p>
              </w:tc>
              <w:tc>
                <w:tcPr>
                  <w:tcW w:w="1044" w:type="pct"/>
                  <w:tcBorders>
                    <w:tl2br w:val="nil"/>
                    <w:tr2bl w:val="nil"/>
                  </w:tcBorders>
                  <w:noWrap w:val="0"/>
                  <w:vAlign w:val="center"/>
                </w:tcPr>
                <w:p w14:paraId="78DFB54F">
                  <w:pPr>
                    <w:widowControl/>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eastAsia="zh-CN"/>
                    </w:rPr>
                    <w:t>排水规划</w:t>
                  </w:r>
                </w:p>
              </w:tc>
              <w:tc>
                <w:tcPr>
                  <w:tcW w:w="2040" w:type="pct"/>
                  <w:tcBorders>
                    <w:tl2br w:val="nil"/>
                    <w:tr2bl w:val="nil"/>
                  </w:tcBorders>
                  <w:noWrap w:val="0"/>
                  <w:vAlign w:val="center"/>
                </w:tcPr>
                <w:p w14:paraId="5DF65E71">
                  <w:pPr>
                    <w:widowControl/>
                    <w:adjustRightInd w:val="0"/>
                    <w:snapToGrid w:val="0"/>
                    <w:jc w:val="both"/>
                    <w:rPr>
                      <w:rFonts w:hint="default" w:ascii="Times New Roman" w:hAnsi="Times New Roman" w:eastAsia="宋体" w:cs="Times New Roman"/>
                      <w:color w:val="auto"/>
                      <w:kern w:val="0"/>
                      <w:sz w:val="22"/>
                      <w:szCs w:val="22"/>
                      <w:highlight w:val="none"/>
                      <w:lang w:eastAsia="zh-CN"/>
                    </w:rPr>
                  </w:pPr>
                  <w:r>
                    <w:rPr>
                      <w:rFonts w:hint="eastAsia" w:ascii="Times New Roman" w:hAnsi="Times New Roman" w:eastAsia="宋体" w:cs="Times New Roman"/>
                      <w:color w:val="auto"/>
                      <w:kern w:val="0"/>
                      <w:sz w:val="22"/>
                      <w:szCs w:val="22"/>
                      <w:highlight w:val="none"/>
                      <w:lang w:eastAsia="zh-CN"/>
                    </w:rPr>
                    <w:t>①</w:t>
                  </w:r>
                  <w:r>
                    <w:rPr>
                      <w:rFonts w:hint="default" w:ascii="Times New Roman" w:hAnsi="Times New Roman" w:eastAsia="宋体" w:cs="Times New Roman"/>
                      <w:color w:val="auto"/>
                      <w:kern w:val="0"/>
                      <w:sz w:val="22"/>
                      <w:szCs w:val="22"/>
                      <w:highlight w:val="none"/>
                      <w:lang w:eastAsia="zh-CN"/>
                    </w:rPr>
                    <w:t>加快推进西彭工业园区污水处理厂提标扩建工程，确保在2025年底前完成污水处理厂提标扩建工程；</w:t>
                  </w:r>
                </w:p>
                <w:p w14:paraId="368CB3F5">
                  <w:pPr>
                    <w:widowControl/>
                    <w:adjustRightInd w:val="0"/>
                    <w:snapToGrid w:val="0"/>
                    <w:jc w:val="both"/>
                    <w:rPr>
                      <w:rFonts w:hint="eastAsia" w:ascii="Times New Roman" w:hAnsi="Times New Roman" w:eastAsia="宋体" w:cs="Times New Roman"/>
                      <w:color w:val="auto"/>
                      <w:kern w:val="0"/>
                      <w:sz w:val="22"/>
                      <w:szCs w:val="22"/>
                      <w:highlight w:val="none"/>
                      <w:lang w:eastAsia="zh-CN"/>
                    </w:rPr>
                  </w:pPr>
                  <w:r>
                    <w:rPr>
                      <w:rFonts w:hint="eastAsia" w:ascii="Times New Roman" w:hAnsi="Times New Roman" w:eastAsia="宋体" w:cs="Times New Roman"/>
                      <w:color w:val="auto"/>
                      <w:kern w:val="0"/>
                      <w:sz w:val="22"/>
                      <w:szCs w:val="22"/>
                      <w:highlight w:val="none"/>
                      <w:lang w:eastAsia="zh-CN"/>
                    </w:rPr>
                    <w:t>②</w:t>
                  </w:r>
                  <w:r>
                    <w:rPr>
                      <w:rFonts w:hint="default" w:ascii="Times New Roman" w:hAnsi="Times New Roman" w:eastAsia="宋体" w:cs="Times New Roman"/>
                      <w:color w:val="auto"/>
                      <w:kern w:val="0"/>
                      <w:sz w:val="22"/>
                      <w:szCs w:val="22"/>
                      <w:highlight w:val="none"/>
                      <w:lang w:eastAsia="zh-CN"/>
                    </w:rPr>
                    <w:t>2023年底前，完成铜罐驿污水处理厂配套管网建设工作</w:t>
                  </w:r>
                  <w:r>
                    <w:rPr>
                      <w:rFonts w:hint="eastAsia" w:ascii="Times New Roman" w:hAnsi="Times New Roman" w:eastAsia="宋体" w:cs="Times New Roman"/>
                      <w:color w:val="auto"/>
                      <w:kern w:val="0"/>
                      <w:sz w:val="22"/>
                      <w:szCs w:val="22"/>
                      <w:highlight w:val="none"/>
                      <w:lang w:eastAsia="zh-CN"/>
                    </w:rPr>
                    <w:t>；</w:t>
                  </w:r>
                </w:p>
                <w:p w14:paraId="46096178">
                  <w:pPr>
                    <w:widowControl/>
                    <w:adjustRightInd w:val="0"/>
                    <w:snapToGrid w:val="0"/>
                    <w:jc w:val="both"/>
                    <w:rPr>
                      <w:rFonts w:hint="eastAsia" w:ascii="Times New Roman" w:hAnsi="Times New Roman" w:eastAsia="宋体" w:cs="Times New Roman"/>
                      <w:color w:val="auto"/>
                      <w:kern w:val="0"/>
                      <w:sz w:val="22"/>
                      <w:szCs w:val="22"/>
                      <w:highlight w:val="none"/>
                      <w:lang w:val="en-US" w:eastAsia="zh-CN"/>
                    </w:rPr>
                  </w:pPr>
                  <w:r>
                    <w:rPr>
                      <w:rFonts w:hint="eastAsia" w:ascii="Times New Roman" w:hAnsi="Times New Roman" w:eastAsia="宋体" w:cs="Times New Roman"/>
                      <w:color w:val="auto"/>
                      <w:kern w:val="0"/>
                      <w:sz w:val="22"/>
                      <w:szCs w:val="22"/>
                      <w:highlight w:val="none"/>
                      <w:lang w:val="en-US" w:eastAsia="zh-CN"/>
                    </w:rPr>
                    <w:t>③陶家镇生活污水处理厂的主管部门应结合区域人口增加情况，适时启动扩建工程；</w:t>
                  </w:r>
                </w:p>
                <w:p w14:paraId="2F30EFFF">
                  <w:pPr>
                    <w:widowControl/>
                    <w:adjustRightInd w:val="0"/>
                    <w:snapToGrid w:val="0"/>
                    <w:jc w:val="both"/>
                    <w:rPr>
                      <w:rFonts w:hint="default" w:ascii="Times New Roman" w:hAnsi="Times New Roman" w:eastAsia="宋体" w:cs="Times New Roman"/>
                      <w:color w:val="auto"/>
                      <w:kern w:val="0"/>
                      <w:sz w:val="22"/>
                      <w:szCs w:val="22"/>
                      <w:highlight w:val="none"/>
                      <w:lang w:val="en-US" w:eastAsia="zh-CN"/>
                    </w:rPr>
                  </w:pPr>
                  <w:r>
                    <w:rPr>
                      <w:rFonts w:hint="eastAsia" w:ascii="Times New Roman" w:hAnsi="Times New Roman" w:eastAsia="宋体" w:cs="Times New Roman"/>
                      <w:color w:val="auto"/>
                      <w:kern w:val="0"/>
                      <w:sz w:val="22"/>
                      <w:szCs w:val="22"/>
                      <w:highlight w:val="none"/>
                      <w:lang w:val="en-US" w:eastAsia="zh-CN"/>
                    </w:rPr>
                    <w:t>④根据陶家工业污水处理厂服务范围内废水情况，适时启动扩建工程</w:t>
                  </w:r>
                </w:p>
              </w:tc>
              <w:tc>
                <w:tcPr>
                  <w:tcW w:w="1211" w:type="pct"/>
                  <w:tcBorders>
                    <w:tl2br w:val="nil"/>
                    <w:tr2bl w:val="nil"/>
                  </w:tcBorders>
                  <w:noWrap w:val="0"/>
                  <w:vAlign w:val="center"/>
                </w:tcPr>
                <w:p w14:paraId="392E07E7">
                  <w:pPr>
                    <w:widowControl/>
                    <w:adjustRightInd w:val="0"/>
                    <w:snapToGrid w:val="0"/>
                    <w:jc w:val="center"/>
                    <w:rPr>
                      <w:rFonts w:hint="default" w:ascii="Times New Roman" w:hAnsi="Times New Roman" w:eastAsia="宋体" w:cs="Times New Roman"/>
                      <w:color w:val="auto"/>
                      <w:kern w:val="0"/>
                      <w:sz w:val="22"/>
                      <w:szCs w:val="22"/>
                      <w:highlight w:val="none"/>
                      <w:lang w:val="en-US" w:eastAsia="zh-CN" w:bidi="ar-SA"/>
                    </w:rPr>
                  </w:pPr>
                  <w:r>
                    <w:rPr>
                      <w:rFonts w:hint="eastAsia" w:ascii="Times New Roman" w:hAnsi="Times New Roman" w:eastAsia="宋体" w:cs="Times New Roman"/>
                      <w:color w:val="auto"/>
                      <w:kern w:val="0"/>
                      <w:sz w:val="22"/>
                      <w:szCs w:val="22"/>
                      <w:highlight w:val="none"/>
                      <w:lang w:val="en-US" w:eastAsia="zh-CN" w:bidi="ar-SA"/>
                    </w:rPr>
                    <w:t>/</w:t>
                  </w:r>
                </w:p>
              </w:tc>
              <w:tc>
                <w:tcPr>
                  <w:tcW w:w="258" w:type="pct"/>
                  <w:tcBorders>
                    <w:tl2br w:val="nil"/>
                    <w:tr2bl w:val="nil"/>
                  </w:tcBorders>
                  <w:noWrap w:val="0"/>
                  <w:vAlign w:val="center"/>
                </w:tcPr>
                <w:p w14:paraId="09D561BF">
                  <w:pPr>
                    <w:widowControl/>
                    <w:adjustRightInd w:val="0"/>
                    <w:snapToGrid w:val="0"/>
                    <w:jc w:val="center"/>
                    <w:rPr>
                      <w:rFonts w:hint="default" w:ascii="Times New Roman" w:hAnsi="Times New Roman" w:eastAsia="宋体" w:cs="Times New Roman"/>
                      <w:color w:val="auto"/>
                      <w:kern w:val="0"/>
                      <w:sz w:val="22"/>
                      <w:szCs w:val="22"/>
                      <w:highlight w:val="none"/>
                      <w:lang w:eastAsia="zh-CN"/>
                    </w:rPr>
                  </w:pPr>
                  <w:r>
                    <w:rPr>
                      <w:rFonts w:hint="eastAsia" w:ascii="Times New Roman" w:hAnsi="Times New Roman" w:eastAsia="宋体" w:cs="Times New Roman"/>
                      <w:color w:val="auto"/>
                      <w:kern w:val="0"/>
                      <w:sz w:val="22"/>
                      <w:szCs w:val="22"/>
                      <w:highlight w:val="none"/>
                      <w:lang w:val="en-US" w:eastAsia="zh-CN"/>
                    </w:rPr>
                    <w:t>/</w:t>
                  </w:r>
                </w:p>
              </w:tc>
            </w:tr>
          </w:tbl>
          <w:p w14:paraId="2F8DDDAA">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eastAsia" w:ascii="Times New Roman" w:hAnsi="Times New Roman" w:eastAsia="宋体" w:cs="Times New Roman"/>
                <w:b w:val="0"/>
                <w:bCs w:val="0"/>
                <w:color w:val="auto"/>
                <w:kern w:val="0"/>
                <w:sz w:val="26"/>
                <w:szCs w:val="26"/>
                <w:lang w:val="en-US" w:eastAsia="zh-CN"/>
              </w:rPr>
            </w:pPr>
          </w:p>
          <w:p w14:paraId="2AAF94BC">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b w:val="0"/>
                <w:bCs w:val="0"/>
                <w:color w:val="auto"/>
                <w:kern w:val="0"/>
                <w:sz w:val="26"/>
                <w:szCs w:val="26"/>
                <w:lang w:val="en-US" w:eastAsia="zh-CN"/>
              </w:rPr>
            </w:pPr>
            <w:r>
              <w:rPr>
                <w:rFonts w:hint="eastAsia" w:ascii="Times New Roman" w:hAnsi="Times New Roman" w:eastAsia="宋体" w:cs="Times New Roman"/>
                <w:b w:val="0"/>
                <w:bCs w:val="0"/>
                <w:color w:val="auto"/>
                <w:kern w:val="0"/>
                <w:sz w:val="26"/>
                <w:szCs w:val="26"/>
                <w:lang w:val="en-US" w:eastAsia="zh-CN"/>
              </w:rPr>
              <w:t>（3）总量管控限制</w:t>
            </w:r>
          </w:p>
          <w:p w14:paraId="4D8249DA">
            <w:pPr>
              <w:autoSpaceDE w:val="0"/>
              <w:autoSpaceDN w:val="0"/>
              <w:adjustRightInd w:val="0"/>
              <w:snapToGrid w:val="0"/>
              <w:spacing w:line="460" w:lineRule="exact"/>
              <w:jc w:val="center"/>
              <w:rPr>
                <w:rFonts w:hint="default"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rPr>
              <w:t>表1.2</w:t>
            </w:r>
            <w:r>
              <w:rPr>
                <w:rFonts w:hint="eastAsia" w:ascii="Times New Roman" w:hAnsi="Times New Roman" w:eastAsia="宋体" w:cs="Times New Roman"/>
                <w:b/>
                <w:bCs/>
                <w:color w:val="auto"/>
                <w:kern w:val="0"/>
                <w:sz w:val="26"/>
                <w:szCs w:val="26"/>
                <w:lang w:val="en-US" w:eastAsia="zh-CN"/>
              </w:rPr>
              <w:t>-3  园区总量管控限值一览表(单位：t/a)</w:t>
            </w:r>
          </w:p>
          <w:tbl>
            <w:tblPr>
              <w:tblStyle w:val="25"/>
              <w:tblW w:w="48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440"/>
              <w:gridCol w:w="1053"/>
              <w:gridCol w:w="1026"/>
              <w:gridCol w:w="1116"/>
              <w:gridCol w:w="1116"/>
              <w:gridCol w:w="1116"/>
            </w:tblGrid>
            <w:tr w14:paraId="4D1EC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tcBorders>
                    <w:tl2br w:val="nil"/>
                    <w:tr2bl w:val="nil"/>
                  </w:tcBorders>
                  <w:noWrap w:val="0"/>
                  <w:vAlign w:val="center"/>
                </w:tcPr>
                <w:p w14:paraId="7C6E1CDD">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分类</w:t>
                  </w:r>
                </w:p>
              </w:tc>
              <w:tc>
                <w:tcPr>
                  <w:tcW w:w="1440" w:type="dxa"/>
                  <w:tcBorders>
                    <w:tl2br w:val="nil"/>
                    <w:tr2bl w:val="nil"/>
                  </w:tcBorders>
                  <w:noWrap w:val="0"/>
                  <w:vAlign w:val="center"/>
                </w:tcPr>
                <w:p w14:paraId="4B9214E3">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污染物</w:t>
                  </w:r>
                </w:p>
              </w:tc>
              <w:tc>
                <w:tcPr>
                  <w:tcW w:w="1053" w:type="dxa"/>
                  <w:tcBorders>
                    <w:tl2br w:val="nil"/>
                    <w:tr2bl w:val="nil"/>
                  </w:tcBorders>
                  <w:noWrap w:val="0"/>
                  <w:vAlign w:val="center"/>
                </w:tcPr>
                <w:p w14:paraId="1BA10C54">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现状排放量</w:t>
                  </w:r>
                </w:p>
              </w:tc>
              <w:tc>
                <w:tcPr>
                  <w:tcW w:w="1026" w:type="dxa"/>
                  <w:tcBorders>
                    <w:tl2br w:val="nil"/>
                    <w:tr2bl w:val="nil"/>
                  </w:tcBorders>
                  <w:noWrap w:val="0"/>
                  <w:vAlign w:val="center"/>
                </w:tcPr>
                <w:p w14:paraId="01D9B2D1">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总量管控限值</w:t>
                  </w:r>
                </w:p>
              </w:tc>
              <w:tc>
                <w:tcPr>
                  <w:tcW w:w="1116" w:type="dxa"/>
                  <w:tcBorders>
                    <w:tl2br w:val="nil"/>
                    <w:tr2bl w:val="nil"/>
                  </w:tcBorders>
                  <w:noWrap w:val="0"/>
                  <w:vAlign w:val="center"/>
                </w:tcPr>
                <w:p w14:paraId="10E3DEA6">
                  <w:pPr>
                    <w:autoSpaceDE w:val="0"/>
                    <w:autoSpaceDN w:val="0"/>
                    <w:jc w:val="center"/>
                    <w:rPr>
                      <w:rFonts w:hint="eastAsia" w:ascii="Times New Roman" w:hAnsi="Times New Roman" w:eastAsia="宋体" w:cs="Times New Roman"/>
                      <w:bCs/>
                      <w:color w:val="auto"/>
                      <w:sz w:val="22"/>
                      <w:szCs w:val="22"/>
                      <w:lang w:eastAsia="zh-CN"/>
                    </w:rPr>
                  </w:pPr>
                  <w:r>
                    <w:rPr>
                      <w:rFonts w:hint="eastAsia" w:ascii="Times New Roman" w:hAnsi="Times New Roman" w:eastAsia="宋体" w:cs="Times New Roman"/>
                      <w:bCs/>
                      <w:color w:val="auto"/>
                      <w:sz w:val="22"/>
                      <w:szCs w:val="22"/>
                      <w:lang w:eastAsia="zh-CN"/>
                    </w:rPr>
                    <w:t>剩余总量</w:t>
                  </w:r>
                </w:p>
              </w:tc>
              <w:tc>
                <w:tcPr>
                  <w:tcW w:w="1116" w:type="dxa"/>
                  <w:tcBorders>
                    <w:tl2br w:val="nil"/>
                    <w:tr2bl w:val="nil"/>
                  </w:tcBorders>
                  <w:noWrap w:val="0"/>
                  <w:vAlign w:val="center"/>
                </w:tcPr>
                <w:p w14:paraId="1A4CBEC0">
                  <w:pPr>
                    <w:autoSpaceDE w:val="0"/>
                    <w:autoSpaceDN w:val="0"/>
                    <w:jc w:val="center"/>
                    <w:rPr>
                      <w:rFonts w:hint="eastAsia" w:ascii="Times New Roman" w:hAnsi="Times New Roman" w:eastAsia="宋体" w:cs="Times New Roman"/>
                      <w:bCs/>
                      <w:color w:val="auto"/>
                      <w:sz w:val="22"/>
                      <w:szCs w:val="22"/>
                      <w:lang w:eastAsia="zh-CN"/>
                    </w:rPr>
                  </w:pPr>
                  <w:r>
                    <w:rPr>
                      <w:rFonts w:hint="eastAsia" w:ascii="Times New Roman" w:hAnsi="Times New Roman" w:eastAsia="宋体" w:cs="Times New Roman"/>
                      <w:bCs/>
                      <w:color w:val="auto"/>
                      <w:sz w:val="22"/>
                      <w:szCs w:val="22"/>
                      <w:lang w:eastAsia="zh-CN"/>
                    </w:rPr>
                    <w:t>本项目新增排放量</w:t>
                  </w:r>
                </w:p>
              </w:tc>
              <w:tc>
                <w:tcPr>
                  <w:tcW w:w="1116" w:type="dxa"/>
                  <w:tcBorders>
                    <w:tl2br w:val="nil"/>
                    <w:tr2bl w:val="nil"/>
                  </w:tcBorders>
                  <w:noWrap w:val="0"/>
                  <w:vAlign w:val="center"/>
                </w:tcPr>
                <w:p w14:paraId="1A58998F">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能否维持</w:t>
                  </w:r>
                </w:p>
                <w:p w14:paraId="241CAB2B">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环境质量底线</w:t>
                  </w:r>
                </w:p>
              </w:tc>
            </w:tr>
            <w:tr w14:paraId="3C9976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restart"/>
                  <w:tcBorders>
                    <w:tl2br w:val="nil"/>
                    <w:tr2bl w:val="nil"/>
                  </w:tcBorders>
                  <w:noWrap w:val="0"/>
                  <w:vAlign w:val="center"/>
                </w:tcPr>
                <w:p w14:paraId="0335D286">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大气污染物总量管控限值</w:t>
                  </w:r>
                </w:p>
              </w:tc>
              <w:tc>
                <w:tcPr>
                  <w:tcW w:w="1440" w:type="dxa"/>
                  <w:tcBorders>
                    <w:tl2br w:val="nil"/>
                    <w:tr2bl w:val="nil"/>
                  </w:tcBorders>
                  <w:noWrap w:val="0"/>
                  <w:vAlign w:val="center"/>
                </w:tcPr>
                <w:p w14:paraId="3D8EF7D7">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SO</w:t>
                  </w:r>
                  <w:r>
                    <w:rPr>
                      <w:rFonts w:hint="eastAsia" w:ascii="Times New Roman" w:hAnsi="Times New Roman" w:eastAsia="宋体" w:cs="Times New Roman"/>
                      <w:bCs/>
                      <w:color w:val="auto"/>
                      <w:sz w:val="22"/>
                      <w:szCs w:val="22"/>
                      <w:vertAlign w:val="subscript"/>
                    </w:rPr>
                    <w:t>2</w:t>
                  </w:r>
                </w:p>
              </w:tc>
              <w:tc>
                <w:tcPr>
                  <w:tcW w:w="1053" w:type="dxa"/>
                  <w:tcBorders>
                    <w:tl2br w:val="nil"/>
                    <w:tr2bl w:val="nil"/>
                  </w:tcBorders>
                  <w:noWrap w:val="0"/>
                  <w:vAlign w:val="center"/>
                </w:tcPr>
                <w:p w14:paraId="6402FCFB">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1251.01</w:t>
                  </w:r>
                </w:p>
              </w:tc>
              <w:tc>
                <w:tcPr>
                  <w:tcW w:w="1026" w:type="dxa"/>
                  <w:tcBorders>
                    <w:tl2br w:val="nil"/>
                    <w:tr2bl w:val="nil"/>
                  </w:tcBorders>
                  <w:noWrap w:val="0"/>
                  <w:vAlign w:val="center"/>
                </w:tcPr>
                <w:p w14:paraId="52C3E5C7">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1357.89</w:t>
                  </w:r>
                </w:p>
              </w:tc>
              <w:tc>
                <w:tcPr>
                  <w:tcW w:w="1116" w:type="dxa"/>
                  <w:tcBorders>
                    <w:tl2br w:val="nil"/>
                    <w:tr2bl w:val="nil"/>
                  </w:tcBorders>
                  <w:noWrap w:val="0"/>
                  <w:vAlign w:val="center"/>
                </w:tcPr>
                <w:p w14:paraId="6F4B152A">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106.88</w:t>
                  </w:r>
                </w:p>
              </w:tc>
              <w:tc>
                <w:tcPr>
                  <w:tcW w:w="1116" w:type="dxa"/>
                  <w:tcBorders>
                    <w:tl2br w:val="nil"/>
                    <w:tr2bl w:val="nil"/>
                  </w:tcBorders>
                  <w:noWrap w:val="0"/>
                  <w:vAlign w:val="center"/>
                </w:tcPr>
                <w:p w14:paraId="4C88BB2F">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0.788</w:t>
                  </w:r>
                </w:p>
              </w:tc>
              <w:tc>
                <w:tcPr>
                  <w:tcW w:w="1116" w:type="dxa"/>
                  <w:tcBorders>
                    <w:tl2br w:val="nil"/>
                    <w:tr2bl w:val="nil"/>
                  </w:tcBorders>
                  <w:noWrap w:val="0"/>
                  <w:vAlign w:val="center"/>
                </w:tcPr>
                <w:p w14:paraId="24C8101E">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是</w:t>
                  </w:r>
                </w:p>
              </w:tc>
            </w:tr>
            <w:tr w14:paraId="659B1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noWrap w:val="0"/>
                  <w:vAlign w:val="center"/>
                </w:tcPr>
                <w:p w14:paraId="712043F2">
                  <w:pPr>
                    <w:autoSpaceDE w:val="0"/>
                    <w:autoSpaceDN w:val="0"/>
                    <w:jc w:val="center"/>
                    <w:rPr>
                      <w:rFonts w:hint="eastAsia" w:ascii="Times New Roman" w:hAnsi="Times New Roman" w:eastAsia="宋体" w:cs="Times New Roman"/>
                      <w:bCs/>
                      <w:color w:val="auto"/>
                      <w:sz w:val="22"/>
                      <w:szCs w:val="22"/>
                    </w:rPr>
                  </w:pPr>
                </w:p>
              </w:tc>
              <w:tc>
                <w:tcPr>
                  <w:tcW w:w="1440" w:type="dxa"/>
                  <w:tcBorders>
                    <w:tl2br w:val="nil"/>
                    <w:tr2bl w:val="nil"/>
                  </w:tcBorders>
                  <w:noWrap w:val="0"/>
                  <w:vAlign w:val="center"/>
                </w:tcPr>
                <w:p w14:paraId="1C1252D9">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NOx</w:t>
                  </w:r>
                </w:p>
              </w:tc>
              <w:tc>
                <w:tcPr>
                  <w:tcW w:w="1053" w:type="dxa"/>
                  <w:tcBorders>
                    <w:tl2br w:val="nil"/>
                    <w:tr2bl w:val="nil"/>
                  </w:tcBorders>
                  <w:noWrap w:val="0"/>
                  <w:vAlign w:val="center"/>
                </w:tcPr>
                <w:p w14:paraId="67CB4146">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1023.496</w:t>
                  </w:r>
                </w:p>
              </w:tc>
              <w:tc>
                <w:tcPr>
                  <w:tcW w:w="1026" w:type="dxa"/>
                  <w:tcBorders>
                    <w:tl2br w:val="nil"/>
                    <w:tr2bl w:val="nil"/>
                  </w:tcBorders>
                  <w:noWrap w:val="0"/>
                  <w:vAlign w:val="center"/>
                </w:tcPr>
                <w:p w14:paraId="1197EE40">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1320.84</w:t>
                  </w:r>
                </w:p>
              </w:tc>
              <w:tc>
                <w:tcPr>
                  <w:tcW w:w="1116" w:type="dxa"/>
                  <w:tcBorders>
                    <w:tl2br w:val="nil"/>
                    <w:tr2bl w:val="nil"/>
                  </w:tcBorders>
                  <w:noWrap w:val="0"/>
                  <w:vAlign w:val="center"/>
                </w:tcPr>
                <w:p w14:paraId="2B7C7E10">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297.344</w:t>
                  </w:r>
                </w:p>
              </w:tc>
              <w:tc>
                <w:tcPr>
                  <w:tcW w:w="1116" w:type="dxa"/>
                  <w:tcBorders>
                    <w:tl2br w:val="nil"/>
                    <w:tr2bl w:val="nil"/>
                  </w:tcBorders>
                  <w:noWrap w:val="0"/>
                  <w:vAlign w:val="center"/>
                </w:tcPr>
                <w:p w14:paraId="76522768">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13.214</w:t>
                  </w:r>
                </w:p>
              </w:tc>
              <w:tc>
                <w:tcPr>
                  <w:tcW w:w="1116" w:type="dxa"/>
                  <w:tcBorders>
                    <w:tl2br w:val="nil"/>
                    <w:tr2bl w:val="nil"/>
                  </w:tcBorders>
                  <w:noWrap w:val="0"/>
                  <w:vAlign w:val="center"/>
                </w:tcPr>
                <w:p w14:paraId="67BEA2DC">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是</w:t>
                  </w:r>
                </w:p>
              </w:tc>
            </w:tr>
            <w:tr w14:paraId="094DD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noWrap w:val="0"/>
                  <w:vAlign w:val="center"/>
                </w:tcPr>
                <w:p w14:paraId="6FC65B7E">
                  <w:pPr>
                    <w:autoSpaceDE w:val="0"/>
                    <w:autoSpaceDN w:val="0"/>
                    <w:jc w:val="center"/>
                    <w:rPr>
                      <w:rFonts w:hint="eastAsia" w:ascii="Times New Roman" w:hAnsi="Times New Roman" w:eastAsia="宋体" w:cs="Times New Roman"/>
                      <w:bCs/>
                      <w:color w:val="auto"/>
                      <w:sz w:val="22"/>
                      <w:szCs w:val="22"/>
                    </w:rPr>
                  </w:pPr>
                </w:p>
              </w:tc>
              <w:tc>
                <w:tcPr>
                  <w:tcW w:w="1440" w:type="dxa"/>
                  <w:tcBorders>
                    <w:tl2br w:val="nil"/>
                    <w:tr2bl w:val="nil"/>
                  </w:tcBorders>
                  <w:noWrap w:val="0"/>
                  <w:vAlign w:val="center"/>
                </w:tcPr>
                <w:p w14:paraId="4302FDBE">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VOCs</w:t>
                  </w:r>
                </w:p>
                <w:p w14:paraId="4D9CA581">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（以非甲烷总烃计）</w:t>
                  </w:r>
                </w:p>
              </w:tc>
              <w:tc>
                <w:tcPr>
                  <w:tcW w:w="1053" w:type="dxa"/>
                  <w:tcBorders>
                    <w:tl2br w:val="nil"/>
                    <w:tr2bl w:val="nil"/>
                  </w:tcBorders>
                  <w:noWrap w:val="0"/>
                  <w:vAlign w:val="center"/>
                </w:tcPr>
                <w:p w14:paraId="1C7A64FF">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259.24</w:t>
                  </w:r>
                </w:p>
              </w:tc>
              <w:tc>
                <w:tcPr>
                  <w:tcW w:w="1026" w:type="dxa"/>
                  <w:tcBorders>
                    <w:tl2br w:val="nil"/>
                    <w:tr2bl w:val="nil"/>
                  </w:tcBorders>
                  <w:noWrap w:val="0"/>
                  <w:vAlign w:val="center"/>
                </w:tcPr>
                <w:p w14:paraId="51C924CF">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487.85</w:t>
                  </w:r>
                </w:p>
              </w:tc>
              <w:tc>
                <w:tcPr>
                  <w:tcW w:w="1116" w:type="dxa"/>
                  <w:tcBorders>
                    <w:tl2br w:val="nil"/>
                    <w:tr2bl w:val="nil"/>
                  </w:tcBorders>
                  <w:noWrap w:val="0"/>
                  <w:vAlign w:val="center"/>
                </w:tcPr>
                <w:p w14:paraId="2B981A78">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228.61</w:t>
                  </w:r>
                </w:p>
              </w:tc>
              <w:tc>
                <w:tcPr>
                  <w:tcW w:w="1116" w:type="dxa"/>
                  <w:tcBorders>
                    <w:tl2br w:val="nil"/>
                    <w:tr2bl w:val="nil"/>
                  </w:tcBorders>
                  <w:noWrap w:val="0"/>
                  <w:vAlign w:val="center"/>
                </w:tcPr>
                <w:p w14:paraId="29054A62">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0</w:t>
                  </w:r>
                </w:p>
              </w:tc>
              <w:tc>
                <w:tcPr>
                  <w:tcW w:w="1116" w:type="dxa"/>
                  <w:tcBorders>
                    <w:tl2br w:val="nil"/>
                    <w:tr2bl w:val="nil"/>
                  </w:tcBorders>
                  <w:noWrap w:val="0"/>
                  <w:vAlign w:val="center"/>
                </w:tcPr>
                <w:p w14:paraId="6636E73C">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是</w:t>
                  </w:r>
                </w:p>
              </w:tc>
            </w:tr>
            <w:tr w14:paraId="2BA45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restart"/>
                  <w:tcBorders>
                    <w:tl2br w:val="nil"/>
                    <w:tr2bl w:val="nil"/>
                  </w:tcBorders>
                  <w:noWrap w:val="0"/>
                  <w:vAlign w:val="center"/>
                </w:tcPr>
                <w:p w14:paraId="0827DCC3">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水污染物</w:t>
                  </w:r>
                </w:p>
                <w:p w14:paraId="563B7C55">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总量管控限值</w:t>
                  </w:r>
                </w:p>
              </w:tc>
              <w:tc>
                <w:tcPr>
                  <w:tcW w:w="1440" w:type="dxa"/>
                  <w:tcBorders>
                    <w:tl2br w:val="nil"/>
                    <w:tr2bl w:val="nil"/>
                  </w:tcBorders>
                  <w:noWrap w:val="0"/>
                  <w:vAlign w:val="center"/>
                </w:tcPr>
                <w:p w14:paraId="33007F29">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COD</w:t>
                  </w:r>
                </w:p>
              </w:tc>
              <w:tc>
                <w:tcPr>
                  <w:tcW w:w="1053" w:type="dxa"/>
                  <w:tcBorders>
                    <w:tl2br w:val="nil"/>
                    <w:tr2bl w:val="nil"/>
                  </w:tcBorders>
                  <w:noWrap w:val="0"/>
                  <w:vAlign w:val="center"/>
                </w:tcPr>
                <w:p w14:paraId="21A31508">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670.56</w:t>
                  </w:r>
                </w:p>
              </w:tc>
              <w:tc>
                <w:tcPr>
                  <w:tcW w:w="1026" w:type="dxa"/>
                  <w:tcBorders>
                    <w:tl2br w:val="nil"/>
                    <w:tr2bl w:val="nil"/>
                  </w:tcBorders>
                  <w:noWrap w:val="0"/>
                  <w:vAlign w:val="center"/>
                </w:tcPr>
                <w:p w14:paraId="5E502D2F">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1600.28</w:t>
                  </w:r>
                </w:p>
              </w:tc>
              <w:tc>
                <w:tcPr>
                  <w:tcW w:w="1116" w:type="dxa"/>
                  <w:tcBorders>
                    <w:tl2br w:val="nil"/>
                    <w:tr2bl w:val="nil"/>
                  </w:tcBorders>
                  <w:noWrap w:val="0"/>
                  <w:vAlign w:val="center"/>
                </w:tcPr>
                <w:p w14:paraId="5277EB5A">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929.72</w:t>
                  </w:r>
                </w:p>
              </w:tc>
              <w:tc>
                <w:tcPr>
                  <w:tcW w:w="1116" w:type="dxa"/>
                  <w:tcBorders>
                    <w:tl2br w:val="nil"/>
                    <w:tr2bl w:val="nil"/>
                  </w:tcBorders>
                  <w:noWrap w:val="0"/>
                  <w:vAlign w:val="center"/>
                </w:tcPr>
                <w:p w14:paraId="0368F2B0">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0</w:t>
                  </w:r>
                </w:p>
              </w:tc>
              <w:tc>
                <w:tcPr>
                  <w:tcW w:w="1116" w:type="dxa"/>
                  <w:tcBorders>
                    <w:tl2br w:val="nil"/>
                    <w:tr2bl w:val="nil"/>
                  </w:tcBorders>
                  <w:noWrap w:val="0"/>
                  <w:vAlign w:val="center"/>
                </w:tcPr>
                <w:p w14:paraId="6A8E5D29">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是</w:t>
                  </w:r>
                </w:p>
              </w:tc>
            </w:tr>
            <w:tr w14:paraId="5BEFC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noWrap w:val="0"/>
                  <w:vAlign w:val="center"/>
                </w:tcPr>
                <w:p w14:paraId="34F99068">
                  <w:pPr>
                    <w:autoSpaceDE w:val="0"/>
                    <w:autoSpaceDN w:val="0"/>
                    <w:jc w:val="center"/>
                    <w:rPr>
                      <w:rFonts w:hint="eastAsia" w:ascii="Times New Roman" w:hAnsi="Times New Roman" w:eastAsia="宋体" w:cs="Times New Roman"/>
                      <w:bCs/>
                      <w:color w:val="auto"/>
                      <w:sz w:val="22"/>
                      <w:szCs w:val="22"/>
                    </w:rPr>
                  </w:pPr>
                </w:p>
              </w:tc>
              <w:tc>
                <w:tcPr>
                  <w:tcW w:w="1440" w:type="dxa"/>
                  <w:tcBorders>
                    <w:tl2br w:val="nil"/>
                    <w:tr2bl w:val="nil"/>
                  </w:tcBorders>
                  <w:noWrap w:val="0"/>
                  <w:vAlign w:val="center"/>
                </w:tcPr>
                <w:p w14:paraId="583A2196">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NH</w:t>
                  </w:r>
                  <w:r>
                    <w:rPr>
                      <w:rFonts w:hint="eastAsia" w:ascii="Times New Roman" w:hAnsi="Times New Roman" w:eastAsia="宋体" w:cs="Times New Roman"/>
                      <w:bCs/>
                      <w:color w:val="auto"/>
                      <w:sz w:val="22"/>
                      <w:szCs w:val="22"/>
                      <w:vertAlign w:val="subscript"/>
                    </w:rPr>
                    <w:t>3</w:t>
                  </w:r>
                  <w:r>
                    <w:rPr>
                      <w:rFonts w:hint="eastAsia" w:ascii="Times New Roman" w:hAnsi="Times New Roman" w:eastAsia="宋体" w:cs="Times New Roman"/>
                      <w:bCs/>
                      <w:color w:val="auto"/>
                      <w:sz w:val="22"/>
                      <w:szCs w:val="22"/>
                    </w:rPr>
                    <w:t>-N</w:t>
                  </w:r>
                </w:p>
              </w:tc>
              <w:tc>
                <w:tcPr>
                  <w:tcW w:w="1053" w:type="dxa"/>
                  <w:tcBorders>
                    <w:tl2br w:val="nil"/>
                    <w:tr2bl w:val="nil"/>
                  </w:tcBorders>
                  <w:noWrap w:val="0"/>
                  <w:vAlign w:val="center"/>
                </w:tcPr>
                <w:p w14:paraId="2C9ADCDD">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91.722</w:t>
                  </w:r>
                </w:p>
              </w:tc>
              <w:tc>
                <w:tcPr>
                  <w:tcW w:w="1026" w:type="dxa"/>
                  <w:tcBorders>
                    <w:tl2br w:val="nil"/>
                    <w:tr2bl w:val="nil"/>
                  </w:tcBorders>
                  <w:noWrap w:val="0"/>
                  <w:vAlign w:val="center"/>
                </w:tcPr>
                <w:p w14:paraId="42C4A33D">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176.29</w:t>
                  </w:r>
                </w:p>
              </w:tc>
              <w:tc>
                <w:tcPr>
                  <w:tcW w:w="1116" w:type="dxa"/>
                  <w:tcBorders>
                    <w:tl2br w:val="nil"/>
                    <w:tr2bl w:val="nil"/>
                  </w:tcBorders>
                  <w:noWrap w:val="0"/>
                  <w:vAlign w:val="center"/>
                </w:tcPr>
                <w:p w14:paraId="18BE66D6">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84.568</w:t>
                  </w:r>
                </w:p>
              </w:tc>
              <w:tc>
                <w:tcPr>
                  <w:tcW w:w="1116" w:type="dxa"/>
                  <w:tcBorders>
                    <w:tl2br w:val="nil"/>
                    <w:tr2bl w:val="nil"/>
                  </w:tcBorders>
                  <w:noWrap w:val="0"/>
                  <w:vAlign w:val="center"/>
                </w:tcPr>
                <w:p w14:paraId="263F8B0C">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0</w:t>
                  </w:r>
                </w:p>
              </w:tc>
              <w:tc>
                <w:tcPr>
                  <w:tcW w:w="1116" w:type="dxa"/>
                  <w:tcBorders>
                    <w:tl2br w:val="nil"/>
                    <w:tr2bl w:val="nil"/>
                  </w:tcBorders>
                  <w:noWrap w:val="0"/>
                  <w:vAlign w:val="center"/>
                </w:tcPr>
                <w:p w14:paraId="317F9F71">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是</w:t>
                  </w:r>
                </w:p>
              </w:tc>
            </w:tr>
            <w:tr w14:paraId="7B7AF5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noWrap w:val="0"/>
                  <w:vAlign w:val="center"/>
                </w:tcPr>
                <w:p w14:paraId="6D48491A">
                  <w:pPr>
                    <w:autoSpaceDE w:val="0"/>
                    <w:autoSpaceDN w:val="0"/>
                    <w:jc w:val="center"/>
                    <w:rPr>
                      <w:rFonts w:hint="eastAsia" w:ascii="Times New Roman" w:hAnsi="Times New Roman" w:eastAsia="宋体" w:cs="Times New Roman"/>
                      <w:bCs/>
                      <w:color w:val="auto"/>
                      <w:sz w:val="22"/>
                      <w:szCs w:val="22"/>
                    </w:rPr>
                  </w:pPr>
                </w:p>
              </w:tc>
              <w:tc>
                <w:tcPr>
                  <w:tcW w:w="1440" w:type="dxa"/>
                  <w:tcBorders>
                    <w:tl2br w:val="nil"/>
                    <w:tr2bl w:val="nil"/>
                  </w:tcBorders>
                  <w:noWrap w:val="0"/>
                  <w:vAlign w:val="center"/>
                </w:tcPr>
                <w:p w14:paraId="28CC9124">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TP</w:t>
                  </w:r>
                </w:p>
              </w:tc>
              <w:tc>
                <w:tcPr>
                  <w:tcW w:w="1053" w:type="dxa"/>
                  <w:tcBorders>
                    <w:tl2br w:val="nil"/>
                    <w:tr2bl w:val="nil"/>
                  </w:tcBorders>
                  <w:noWrap w:val="0"/>
                  <w:vAlign w:val="center"/>
                </w:tcPr>
                <w:p w14:paraId="11DEF592">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5.13</w:t>
                  </w:r>
                </w:p>
              </w:tc>
              <w:tc>
                <w:tcPr>
                  <w:tcW w:w="1026" w:type="dxa"/>
                  <w:tcBorders>
                    <w:tl2br w:val="nil"/>
                    <w:tr2bl w:val="nil"/>
                  </w:tcBorders>
                  <w:noWrap w:val="0"/>
                  <w:vAlign w:val="center"/>
                </w:tcPr>
                <w:p w14:paraId="77CB0120">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15.67</w:t>
                  </w:r>
                </w:p>
              </w:tc>
              <w:tc>
                <w:tcPr>
                  <w:tcW w:w="1116" w:type="dxa"/>
                  <w:tcBorders>
                    <w:tl2br w:val="nil"/>
                    <w:tr2bl w:val="nil"/>
                  </w:tcBorders>
                  <w:noWrap w:val="0"/>
                  <w:vAlign w:val="center"/>
                </w:tcPr>
                <w:p w14:paraId="16DCFBD4">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10.54</w:t>
                  </w:r>
                </w:p>
              </w:tc>
              <w:tc>
                <w:tcPr>
                  <w:tcW w:w="1116" w:type="dxa"/>
                  <w:tcBorders>
                    <w:tl2br w:val="nil"/>
                    <w:tr2bl w:val="nil"/>
                  </w:tcBorders>
                  <w:noWrap w:val="0"/>
                  <w:vAlign w:val="center"/>
                </w:tcPr>
                <w:p w14:paraId="2B22EF11">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0</w:t>
                  </w:r>
                </w:p>
              </w:tc>
              <w:tc>
                <w:tcPr>
                  <w:tcW w:w="1116" w:type="dxa"/>
                  <w:tcBorders>
                    <w:tl2br w:val="nil"/>
                    <w:tr2bl w:val="nil"/>
                  </w:tcBorders>
                  <w:noWrap w:val="0"/>
                  <w:vAlign w:val="center"/>
                </w:tcPr>
                <w:p w14:paraId="72961C1D">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是</w:t>
                  </w:r>
                </w:p>
              </w:tc>
            </w:tr>
          </w:tbl>
          <w:p w14:paraId="1F6F2C2F">
            <w:pPr>
              <w:widowControl/>
              <w:spacing w:line="460" w:lineRule="exact"/>
              <w:ind w:firstLine="520" w:firstLineChars="200"/>
              <w:jc w:val="both"/>
              <w:rPr>
                <w:rFonts w:hint="eastAsia" w:ascii="Times New Roman" w:hAnsi="Times New Roman" w:eastAsia="宋体" w:cs="Times New Roman"/>
                <w:color w:val="auto"/>
                <w:kern w:val="2"/>
                <w:sz w:val="26"/>
                <w:szCs w:val="26"/>
                <w:lang w:val="en-US" w:eastAsia="zh-CN"/>
              </w:rPr>
            </w:pPr>
          </w:p>
          <w:p w14:paraId="733A2FAB">
            <w:pPr>
              <w:widowControl/>
              <w:spacing w:line="460" w:lineRule="exact"/>
              <w:ind w:firstLine="520" w:firstLineChars="200"/>
              <w:jc w:val="both"/>
              <w:rPr>
                <w:rFonts w:hint="eastAsia" w:ascii="Times New Roman" w:hAnsi="Times New Roman" w:eastAsia="宋体" w:cs="Times New Roman"/>
                <w:color w:val="auto"/>
                <w:kern w:val="2"/>
                <w:sz w:val="26"/>
                <w:szCs w:val="26"/>
                <w:lang w:val="en-US" w:eastAsia="zh-CN"/>
              </w:rPr>
            </w:pPr>
            <w:r>
              <w:rPr>
                <w:rFonts w:hint="eastAsia" w:ascii="Times New Roman" w:hAnsi="Times New Roman" w:eastAsia="宋体" w:cs="Times New Roman"/>
                <w:color w:val="auto"/>
                <w:kern w:val="2"/>
                <w:sz w:val="26"/>
                <w:szCs w:val="26"/>
                <w:lang w:val="en-US" w:eastAsia="zh-CN"/>
              </w:rPr>
              <w:t>由上表可知，本项目新增污染物排放量低于园区剩余总量，满足园区总量管控要求。</w:t>
            </w:r>
          </w:p>
          <w:p w14:paraId="13BAD041">
            <w:pPr>
              <w:autoSpaceDE w:val="0"/>
              <w:autoSpaceDN w:val="0"/>
              <w:adjustRightInd w:val="0"/>
              <w:snapToGrid w:val="0"/>
              <w:spacing w:line="460" w:lineRule="exact"/>
              <w:rPr>
                <w:rFonts w:hint="default"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lang w:val="en-US" w:eastAsia="zh-CN"/>
              </w:rPr>
              <w:t>1.2.2与《重庆市生态环境局关于重庆西彭工业园区规划环境影响报告书审查意见的函》（渝环函〔2023〕439号）及《重庆市生态环境局关于重庆西彭工业园区规划补充环境影响报告书审查意见的函》（渝环函〔2025〕265号）符合性分析</w:t>
            </w:r>
          </w:p>
          <w:p w14:paraId="1E13703D">
            <w:pPr>
              <w:widowControl/>
              <w:spacing w:line="460" w:lineRule="exact"/>
              <w:ind w:firstLine="520" w:firstLineChars="200"/>
              <w:jc w:val="both"/>
              <w:rPr>
                <w:rFonts w:hint="default" w:ascii="Times New Roman" w:hAnsi="Times New Roman" w:cs="Times New Roman"/>
                <w:color w:val="auto"/>
                <w:kern w:val="0"/>
                <w:sz w:val="26"/>
                <w:szCs w:val="26"/>
              </w:rPr>
            </w:pPr>
            <w:r>
              <w:rPr>
                <w:rFonts w:hint="eastAsia" w:ascii="Times New Roman" w:hAnsi="Times New Roman" w:cs="Times New Roman"/>
                <w:color w:val="auto"/>
                <w:sz w:val="26"/>
                <w:szCs w:val="26"/>
                <w:lang w:val="en-US" w:eastAsia="zh-CN"/>
              </w:rPr>
              <w:t>本</w:t>
            </w:r>
            <w:r>
              <w:rPr>
                <w:rFonts w:hint="default" w:ascii="Times New Roman" w:hAnsi="Times New Roman" w:cs="Times New Roman"/>
                <w:color w:val="auto"/>
                <w:sz w:val="26"/>
                <w:szCs w:val="26"/>
              </w:rPr>
              <w:t>项</w:t>
            </w:r>
            <w:r>
              <w:rPr>
                <w:rFonts w:hint="default" w:ascii="Times New Roman" w:hAnsi="Times New Roman" w:eastAsia="宋体" w:cs="Times New Roman"/>
                <w:color w:val="auto"/>
                <w:sz w:val="26"/>
                <w:szCs w:val="26"/>
                <w:lang w:val="en-US" w:eastAsia="zh-CN"/>
              </w:rPr>
              <w:t>目与</w:t>
            </w:r>
            <w:r>
              <w:rPr>
                <w:rFonts w:hint="eastAsia" w:ascii="Times New Roman" w:hAnsi="Times New Roman" w:eastAsia="宋体" w:cs="Times New Roman"/>
                <w:color w:val="auto"/>
                <w:sz w:val="26"/>
                <w:szCs w:val="26"/>
                <w:lang w:val="en-US" w:eastAsia="zh-CN"/>
              </w:rPr>
              <w:t>《重庆市生态环境局关于重庆西彭工业园区规划环境影响报告书审查意见的函》（渝环函〔2023〕439号）及《重庆市生态环境局关于重庆西彭工业园区规划补充环境影响报告书审查意见的函》（渝环函〔2025〕265号）</w:t>
            </w:r>
            <w:r>
              <w:rPr>
                <w:rFonts w:hint="default" w:ascii="Times New Roman" w:hAnsi="Times New Roman" w:eastAsia="宋体" w:cs="Times New Roman"/>
                <w:color w:val="auto"/>
                <w:sz w:val="26"/>
                <w:szCs w:val="26"/>
                <w:lang w:val="en-US" w:eastAsia="zh-CN"/>
              </w:rPr>
              <w:t>相关要求符合</w:t>
            </w:r>
            <w:r>
              <w:rPr>
                <w:rFonts w:hint="default" w:ascii="Times New Roman" w:hAnsi="Times New Roman" w:cs="Times New Roman"/>
                <w:color w:val="auto"/>
                <w:sz w:val="26"/>
                <w:szCs w:val="26"/>
              </w:rPr>
              <w:t>性分析对照表见下表。</w:t>
            </w:r>
          </w:p>
          <w:p w14:paraId="22E5D68C">
            <w:pPr>
              <w:autoSpaceDE w:val="0"/>
              <w:autoSpaceDN w:val="0"/>
              <w:adjustRightInd w:val="0"/>
              <w:snapToGrid w:val="0"/>
              <w:spacing w:line="460" w:lineRule="exact"/>
              <w:jc w:val="center"/>
              <w:rPr>
                <w:rFonts w:hint="default" w:ascii="Times New Roman" w:hAnsi="Times New Roman" w:eastAsia="宋体" w:cs="Times New Roman"/>
                <w:b/>
                <w:bCs/>
                <w:color w:val="auto"/>
                <w:kern w:val="0"/>
                <w:sz w:val="26"/>
                <w:szCs w:val="26"/>
              </w:rPr>
            </w:pPr>
            <w:r>
              <w:rPr>
                <w:rFonts w:hint="default" w:ascii="Times New Roman" w:hAnsi="Times New Roman" w:eastAsia="宋体" w:cs="Times New Roman"/>
                <w:b/>
                <w:bCs/>
                <w:color w:val="auto"/>
                <w:kern w:val="0"/>
                <w:sz w:val="26"/>
                <w:szCs w:val="26"/>
              </w:rPr>
              <w:t>表1.</w:t>
            </w:r>
            <w:r>
              <w:rPr>
                <w:rFonts w:hint="eastAsia" w:ascii="Times New Roman" w:hAnsi="Times New Roman" w:eastAsia="宋体" w:cs="Times New Roman"/>
                <w:b/>
                <w:bCs/>
                <w:color w:val="auto"/>
                <w:kern w:val="0"/>
                <w:sz w:val="26"/>
                <w:szCs w:val="26"/>
                <w:lang w:val="en-US" w:eastAsia="zh-CN"/>
              </w:rPr>
              <w:t>2-4</w:t>
            </w:r>
            <w:r>
              <w:rPr>
                <w:rFonts w:hint="default" w:ascii="Times New Roman" w:hAnsi="Times New Roman" w:eastAsia="宋体" w:cs="Times New Roman"/>
                <w:b/>
                <w:bCs/>
                <w:color w:val="auto"/>
                <w:kern w:val="0"/>
                <w:sz w:val="26"/>
                <w:szCs w:val="26"/>
              </w:rPr>
              <w:t xml:space="preserve"> </w:t>
            </w:r>
            <w:r>
              <w:rPr>
                <w:rFonts w:hint="eastAsia" w:ascii="Times New Roman" w:hAnsi="Times New Roman" w:eastAsia="宋体" w:cs="Times New Roman"/>
                <w:b/>
                <w:bCs/>
                <w:color w:val="auto"/>
                <w:kern w:val="0"/>
                <w:sz w:val="26"/>
                <w:szCs w:val="26"/>
                <w:lang w:val="en-US" w:eastAsia="zh-CN"/>
              </w:rPr>
              <w:t xml:space="preserve"> 本</w:t>
            </w:r>
            <w:r>
              <w:rPr>
                <w:rFonts w:hint="default" w:ascii="Times New Roman" w:hAnsi="Times New Roman" w:eastAsia="宋体" w:cs="Times New Roman"/>
                <w:b/>
                <w:bCs/>
                <w:color w:val="auto"/>
                <w:kern w:val="0"/>
                <w:sz w:val="26"/>
                <w:szCs w:val="26"/>
              </w:rPr>
              <w:t>项目与园区规划环评</w:t>
            </w:r>
            <w:r>
              <w:rPr>
                <w:rFonts w:hint="eastAsia" w:ascii="Times New Roman" w:hAnsi="Times New Roman" w:eastAsia="宋体" w:cs="Times New Roman"/>
                <w:b/>
                <w:bCs/>
                <w:color w:val="auto"/>
                <w:kern w:val="0"/>
                <w:sz w:val="26"/>
                <w:szCs w:val="26"/>
                <w:lang w:val="en-US" w:eastAsia="zh-CN"/>
              </w:rPr>
              <w:t>及补充规划环评</w:t>
            </w:r>
            <w:r>
              <w:rPr>
                <w:rFonts w:hint="default" w:ascii="Times New Roman" w:hAnsi="Times New Roman" w:eastAsia="宋体" w:cs="Times New Roman"/>
                <w:b/>
                <w:bCs/>
                <w:color w:val="auto"/>
                <w:kern w:val="0"/>
                <w:sz w:val="26"/>
                <w:szCs w:val="26"/>
                <w:lang w:val="en-US" w:eastAsia="zh-CN"/>
              </w:rPr>
              <w:t>审查意见的函</w:t>
            </w:r>
            <w:r>
              <w:rPr>
                <w:rFonts w:hint="eastAsia" w:ascii="Times New Roman" w:hAnsi="Times New Roman" w:eastAsia="宋体" w:cs="Times New Roman"/>
                <w:b/>
                <w:bCs/>
                <w:color w:val="auto"/>
                <w:kern w:val="0"/>
                <w:sz w:val="26"/>
                <w:szCs w:val="26"/>
                <w:lang w:val="en-US" w:eastAsia="zh-CN"/>
              </w:rPr>
              <w:t>的</w:t>
            </w:r>
            <w:r>
              <w:rPr>
                <w:rFonts w:hint="default" w:ascii="Times New Roman" w:hAnsi="Times New Roman" w:eastAsia="宋体" w:cs="Times New Roman"/>
                <w:b/>
                <w:bCs/>
                <w:color w:val="auto"/>
                <w:kern w:val="0"/>
                <w:sz w:val="26"/>
                <w:szCs w:val="26"/>
              </w:rPr>
              <w:t>符合性分析</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23"/>
              <w:gridCol w:w="4017"/>
              <w:gridCol w:w="2431"/>
              <w:gridCol w:w="655"/>
            </w:tblGrid>
            <w:tr w14:paraId="4647E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3" w:type="pct"/>
                  <w:tcBorders>
                    <w:tl2br w:val="nil"/>
                    <w:tr2bl w:val="nil"/>
                  </w:tcBorders>
                  <w:noWrap w:val="0"/>
                  <w:vAlign w:val="center"/>
                </w:tcPr>
                <w:p w14:paraId="13760F7D">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类别</w:t>
                  </w:r>
                </w:p>
              </w:tc>
              <w:tc>
                <w:tcPr>
                  <w:tcW w:w="2599" w:type="pct"/>
                  <w:tcBorders>
                    <w:tl2br w:val="nil"/>
                    <w:tr2bl w:val="nil"/>
                  </w:tcBorders>
                  <w:noWrap w:val="0"/>
                  <w:vAlign w:val="center"/>
                </w:tcPr>
                <w:p w14:paraId="71E71DAE">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规划环评及审查意见内容</w:t>
                  </w:r>
                </w:p>
              </w:tc>
              <w:tc>
                <w:tcPr>
                  <w:tcW w:w="1573" w:type="pct"/>
                  <w:tcBorders>
                    <w:tl2br w:val="nil"/>
                    <w:tr2bl w:val="nil"/>
                  </w:tcBorders>
                  <w:noWrap w:val="0"/>
                  <w:vAlign w:val="center"/>
                </w:tcPr>
                <w:p w14:paraId="64B28BDA">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项目情况</w:t>
                  </w:r>
                </w:p>
              </w:tc>
              <w:tc>
                <w:tcPr>
                  <w:tcW w:w="424" w:type="pct"/>
                  <w:tcBorders>
                    <w:tl2br w:val="nil"/>
                    <w:tr2bl w:val="nil"/>
                  </w:tcBorders>
                  <w:noWrap w:val="0"/>
                  <w:vAlign w:val="center"/>
                </w:tcPr>
                <w:p w14:paraId="67463A82">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符合性</w:t>
                  </w:r>
                </w:p>
              </w:tc>
            </w:tr>
            <w:tr w14:paraId="00CF6D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3" w:type="pct"/>
                  <w:tcBorders>
                    <w:tl2br w:val="nil"/>
                    <w:tr2bl w:val="nil"/>
                  </w:tcBorders>
                  <w:noWrap w:val="0"/>
                  <w:vAlign w:val="center"/>
                </w:tcPr>
                <w:p w14:paraId="09092783">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严格生态环境准入</w:t>
                  </w:r>
                </w:p>
              </w:tc>
              <w:tc>
                <w:tcPr>
                  <w:tcW w:w="2599" w:type="pct"/>
                  <w:tcBorders>
                    <w:tl2br w:val="nil"/>
                    <w:tr2bl w:val="nil"/>
                  </w:tcBorders>
                  <w:noWrap w:val="0"/>
                  <w:vAlign w:val="center"/>
                </w:tcPr>
                <w:p w14:paraId="4525342E">
                  <w:pPr>
                    <w:autoSpaceDE w:val="0"/>
                    <w:autoSpaceDN w:val="0"/>
                    <w:jc w:val="both"/>
                    <w:rPr>
                      <w:rFonts w:hint="eastAsia" w:ascii="Times New Roman" w:hAnsi="Times New Roman" w:eastAsia="宋体" w:cs="Times New Roman"/>
                      <w:bCs/>
                      <w:color w:val="auto"/>
                      <w:sz w:val="22"/>
                      <w:szCs w:val="22"/>
                    </w:rPr>
                  </w:pPr>
                  <w:r>
                    <w:rPr>
                      <w:rFonts w:hint="eastAsia" w:ascii="Times New Roman" w:hAnsi="Times New Roman" w:eastAsia="宋体" w:cs="Times New Roman"/>
                      <w:b/>
                      <w:bCs w:val="0"/>
                      <w:color w:val="auto"/>
                      <w:sz w:val="22"/>
                      <w:szCs w:val="22"/>
                      <w:lang w:val="en-US" w:eastAsia="zh-CN"/>
                    </w:rPr>
                    <w:t>渝环函〔2023〕439号：</w:t>
                  </w:r>
                  <w:r>
                    <w:rPr>
                      <w:rFonts w:hint="eastAsia" w:ascii="Times New Roman" w:hAnsi="Times New Roman" w:eastAsia="宋体" w:cs="Times New Roman"/>
                      <w:bCs/>
                      <w:color w:val="auto"/>
                      <w:sz w:val="22"/>
                      <w:szCs w:val="22"/>
                    </w:rPr>
                    <w:t>强化规划环评与“三线一单”生态环境分区管控要求，国土空间“三区三线”等成果衔接，主要管控措施应符合重庆市及九龙坡区“三线一单”生态环境分区管控要求。规划区入驻项目应满足相关产业政策和环境准入要求以及《报告书》提出的生态环境管控要求</w:t>
                  </w:r>
                </w:p>
                <w:p w14:paraId="0A28AC7A">
                  <w:pPr>
                    <w:autoSpaceDE w:val="0"/>
                    <w:autoSpaceDN w:val="0"/>
                    <w:jc w:val="both"/>
                    <w:rPr>
                      <w:rFonts w:hint="eastAsia" w:ascii="Times New Roman" w:hAnsi="Times New Roman" w:eastAsia="宋体" w:cs="Times New Roman"/>
                      <w:bCs/>
                      <w:color w:val="auto"/>
                      <w:sz w:val="22"/>
                      <w:szCs w:val="22"/>
                    </w:rPr>
                  </w:pPr>
                  <w:r>
                    <w:rPr>
                      <w:rFonts w:hint="eastAsia" w:ascii="Times New Roman" w:hAnsi="Times New Roman" w:eastAsia="宋体" w:cs="Times New Roman"/>
                      <w:b/>
                      <w:bCs w:val="0"/>
                      <w:color w:val="auto"/>
                      <w:sz w:val="22"/>
                      <w:szCs w:val="22"/>
                      <w:lang w:val="en-US" w:eastAsia="zh-CN"/>
                    </w:rPr>
                    <w:t>渝环函〔2025〕265号：</w:t>
                  </w:r>
                  <w:r>
                    <w:rPr>
                      <w:rFonts w:hint="eastAsia" w:ascii="Times New Roman" w:hAnsi="Times New Roman" w:eastAsia="宋体" w:cs="Times New Roman"/>
                      <w:bCs/>
                      <w:color w:val="auto"/>
                      <w:sz w:val="22"/>
                      <w:szCs w:val="22"/>
                      <w:lang w:val="en-US" w:eastAsia="zh-CN"/>
                    </w:rPr>
                    <w:t>强化规划环评与生态环境分区管控的联动，主要管控措施应符合重庆市及九龙坡区生态环境分区管控相关要求。规划调整地块入驻项目应符合国家和重庆市相关产业和环境准入要求，同时应满足《重庆西彭工业园区规划规划环境影响报告书》及审查意见函(渝环函〔2023〕439号)、补充报告书制定的生态环境管控要求</w:t>
                  </w:r>
                </w:p>
              </w:tc>
              <w:tc>
                <w:tcPr>
                  <w:tcW w:w="1573" w:type="pct"/>
                  <w:tcBorders>
                    <w:tl2br w:val="nil"/>
                    <w:tr2bl w:val="nil"/>
                  </w:tcBorders>
                  <w:noWrap w:val="0"/>
                  <w:vAlign w:val="center"/>
                </w:tcPr>
                <w:p w14:paraId="2DC97D19">
                  <w:pPr>
                    <w:autoSpaceDE w:val="0"/>
                    <w:autoSpaceDN w:val="0"/>
                    <w:jc w:val="both"/>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lang w:val="en-US" w:eastAsia="zh-CN"/>
                    </w:rPr>
                    <w:t>本项目为有色金属合金制造及铸造</w:t>
                  </w:r>
                  <w:r>
                    <w:rPr>
                      <w:rFonts w:hint="eastAsia" w:ascii="Times New Roman" w:hAnsi="Times New Roman" w:eastAsia="宋体" w:cs="Times New Roman"/>
                      <w:bCs/>
                      <w:color w:val="auto"/>
                      <w:sz w:val="22"/>
                      <w:szCs w:val="22"/>
                    </w:rPr>
                    <w:t>，符合相关产业政策，符合园区规划环评生态环境准入清单</w:t>
                  </w:r>
                </w:p>
              </w:tc>
              <w:tc>
                <w:tcPr>
                  <w:tcW w:w="424" w:type="pct"/>
                  <w:tcBorders>
                    <w:tl2br w:val="nil"/>
                    <w:tr2bl w:val="nil"/>
                  </w:tcBorders>
                  <w:noWrap w:val="0"/>
                  <w:vAlign w:val="center"/>
                </w:tcPr>
                <w:p w14:paraId="7B71B019">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符合</w:t>
                  </w:r>
                </w:p>
              </w:tc>
            </w:tr>
            <w:tr w14:paraId="295D7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3" w:type="pct"/>
                  <w:tcBorders>
                    <w:tl2br w:val="nil"/>
                    <w:tr2bl w:val="nil"/>
                  </w:tcBorders>
                  <w:noWrap w:val="0"/>
                  <w:vAlign w:val="center"/>
                </w:tcPr>
                <w:p w14:paraId="16AF5147">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强化空间布局约束</w:t>
                  </w:r>
                </w:p>
              </w:tc>
              <w:tc>
                <w:tcPr>
                  <w:tcW w:w="2599" w:type="pct"/>
                  <w:tcBorders>
                    <w:tl2br w:val="nil"/>
                    <w:tr2bl w:val="nil"/>
                  </w:tcBorders>
                  <w:noWrap w:val="0"/>
                  <w:vAlign w:val="center"/>
                </w:tcPr>
                <w:p w14:paraId="2A042E1F">
                  <w:pPr>
                    <w:autoSpaceDE w:val="0"/>
                    <w:autoSpaceDN w:val="0"/>
                    <w:jc w:val="left"/>
                    <w:rPr>
                      <w:rFonts w:hint="eastAsia" w:ascii="Times New Roman" w:hAnsi="Times New Roman" w:eastAsia="宋体" w:cs="Times New Roman"/>
                      <w:bCs/>
                      <w:color w:val="auto"/>
                      <w:sz w:val="22"/>
                      <w:szCs w:val="22"/>
                    </w:rPr>
                  </w:pPr>
                  <w:r>
                    <w:rPr>
                      <w:rFonts w:hint="eastAsia" w:ascii="Times New Roman" w:hAnsi="Times New Roman" w:eastAsia="宋体" w:cs="Times New Roman"/>
                      <w:b/>
                      <w:bCs w:val="0"/>
                      <w:color w:val="auto"/>
                      <w:sz w:val="22"/>
                      <w:szCs w:val="22"/>
                      <w:lang w:val="en-US" w:eastAsia="zh-CN"/>
                    </w:rPr>
                    <w:t>渝环函〔2023〕439号：</w:t>
                  </w:r>
                  <w:r>
                    <w:rPr>
                      <w:rFonts w:hint="eastAsia" w:ascii="Times New Roman" w:hAnsi="Times New Roman" w:eastAsia="宋体" w:cs="Times New Roman"/>
                      <w:bCs/>
                      <w:color w:val="auto"/>
                      <w:sz w:val="22"/>
                      <w:szCs w:val="22"/>
                    </w:rPr>
                    <w:t>开发建设应符合《中华人民共和国长江保护法》等法律法规以及关于沿江产业布局的相关规定。合理布局有环境防护距离要求的建设项目，其环境防护距离原则上应控制在园区规划边界或用地红线内。</w:t>
                  </w:r>
                </w:p>
                <w:p w14:paraId="2FE38FB7">
                  <w:pPr>
                    <w:autoSpaceDE w:val="0"/>
                    <w:autoSpaceDN w:val="0"/>
                    <w:jc w:val="left"/>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邻近渝西中学的未开发工业用地与渝西中学之间以及邻近居住用地的未开发工业地块（A31/04、A33/04、A34/04、A32/04、A30-1-1/06）与居住用地之间均应设置不小于100米环境防护距离，后续应根据项目环评确定拟建项目环境防护距离是否满足要求。与居住用地相邻的规划工业用地（A31/04、A33/04、A34/04、A30-1-1/06）及东北侧规划科研用地兼一类工业用地（C61-1/01、C61-4/01、C61-5/01、C62-1/01、C62-3/01、C63-1/01、C63-2/01）后续不宜布局高噪声以及涉及喷漆、酸洗、熔炼等异味明显的生产项目。规划区禁止新建、扩建排放废水中含重金属（铬、镉、汞、砷、铅等重金属）、剧毒物质和持久性有机污染物的工业项目</w:t>
                  </w:r>
                </w:p>
                <w:p w14:paraId="369B50B1">
                  <w:pPr>
                    <w:autoSpaceDE w:val="0"/>
                    <w:autoSpaceDN w:val="0"/>
                    <w:jc w:val="left"/>
                    <w:rPr>
                      <w:rFonts w:hint="eastAsia" w:ascii="Times New Roman" w:hAnsi="Times New Roman" w:eastAsia="宋体" w:cs="Times New Roman"/>
                      <w:bCs/>
                      <w:color w:val="auto"/>
                      <w:sz w:val="22"/>
                      <w:szCs w:val="22"/>
                    </w:rPr>
                  </w:pPr>
                  <w:r>
                    <w:rPr>
                      <w:rFonts w:hint="eastAsia" w:ascii="Times New Roman" w:hAnsi="Times New Roman" w:eastAsia="宋体" w:cs="Times New Roman"/>
                      <w:b/>
                      <w:bCs w:val="0"/>
                      <w:color w:val="auto"/>
                      <w:sz w:val="22"/>
                      <w:szCs w:val="22"/>
                      <w:lang w:val="en-US" w:eastAsia="zh-CN"/>
                    </w:rPr>
                    <w:t>渝环函〔2025〕265号：</w:t>
                  </w:r>
                  <w:r>
                    <w:rPr>
                      <w:rFonts w:hint="eastAsia" w:ascii="Times New Roman" w:hAnsi="Times New Roman" w:eastAsia="宋体" w:cs="Times New Roman"/>
                      <w:bCs/>
                      <w:color w:val="auto"/>
                      <w:sz w:val="22"/>
                      <w:szCs w:val="22"/>
                    </w:rPr>
                    <w:t>调规地块的开发建设应符合重庆市、九龙坡区国土空间规划</w:t>
                  </w:r>
                </w:p>
                <w:p w14:paraId="7601E006">
                  <w:pPr>
                    <w:autoSpaceDE w:val="0"/>
                    <w:autoSpaceDN w:val="0"/>
                    <w:jc w:val="left"/>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及用途管制要求。为减少对西彭园区三期安置房(B区)、西彭人民法庭的影响，018101地块建议调整为非工业用地或新型产业用地(MO)，禁止引入高噪声以及涉及喷漆、酸洗、熔炼、铸造等异味明显的生产项目，企业生产线尽量在地块中、南部布局，并确保企业与居住区等环境敏感目标留出足够的环境防护距离。重庆西彭工业园区内现状企业用地性质为非工业用地的，应将用地性质调整为工业用地，确实无法调整的实施逐步搬迁</w:t>
                  </w:r>
                </w:p>
              </w:tc>
              <w:tc>
                <w:tcPr>
                  <w:tcW w:w="1573" w:type="pct"/>
                  <w:tcBorders>
                    <w:tl2br w:val="nil"/>
                    <w:tr2bl w:val="nil"/>
                  </w:tcBorders>
                  <w:noWrap w:val="0"/>
                  <w:vAlign w:val="center"/>
                </w:tcPr>
                <w:p w14:paraId="75AEEA4F">
                  <w:pPr>
                    <w:autoSpaceDE w:val="0"/>
                    <w:autoSpaceDN w:val="0"/>
                    <w:jc w:val="left"/>
                    <w:rPr>
                      <w:rFonts w:hint="eastAsia" w:ascii="Times New Roman" w:hAnsi="Times New Roman" w:eastAsia="宋体" w:cs="Times New Roman"/>
                      <w:bCs/>
                      <w:color w:val="auto"/>
                      <w:sz w:val="22"/>
                      <w:szCs w:val="22"/>
                      <w:lang w:eastAsia="zh-CN"/>
                    </w:rPr>
                  </w:pPr>
                  <w:r>
                    <w:rPr>
                      <w:rFonts w:hint="eastAsia" w:ascii="Times New Roman" w:hAnsi="Times New Roman" w:eastAsia="宋体" w:cs="Times New Roman"/>
                      <w:bCs/>
                      <w:color w:val="auto"/>
                      <w:sz w:val="22"/>
                      <w:szCs w:val="22"/>
                      <w:lang w:val="en-US" w:eastAsia="zh-CN"/>
                    </w:rPr>
                    <w:t>1、</w:t>
                  </w:r>
                  <w:r>
                    <w:rPr>
                      <w:rFonts w:hint="eastAsia" w:ascii="Times New Roman" w:hAnsi="Times New Roman" w:eastAsia="宋体" w:cs="Times New Roman"/>
                      <w:bCs/>
                      <w:color w:val="auto"/>
                      <w:sz w:val="22"/>
                      <w:szCs w:val="22"/>
                    </w:rPr>
                    <w:t>本项目位于西彭组团</w:t>
                  </w:r>
                  <w:r>
                    <w:rPr>
                      <w:rFonts w:hint="eastAsia" w:ascii="Times New Roman" w:hAnsi="Times New Roman" w:eastAsia="宋体" w:cs="Times New Roman"/>
                      <w:bCs/>
                      <w:color w:val="auto"/>
                      <w:sz w:val="22"/>
                      <w:szCs w:val="22"/>
                      <w:lang w:val="en-US" w:eastAsia="zh-CN"/>
                    </w:rPr>
                    <w:t>B分区</w:t>
                  </w:r>
                  <w:r>
                    <w:rPr>
                      <w:rFonts w:hint="eastAsia" w:ascii="Times New Roman" w:hAnsi="Times New Roman" w:eastAsia="宋体" w:cs="Times New Roman"/>
                      <w:bCs/>
                      <w:color w:val="auto"/>
                      <w:sz w:val="22"/>
                      <w:szCs w:val="22"/>
                      <w:lang w:eastAsia="zh-CN"/>
                    </w:rPr>
                    <w:t>，</w:t>
                  </w:r>
                  <w:r>
                    <w:rPr>
                      <w:rFonts w:hint="eastAsia" w:ascii="Times New Roman" w:hAnsi="Times New Roman" w:eastAsia="宋体" w:cs="Times New Roman"/>
                      <w:bCs/>
                      <w:color w:val="auto"/>
                      <w:sz w:val="22"/>
                      <w:szCs w:val="22"/>
                      <w:lang w:val="en-US" w:eastAsia="zh-CN"/>
                    </w:rPr>
                    <w:t>不涉及环境防护距离</w:t>
                  </w:r>
                  <w:r>
                    <w:rPr>
                      <w:rFonts w:hint="eastAsia" w:ascii="Times New Roman" w:hAnsi="Times New Roman" w:eastAsia="宋体" w:cs="Times New Roman"/>
                      <w:bCs/>
                      <w:color w:val="auto"/>
                      <w:sz w:val="22"/>
                      <w:szCs w:val="22"/>
                      <w:lang w:eastAsia="zh-CN"/>
                    </w:rPr>
                    <w:t>；</w:t>
                  </w:r>
                </w:p>
                <w:p w14:paraId="7D365120">
                  <w:pPr>
                    <w:autoSpaceDE w:val="0"/>
                    <w:autoSpaceDN w:val="0"/>
                    <w:jc w:val="left"/>
                    <w:rPr>
                      <w:rFonts w:hint="eastAsia" w:eastAsia="宋体"/>
                      <w:color w:val="auto"/>
                      <w:kern w:val="0"/>
                      <w:sz w:val="22"/>
                      <w:szCs w:val="22"/>
                      <w:highlight w:val="none"/>
                      <w:lang w:val="en-US" w:eastAsia="zh-CN"/>
                    </w:rPr>
                  </w:pPr>
                  <w:r>
                    <w:rPr>
                      <w:rFonts w:hint="eastAsia" w:ascii="Times New Roman" w:hAnsi="Times New Roman" w:eastAsia="宋体" w:cs="Times New Roman"/>
                      <w:bCs/>
                      <w:color w:val="auto"/>
                      <w:sz w:val="22"/>
                      <w:szCs w:val="22"/>
                      <w:lang w:val="en-US" w:eastAsia="zh-CN"/>
                    </w:rPr>
                    <w:t>2、本项目属于西彭组团B分区，</w:t>
                  </w:r>
                  <w:r>
                    <w:rPr>
                      <w:rFonts w:hint="eastAsia" w:eastAsia="宋体"/>
                      <w:color w:val="auto"/>
                      <w:kern w:val="0"/>
                      <w:sz w:val="22"/>
                      <w:szCs w:val="22"/>
                      <w:highlight w:val="none"/>
                      <w:lang w:val="en-US" w:eastAsia="zh-CN"/>
                    </w:rPr>
                    <w:t>距离渝西中学1600m，</w:t>
                  </w:r>
                  <w:r>
                    <w:rPr>
                      <w:rFonts w:hint="eastAsia" w:ascii="Times New Roman" w:hAnsi="Times New Roman" w:eastAsia="宋体" w:cs="Times New Roman"/>
                      <w:bCs/>
                      <w:color w:val="auto"/>
                      <w:sz w:val="22"/>
                      <w:szCs w:val="22"/>
                      <w:lang w:val="en-US" w:eastAsia="zh-CN"/>
                    </w:rPr>
                    <w:t>距离A分区居住约1700m，距离C分区</w:t>
                  </w:r>
                  <w:r>
                    <w:rPr>
                      <w:rFonts w:hint="eastAsia" w:ascii="Times New Roman" w:hAnsi="Times New Roman" w:eastAsia="宋体" w:cs="Times New Roman"/>
                      <w:bCs/>
                      <w:color w:val="auto"/>
                      <w:sz w:val="22"/>
                      <w:szCs w:val="22"/>
                    </w:rPr>
                    <w:t>规划科研用地兼一类工业用地</w:t>
                  </w:r>
                  <w:r>
                    <w:rPr>
                      <w:rFonts w:hint="eastAsia" w:ascii="Times New Roman" w:hAnsi="Times New Roman" w:eastAsia="宋体" w:cs="Times New Roman"/>
                      <w:bCs/>
                      <w:color w:val="auto"/>
                      <w:sz w:val="22"/>
                      <w:szCs w:val="22"/>
                      <w:lang w:val="en-US" w:eastAsia="zh-CN"/>
                    </w:rPr>
                    <w:t>约1000m</w:t>
                  </w:r>
                  <w:r>
                    <w:rPr>
                      <w:rFonts w:hint="eastAsia" w:eastAsia="宋体"/>
                      <w:color w:val="auto"/>
                      <w:kern w:val="0"/>
                      <w:sz w:val="22"/>
                      <w:szCs w:val="22"/>
                      <w:highlight w:val="none"/>
                      <w:lang w:val="en-US" w:eastAsia="zh-CN"/>
                    </w:rPr>
                    <w:t>；</w:t>
                  </w:r>
                </w:p>
                <w:p w14:paraId="64BC9E0C">
                  <w:pPr>
                    <w:autoSpaceDE w:val="0"/>
                    <w:autoSpaceDN w:val="0"/>
                    <w:jc w:val="left"/>
                    <w:rPr>
                      <w:rFonts w:hint="eastAsia" w:ascii="Times New Roman" w:hAnsi="Times New Roman" w:eastAsia="宋体" w:cs="Times New Roman"/>
                      <w:bCs/>
                      <w:color w:val="auto"/>
                      <w:sz w:val="22"/>
                      <w:szCs w:val="22"/>
                      <w:lang w:val="en-US" w:eastAsia="zh-CN"/>
                    </w:rPr>
                  </w:pPr>
                  <w:r>
                    <w:rPr>
                      <w:rFonts w:hint="eastAsia" w:eastAsia="宋体"/>
                      <w:color w:val="auto"/>
                      <w:kern w:val="0"/>
                      <w:sz w:val="22"/>
                      <w:szCs w:val="22"/>
                      <w:highlight w:val="none"/>
                      <w:lang w:val="en-US" w:eastAsia="zh-CN"/>
                    </w:rPr>
                    <w:t>3</w:t>
                  </w:r>
                  <w:r>
                    <w:rPr>
                      <w:rFonts w:hint="eastAsia" w:ascii="Times New Roman" w:hAnsi="Times New Roman" w:eastAsia="宋体" w:cs="Times New Roman"/>
                      <w:bCs/>
                      <w:color w:val="auto"/>
                      <w:sz w:val="22"/>
                      <w:szCs w:val="22"/>
                      <w:lang w:val="en-US" w:eastAsia="zh-CN"/>
                    </w:rPr>
                    <w:t>、本项目外排废水主要为生活污水，不属于涉及重金属、剧毒物质和持久性有机污染物的工业项目；</w:t>
                  </w:r>
                </w:p>
                <w:p w14:paraId="16B75FAC">
                  <w:pPr>
                    <w:autoSpaceDE w:val="0"/>
                    <w:autoSpaceDN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4、本项目所在地块不位于调规地块，距离西彭园区三期安置房（B区）、西彭人民法庭等约3500m</w:t>
                  </w:r>
                </w:p>
              </w:tc>
              <w:tc>
                <w:tcPr>
                  <w:tcW w:w="424" w:type="pct"/>
                  <w:tcBorders>
                    <w:tl2br w:val="nil"/>
                    <w:tr2bl w:val="nil"/>
                  </w:tcBorders>
                  <w:noWrap w:val="0"/>
                  <w:vAlign w:val="center"/>
                </w:tcPr>
                <w:p w14:paraId="0735DE73">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符合</w:t>
                  </w:r>
                </w:p>
              </w:tc>
            </w:tr>
            <w:tr w14:paraId="7FDA4C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3" w:type="pct"/>
                  <w:vMerge w:val="restart"/>
                  <w:tcBorders>
                    <w:tl2br w:val="nil"/>
                    <w:tr2bl w:val="nil"/>
                  </w:tcBorders>
                  <w:noWrap w:val="0"/>
                  <w:vAlign w:val="center"/>
                </w:tcPr>
                <w:p w14:paraId="1F76FEB6">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加强污染排放管控</w:t>
                  </w:r>
                </w:p>
              </w:tc>
              <w:tc>
                <w:tcPr>
                  <w:tcW w:w="2599" w:type="pct"/>
                  <w:tcBorders>
                    <w:tl2br w:val="nil"/>
                    <w:tr2bl w:val="nil"/>
                  </w:tcBorders>
                  <w:noWrap w:val="0"/>
                  <w:vAlign w:val="center"/>
                </w:tcPr>
                <w:p w14:paraId="65763AFC">
                  <w:pPr>
                    <w:autoSpaceDE w:val="0"/>
                    <w:autoSpaceDN w:val="0"/>
                    <w:jc w:val="left"/>
                    <w:rPr>
                      <w:rFonts w:hint="eastAsia" w:ascii="Times New Roman" w:hAnsi="Times New Roman" w:eastAsia="宋体" w:cs="Times New Roman"/>
                      <w:bCs/>
                      <w:color w:val="auto"/>
                      <w:sz w:val="22"/>
                      <w:szCs w:val="22"/>
                    </w:rPr>
                  </w:pPr>
                  <w:r>
                    <w:rPr>
                      <w:rFonts w:hint="eastAsia" w:ascii="Times New Roman" w:hAnsi="Times New Roman" w:eastAsia="宋体" w:cs="Times New Roman"/>
                      <w:b/>
                      <w:bCs w:val="0"/>
                      <w:color w:val="auto"/>
                      <w:sz w:val="22"/>
                      <w:szCs w:val="22"/>
                      <w:lang w:val="en-US" w:eastAsia="zh-CN"/>
                    </w:rPr>
                    <w:t>渝环函〔2023〕439号：</w:t>
                  </w:r>
                  <w:r>
                    <w:rPr>
                      <w:rFonts w:hint="eastAsia" w:ascii="Times New Roman" w:hAnsi="Times New Roman" w:eastAsia="宋体" w:cs="Times New Roman"/>
                      <w:bCs/>
                      <w:color w:val="auto"/>
                      <w:sz w:val="22"/>
                      <w:szCs w:val="22"/>
                    </w:rPr>
                    <w:t>规划实施排放的主要污染物及特征污染物排放量不得突破《报告书》确定的总量管控指标</w:t>
                  </w:r>
                </w:p>
              </w:tc>
              <w:tc>
                <w:tcPr>
                  <w:tcW w:w="1573" w:type="pct"/>
                  <w:tcBorders>
                    <w:tl2br w:val="nil"/>
                    <w:tr2bl w:val="nil"/>
                  </w:tcBorders>
                  <w:noWrap w:val="0"/>
                  <w:vAlign w:val="center"/>
                </w:tcPr>
                <w:p w14:paraId="12420FAE">
                  <w:pPr>
                    <w:keepNext w:val="0"/>
                    <w:keepLines w:val="0"/>
                    <w:pageBreakBefore w:val="0"/>
                    <w:widowControl w:val="0"/>
                    <w:kinsoku/>
                    <w:wordWrap w:val="0"/>
                    <w:overflowPunct/>
                    <w:topLinePunct w:val="0"/>
                    <w:autoSpaceDE w:val="0"/>
                    <w:autoSpaceDN w:val="0"/>
                    <w:bidi w:val="0"/>
                    <w:adjustRightInd/>
                    <w:snapToGrid/>
                    <w:jc w:val="both"/>
                    <w:textAlignment w:val="auto"/>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根据《报告书》总量管控清单，规划区域污染物排放</w:t>
                  </w:r>
                  <w:r>
                    <w:rPr>
                      <w:rFonts w:hint="eastAsia" w:ascii="Times New Roman" w:hAnsi="Times New Roman" w:eastAsia="宋体" w:cs="Times New Roman"/>
                      <w:bCs/>
                      <w:color w:val="auto"/>
                      <w:sz w:val="22"/>
                      <w:szCs w:val="22"/>
                      <w:lang w:eastAsia="zh-CN"/>
                    </w:rPr>
                    <w:t>剩余</w:t>
                  </w:r>
                  <w:r>
                    <w:rPr>
                      <w:rFonts w:hint="eastAsia" w:ascii="Times New Roman" w:hAnsi="Times New Roman" w:eastAsia="宋体" w:cs="Times New Roman"/>
                      <w:bCs/>
                      <w:color w:val="auto"/>
                      <w:sz w:val="22"/>
                      <w:szCs w:val="22"/>
                    </w:rPr>
                    <w:t>总量为：</w:t>
                  </w:r>
                  <w:r>
                    <w:rPr>
                      <w:rFonts w:hint="eastAsia" w:ascii="Times New Roman" w:hAnsi="Times New Roman" w:eastAsia="宋体" w:cs="Times New Roman"/>
                      <w:color w:val="auto"/>
                      <w:kern w:val="2"/>
                      <w:sz w:val="22"/>
                      <w:szCs w:val="22"/>
                      <w:lang w:val="en-US" w:eastAsia="zh-CN"/>
                    </w:rPr>
                    <w:t>SO</w:t>
                  </w:r>
                  <w:r>
                    <w:rPr>
                      <w:rFonts w:hint="eastAsia" w:ascii="Times New Roman" w:hAnsi="Times New Roman" w:eastAsia="宋体" w:cs="Times New Roman"/>
                      <w:color w:val="auto"/>
                      <w:kern w:val="2"/>
                      <w:sz w:val="22"/>
                      <w:szCs w:val="22"/>
                      <w:vertAlign w:val="subscript"/>
                      <w:lang w:val="en-US" w:eastAsia="zh-CN"/>
                    </w:rPr>
                    <w:t>2</w:t>
                  </w:r>
                  <w:r>
                    <w:rPr>
                      <w:rFonts w:hint="eastAsia" w:ascii="Times New Roman" w:hAnsi="Times New Roman" w:eastAsia="宋体" w:cs="Times New Roman"/>
                      <w:color w:val="auto"/>
                      <w:kern w:val="2"/>
                      <w:sz w:val="22"/>
                      <w:szCs w:val="22"/>
                      <w:lang w:val="en-US" w:eastAsia="zh-CN"/>
                    </w:rPr>
                    <w:t xml:space="preserve"> 106.88t/a、NOx 297.344t/a、VOCs（以非甲烷总烃计）228.61t/a、COD 929.72t/a、NH</w:t>
                  </w:r>
                  <w:r>
                    <w:rPr>
                      <w:rFonts w:hint="eastAsia" w:ascii="Times New Roman" w:hAnsi="Times New Roman" w:eastAsia="宋体" w:cs="Times New Roman"/>
                      <w:color w:val="auto"/>
                      <w:kern w:val="2"/>
                      <w:sz w:val="22"/>
                      <w:szCs w:val="22"/>
                      <w:vertAlign w:val="subscript"/>
                      <w:lang w:val="en-US" w:eastAsia="zh-CN"/>
                    </w:rPr>
                    <w:t>3</w:t>
                  </w:r>
                  <w:r>
                    <w:rPr>
                      <w:rFonts w:hint="eastAsia" w:ascii="Times New Roman" w:hAnsi="Times New Roman" w:eastAsia="宋体" w:cs="Times New Roman"/>
                      <w:color w:val="auto"/>
                      <w:kern w:val="2"/>
                      <w:sz w:val="22"/>
                      <w:szCs w:val="22"/>
                      <w:lang w:val="en-US" w:eastAsia="zh-CN"/>
                    </w:rPr>
                    <w:t>-N 84.57t/</w:t>
                  </w:r>
                </w:p>
                <w:p w14:paraId="6B110C58">
                  <w:pPr>
                    <w:keepNext w:val="0"/>
                    <w:keepLines w:val="0"/>
                    <w:pageBreakBefore w:val="0"/>
                    <w:widowControl w:val="0"/>
                    <w:kinsoku/>
                    <w:wordWrap w:val="0"/>
                    <w:overflowPunct/>
                    <w:topLinePunct w:val="0"/>
                    <w:autoSpaceDE w:val="0"/>
                    <w:autoSpaceDN w:val="0"/>
                    <w:bidi w:val="0"/>
                    <w:adjustRightInd/>
                    <w:snapToGrid/>
                    <w:jc w:val="both"/>
                    <w:textAlignment w:val="auto"/>
                    <w:rPr>
                      <w:rFonts w:hint="eastAsia" w:ascii="Times New Roman" w:hAnsi="Times New Roman" w:eastAsia="宋体" w:cs="Times New Roman"/>
                      <w:bCs/>
                      <w:color w:val="auto"/>
                      <w:sz w:val="22"/>
                      <w:szCs w:val="22"/>
                      <w:lang w:val="zh-CN"/>
                    </w:rPr>
                  </w:pPr>
                  <w:r>
                    <w:rPr>
                      <w:rFonts w:hint="eastAsia" w:ascii="Times New Roman" w:hAnsi="Times New Roman" w:eastAsia="宋体" w:cs="Times New Roman"/>
                      <w:color w:val="auto"/>
                      <w:kern w:val="2"/>
                      <w:sz w:val="22"/>
                      <w:szCs w:val="22"/>
                      <w:lang w:val="en-US" w:eastAsia="zh-CN"/>
                    </w:rPr>
                    <w:t>本项目实施后全厂新增废气污染物排放量SO</w:t>
                  </w:r>
                  <w:r>
                    <w:rPr>
                      <w:rFonts w:hint="eastAsia" w:ascii="Times New Roman" w:hAnsi="Times New Roman" w:eastAsia="宋体" w:cs="Times New Roman"/>
                      <w:color w:val="auto"/>
                      <w:kern w:val="2"/>
                      <w:sz w:val="22"/>
                      <w:szCs w:val="22"/>
                      <w:vertAlign w:val="subscript"/>
                      <w:lang w:val="en-US" w:eastAsia="zh-CN"/>
                    </w:rPr>
                    <w:t>2</w:t>
                  </w:r>
                  <w:r>
                    <w:rPr>
                      <w:rFonts w:hint="eastAsia" w:ascii="Times New Roman" w:hAnsi="Times New Roman" w:eastAsia="宋体" w:cs="Times New Roman"/>
                      <w:color w:val="auto"/>
                      <w:kern w:val="2"/>
                      <w:sz w:val="22"/>
                      <w:szCs w:val="22"/>
                      <w:lang w:val="en-US" w:eastAsia="zh-CN"/>
                    </w:rPr>
                    <w:t xml:space="preserve"> 0.788t/a、NOx 13.214t/a、非甲烷总烃极少量，不新增废水污染物排放，综上，本项目新增污染物排放量未突破园区总量管控目标。</w:t>
                  </w:r>
                </w:p>
              </w:tc>
              <w:tc>
                <w:tcPr>
                  <w:tcW w:w="424" w:type="pct"/>
                  <w:tcBorders>
                    <w:tl2br w:val="nil"/>
                    <w:tr2bl w:val="nil"/>
                  </w:tcBorders>
                  <w:noWrap w:val="0"/>
                  <w:vAlign w:val="center"/>
                </w:tcPr>
                <w:p w14:paraId="2189EA08">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符合</w:t>
                  </w:r>
                </w:p>
              </w:tc>
            </w:tr>
            <w:tr w14:paraId="72694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3" w:type="pct"/>
                  <w:vMerge w:val="continue"/>
                  <w:tcBorders>
                    <w:tl2br w:val="nil"/>
                    <w:tr2bl w:val="nil"/>
                  </w:tcBorders>
                  <w:noWrap w:val="0"/>
                  <w:vAlign w:val="center"/>
                </w:tcPr>
                <w:p w14:paraId="22A5518A">
                  <w:pPr>
                    <w:autoSpaceDE w:val="0"/>
                    <w:autoSpaceDN w:val="0"/>
                    <w:jc w:val="center"/>
                    <w:rPr>
                      <w:rFonts w:hint="eastAsia" w:ascii="Times New Roman" w:hAnsi="Times New Roman" w:eastAsia="宋体" w:cs="Times New Roman"/>
                      <w:bCs/>
                      <w:color w:val="auto"/>
                      <w:sz w:val="22"/>
                      <w:szCs w:val="22"/>
                    </w:rPr>
                  </w:pPr>
                </w:p>
              </w:tc>
              <w:tc>
                <w:tcPr>
                  <w:tcW w:w="2599" w:type="pct"/>
                  <w:tcBorders>
                    <w:tl2br w:val="nil"/>
                    <w:tr2bl w:val="nil"/>
                  </w:tcBorders>
                  <w:noWrap w:val="0"/>
                  <w:vAlign w:val="center"/>
                </w:tcPr>
                <w:p w14:paraId="68B49578">
                  <w:pPr>
                    <w:autoSpaceDE w:val="0"/>
                    <w:autoSpaceDN w:val="0"/>
                    <w:jc w:val="both"/>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1、水污染物排放管控</w:t>
                  </w:r>
                </w:p>
                <w:p w14:paraId="78E5AC00">
                  <w:pPr>
                    <w:autoSpaceDE w:val="0"/>
                    <w:autoSpaceDN w:val="0"/>
                    <w:jc w:val="both"/>
                    <w:rPr>
                      <w:rFonts w:hint="eastAsia" w:ascii="Times New Roman" w:hAnsi="Times New Roman" w:eastAsia="宋体" w:cs="Times New Roman"/>
                      <w:b/>
                      <w:bCs w:val="0"/>
                      <w:color w:val="auto"/>
                      <w:sz w:val="22"/>
                      <w:szCs w:val="22"/>
                      <w:lang w:val="zh-CN"/>
                    </w:rPr>
                  </w:pPr>
                  <w:r>
                    <w:rPr>
                      <w:rFonts w:hint="eastAsia" w:ascii="Times New Roman" w:hAnsi="Times New Roman" w:eastAsia="宋体" w:cs="Times New Roman"/>
                      <w:b/>
                      <w:bCs w:val="0"/>
                      <w:color w:val="auto"/>
                      <w:sz w:val="22"/>
                      <w:szCs w:val="22"/>
                      <w:lang w:val="zh-CN" w:eastAsia="zh-CN"/>
                    </w:rPr>
                    <w:t>渝环函〔2023〕439号：</w:t>
                  </w:r>
                </w:p>
                <w:p w14:paraId="5495B85D">
                  <w:pPr>
                    <w:autoSpaceDE w:val="0"/>
                    <w:autoSpaceDN w:val="0"/>
                    <w:jc w:val="both"/>
                    <w:rPr>
                      <w:rFonts w:hint="eastAsia" w:ascii="Times New Roman" w:hAnsi="Times New Roman" w:eastAsia="宋体" w:cs="Times New Roman"/>
                      <w:bCs/>
                      <w:color w:val="auto"/>
                      <w:sz w:val="22"/>
                      <w:szCs w:val="22"/>
                      <w:lang w:val="zh-CN"/>
                    </w:rPr>
                  </w:pPr>
                  <w:r>
                    <w:rPr>
                      <w:rFonts w:hint="eastAsia" w:ascii="Times New Roman" w:hAnsi="Times New Roman" w:eastAsia="宋体" w:cs="Times New Roman"/>
                      <w:bCs/>
                      <w:color w:val="auto"/>
                      <w:sz w:val="22"/>
                      <w:szCs w:val="22"/>
                      <w:lang w:val="zh-CN"/>
                    </w:rPr>
                    <w:t>规划区排水系统采用雨、污分流制，加快实施污水处理厂扩建和提标改造，完善雨水、污水管网建设，确保雨污分流、污废水得到有效收集处理、持续推进清洁生产审核，工业企业应采用先进的生产工艺，减少新鲜水消耗和废水排放。</w:t>
                  </w:r>
                </w:p>
                <w:p w14:paraId="53B0BC8C">
                  <w:pPr>
                    <w:autoSpaceDE w:val="0"/>
                    <w:autoSpaceDN w:val="0"/>
                    <w:jc w:val="both"/>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陶家组团生活区污水收集进入陶家镇生活污水处理厂处理达《城镇污水处理厂污染物排放标准》（GB18918-2002）一级A标后排入大溪河；工业区废水经企业预处理达接管要求后排入陶家工业污水处理厂达《城镇污水处理厂污染物排放标准》（GB18918-2002）一级A标后排入杨柳曲河再汇入大溪河（其中COD、氨氮、总磷达《地表水环境质量标准》（GB3838-2002）中的</w:t>
                  </w:r>
                  <w:r>
                    <w:rPr>
                      <w:rFonts w:hint="eastAsia" w:ascii="Times New Roman" w:hAnsi="Times New Roman" w:eastAsia="宋体" w:cs="Times New Roman"/>
                      <w:bCs/>
                      <w:color w:val="auto"/>
                      <w:sz w:val="22"/>
                      <w:szCs w:val="22"/>
                      <w:lang w:eastAsia="zh-CN"/>
                    </w:rPr>
                    <w:t>Ⅳ类</w:t>
                  </w:r>
                  <w:r>
                    <w:rPr>
                      <w:rFonts w:hint="eastAsia" w:ascii="Times New Roman" w:hAnsi="Times New Roman" w:eastAsia="宋体" w:cs="Times New Roman"/>
                      <w:bCs/>
                      <w:color w:val="auto"/>
                      <w:sz w:val="22"/>
                      <w:szCs w:val="22"/>
                    </w:rPr>
                    <w:t>标准）</w:t>
                  </w:r>
                </w:p>
                <w:p w14:paraId="17AE4BDD">
                  <w:pPr>
                    <w:autoSpaceDE w:val="0"/>
                    <w:autoSpaceDN w:val="0"/>
                    <w:jc w:val="both"/>
                    <w:rPr>
                      <w:rFonts w:hint="eastAsia" w:ascii="Times New Roman" w:hAnsi="Times New Roman" w:eastAsia="宋体" w:cs="Times New Roman"/>
                      <w:b/>
                      <w:bCs w:val="0"/>
                      <w:color w:val="auto"/>
                      <w:sz w:val="22"/>
                      <w:szCs w:val="22"/>
                    </w:rPr>
                  </w:pPr>
                  <w:r>
                    <w:rPr>
                      <w:rFonts w:hint="eastAsia" w:ascii="Times New Roman" w:hAnsi="Times New Roman" w:eastAsia="宋体" w:cs="Times New Roman"/>
                      <w:b/>
                      <w:bCs w:val="0"/>
                      <w:color w:val="auto"/>
                      <w:sz w:val="22"/>
                      <w:szCs w:val="22"/>
                      <w:lang w:val="en-US" w:eastAsia="zh-CN"/>
                    </w:rPr>
                    <w:t>渝环函〔2025〕265号：</w:t>
                  </w:r>
                </w:p>
                <w:p w14:paraId="6278828F">
                  <w:pPr>
                    <w:autoSpaceDE w:val="0"/>
                    <w:autoSpaceDN w:val="0"/>
                    <w:jc w:val="both"/>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推进西彭工业污水处理厂扩建和提标改造项目，确保在调规地块入驻企业投产前投入使用</w:t>
                  </w:r>
                  <w:r>
                    <w:rPr>
                      <w:rFonts w:hint="eastAsia" w:ascii="Times New Roman" w:hAnsi="Times New Roman" w:eastAsia="宋体" w:cs="Times New Roman"/>
                      <w:bCs/>
                      <w:color w:val="auto"/>
                      <w:sz w:val="22"/>
                      <w:szCs w:val="22"/>
                      <w:lang w:eastAsia="zh-CN"/>
                    </w:rPr>
                    <w:t>；</w:t>
                  </w:r>
                  <w:r>
                    <w:rPr>
                      <w:rFonts w:hint="eastAsia" w:ascii="Times New Roman" w:hAnsi="Times New Roman" w:eastAsia="宋体" w:cs="Times New Roman"/>
                      <w:bCs/>
                      <w:color w:val="auto"/>
                      <w:sz w:val="22"/>
                      <w:szCs w:val="22"/>
                    </w:rPr>
                    <w:t>加快调规地块污水管网建设，确保在工业企业入驻投产前实现调规地块工业废水接入西彭工业园区污水处理厂。调规地块入驻企业应严格废水排放的环境管理企业产生的污废水需自行处理达纳管要求后进入西彭工业园区污水处理厂处理达《城镇污水处理厂污染物排放标准》</w:t>
                  </w:r>
                  <w:r>
                    <w:rPr>
                      <w:rFonts w:hint="eastAsia" w:ascii="Times New Roman" w:hAnsi="Times New Roman" w:eastAsia="宋体" w:cs="Times New Roman"/>
                      <w:bCs/>
                      <w:color w:val="auto"/>
                      <w:sz w:val="22"/>
                      <w:szCs w:val="22"/>
                      <w:lang w:eastAsia="zh-CN"/>
                    </w:rPr>
                    <w:t>（</w:t>
                  </w:r>
                  <w:r>
                    <w:rPr>
                      <w:rFonts w:hint="eastAsia" w:ascii="Times New Roman" w:hAnsi="Times New Roman" w:eastAsia="宋体" w:cs="Times New Roman"/>
                      <w:bCs/>
                      <w:color w:val="auto"/>
                      <w:sz w:val="22"/>
                      <w:szCs w:val="22"/>
                    </w:rPr>
                    <w:t>GB18918-2002</w:t>
                  </w:r>
                  <w:r>
                    <w:rPr>
                      <w:rFonts w:hint="eastAsia" w:ascii="Times New Roman" w:hAnsi="Times New Roman" w:eastAsia="宋体" w:cs="Times New Roman"/>
                      <w:bCs/>
                      <w:color w:val="auto"/>
                      <w:sz w:val="22"/>
                      <w:szCs w:val="22"/>
                      <w:lang w:eastAsia="zh-CN"/>
                    </w:rPr>
                    <w:t>）</w:t>
                  </w:r>
                  <w:r>
                    <w:rPr>
                      <w:rFonts w:hint="eastAsia" w:ascii="Times New Roman" w:hAnsi="Times New Roman" w:eastAsia="宋体" w:cs="Times New Roman"/>
                      <w:bCs/>
                      <w:color w:val="auto"/>
                      <w:sz w:val="22"/>
                      <w:szCs w:val="22"/>
                    </w:rPr>
                    <w:t>一级A标准(其中COD、NH</w:t>
                  </w:r>
                  <w:r>
                    <w:rPr>
                      <w:rFonts w:hint="eastAsia" w:ascii="Times New Roman" w:hAnsi="Times New Roman" w:eastAsia="宋体" w:cs="Times New Roman"/>
                      <w:bCs/>
                      <w:color w:val="auto"/>
                      <w:sz w:val="22"/>
                      <w:szCs w:val="22"/>
                      <w:vertAlign w:val="subscript"/>
                      <w:lang w:val="en-US" w:eastAsia="zh-CN"/>
                    </w:rPr>
                    <w:t>3</w:t>
                  </w:r>
                  <w:r>
                    <w:rPr>
                      <w:rFonts w:hint="eastAsia" w:ascii="Times New Roman" w:hAnsi="Times New Roman" w:eastAsia="宋体" w:cs="Times New Roman"/>
                      <w:bCs/>
                      <w:color w:val="auto"/>
                      <w:sz w:val="22"/>
                      <w:szCs w:val="22"/>
                    </w:rPr>
                    <w:t>-N、TP 达《地表水环境质量标准》(GB3838-2002)</w:t>
                  </w:r>
                  <w:r>
                    <w:rPr>
                      <w:rFonts w:hint="default" w:ascii="Times New Roman" w:hAnsi="Times New Roman" w:eastAsia="宋体" w:cs="Times New Roman"/>
                      <w:bCs/>
                      <w:color w:val="auto"/>
                      <w:sz w:val="22"/>
                      <w:szCs w:val="22"/>
                    </w:rPr>
                    <w:t>Ⅳ</w:t>
                  </w:r>
                  <w:r>
                    <w:rPr>
                      <w:rFonts w:hint="eastAsia" w:ascii="Times New Roman" w:hAnsi="Times New Roman" w:eastAsia="宋体" w:cs="Times New Roman"/>
                      <w:bCs/>
                      <w:color w:val="auto"/>
                      <w:sz w:val="22"/>
                      <w:szCs w:val="22"/>
                    </w:rPr>
                    <w:t>类标准)后排入桥头河</w:t>
                  </w:r>
                </w:p>
              </w:tc>
              <w:tc>
                <w:tcPr>
                  <w:tcW w:w="1573" w:type="pct"/>
                  <w:tcBorders>
                    <w:tl2br w:val="nil"/>
                    <w:tr2bl w:val="nil"/>
                  </w:tcBorders>
                  <w:noWrap w:val="0"/>
                  <w:vAlign w:val="center"/>
                </w:tcPr>
                <w:p w14:paraId="1CD2D2C1">
                  <w:pPr>
                    <w:autoSpaceDE w:val="0"/>
                    <w:autoSpaceDN w:val="0"/>
                    <w:jc w:val="both"/>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lang w:val="en-US" w:eastAsia="zh-CN"/>
                    </w:rPr>
                    <w:t>本项目不新增生活污水，厂区生活污水</w:t>
                  </w:r>
                  <w:r>
                    <w:rPr>
                      <w:rFonts w:hint="eastAsia" w:ascii="Times New Roman" w:hAnsi="Times New Roman" w:eastAsia="宋体" w:cs="Times New Roman"/>
                      <w:bCs/>
                      <w:color w:val="auto"/>
                      <w:sz w:val="22"/>
                      <w:szCs w:val="22"/>
                    </w:rPr>
                    <w:t>依托</w:t>
                  </w:r>
                  <w:r>
                    <w:rPr>
                      <w:rFonts w:hint="eastAsia" w:ascii="Times New Roman" w:hAnsi="Times New Roman" w:eastAsia="宋体" w:cs="Times New Roman"/>
                      <w:bCs/>
                      <w:color w:val="auto"/>
                      <w:sz w:val="22"/>
                      <w:szCs w:val="22"/>
                      <w:lang w:val="en-US" w:eastAsia="zh-CN"/>
                    </w:rPr>
                    <w:t>现有生化池</w:t>
                  </w:r>
                  <w:r>
                    <w:rPr>
                      <w:rFonts w:hint="eastAsia" w:ascii="Times New Roman" w:hAnsi="Times New Roman" w:eastAsia="宋体" w:cs="Times New Roman"/>
                      <w:bCs/>
                      <w:color w:val="auto"/>
                      <w:sz w:val="22"/>
                      <w:szCs w:val="22"/>
                    </w:rPr>
                    <w:t>处理</w:t>
                  </w:r>
                  <w:r>
                    <w:rPr>
                      <w:rFonts w:hint="eastAsia" w:ascii="Times New Roman" w:hAnsi="Times New Roman" w:eastAsia="宋体" w:cs="Times New Roman"/>
                      <w:bCs/>
                      <w:color w:val="auto"/>
                      <w:sz w:val="22"/>
                      <w:szCs w:val="22"/>
                      <w:lang w:val="en-US" w:eastAsia="zh-CN"/>
                    </w:rPr>
                    <w:t>后</w:t>
                  </w:r>
                  <w:r>
                    <w:rPr>
                      <w:rFonts w:hint="eastAsia" w:ascii="Times New Roman" w:hAnsi="Times New Roman" w:eastAsia="宋体" w:cs="Times New Roman"/>
                      <w:bCs/>
                      <w:color w:val="auto"/>
                      <w:sz w:val="22"/>
                      <w:szCs w:val="22"/>
                      <w:lang w:eastAsia="zh-CN"/>
                    </w:rPr>
                    <w:t>达标</w:t>
                  </w:r>
                  <w:r>
                    <w:rPr>
                      <w:rFonts w:hint="eastAsia" w:ascii="Times New Roman" w:hAnsi="Times New Roman" w:eastAsia="宋体" w:cs="Times New Roman"/>
                      <w:bCs/>
                      <w:color w:val="auto"/>
                      <w:sz w:val="22"/>
                      <w:szCs w:val="22"/>
                    </w:rPr>
                    <w:t>后进入</w:t>
                  </w:r>
                  <w:r>
                    <w:rPr>
                      <w:rFonts w:hint="eastAsia" w:ascii="Times New Roman" w:hAnsi="Times New Roman" w:eastAsia="宋体" w:cs="Times New Roman"/>
                      <w:bCs/>
                      <w:color w:val="auto"/>
                      <w:sz w:val="22"/>
                      <w:szCs w:val="22"/>
                      <w:lang w:eastAsia="zh-CN"/>
                    </w:rPr>
                    <w:t>市政</w:t>
                  </w:r>
                  <w:r>
                    <w:rPr>
                      <w:rFonts w:hint="eastAsia" w:ascii="Times New Roman" w:hAnsi="Times New Roman" w:eastAsia="宋体" w:cs="Times New Roman"/>
                      <w:bCs/>
                      <w:color w:val="auto"/>
                      <w:sz w:val="22"/>
                      <w:szCs w:val="22"/>
                    </w:rPr>
                    <w:t>污水管网</w:t>
                  </w:r>
                  <w:r>
                    <w:rPr>
                      <w:rFonts w:hint="eastAsia" w:ascii="Times New Roman" w:hAnsi="Times New Roman" w:eastAsia="宋体" w:cs="Times New Roman"/>
                      <w:bCs/>
                      <w:color w:val="auto"/>
                      <w:sz w:val="22"/>
                      <w:szCs w:val="22"/>
                      <w:lang w:eastAsia="zh-CN"/>
                    </w:rPr>
                    <w:t>，</w:t>
                  </w:r>
                  <w:r>
                    <w:rPr>
                      <w:rFonts w:hint="eastAsia" w:ascii="Times New Roman" w:hAnsi="Times New Roman" w:eastAsia="宋体" w:cs="Times New Roman"/>
                      <w:bCs/>
                      <w:color w:val="auto"/>
                      <w:sz w:val="22"/>
                      <w:szCs w:val="22"/>
                    </w:rPr>
                    <w:t>经</w:t>
                  </w:r>
                  <w:r>
                    <w:rPr>
                      <w:rFonts w:hint="eastAsia" w:ascii="Times New Roman" w:hAnsi="Times New Roman" w:eastAsia="宋体" w:cs="Times New Roman"/>
                      <w:bCs/>
                      <w:color w:val="auto"/>
                      <w:sz w:val="22"/>
                      <w:szCs w:val="22"/>
                      <w:lang w:eastAsia="zh-CN"/>
                    </w:rPr>
                    <w:t>西彭城镇污水处理厂</w:t>
                  </w:r>
                  <w:r>
                    <w:rPr>
                      <w:rFonts w:hint="eastAsia" w:ascii="Times New Roman" w:hAnsi="Times New Roman" w:eastAsia="宋体" w:cs="Times New Roman"/>
                      <w:bCs/>
                      <w:color w:val="auto"/>
                      <w:sz w:val="22"/>
                      <w:szCs w:val="22"/>
                    </w:rPr>
                    <w:t>处理后</w:t>
                  </w:r>
                  <w:r>
                    <w:rPr>
                      <w:rFonts w:hint="eastAsia" w:ascii="Times New Roman" w:hAnsi="Times New Roman" w:eastAsia="宋体" w:cs="Times New Roman"/>
                      <w:bCs/>
                      <w:color w:val="auto"/>
                      <w:sz w:val="22"/>
                      <w:szCs w:val="22"/>
                      <w:lang w:val="en-US" w:eastAsia="zh-CN"/>
                    </w:rPr>
                    <w:t>达</w:t>
                  </w:r>
                  <w:r>
                    <w:rPr>
                      <w:rFonts w:hint="eastAsia"/>
                      <w:color w:val="auto"/>
                      <w:kern w:val="0"/>
                      <w:sz w:val="22"/>
                      <w:szCs w:val="22"/>
                    </w:rPr>
                    <w:t>《城镇污水处理厂污染物排放标准》（GB18918-2002）一级A标</w:t>
                  </w:r>
                  <w:r>
                    <w:rPr>
                      <w:rFonts w:hint="eastAsia"/>
                      <w:color w:val="auto"/>
                      <w:kern w:val="0"/>
                      <w:sz w:val="22"/>
                      <w:szCs w:val="22"/>
                      <w:lang w:val="en-US" w:eastAsia="zh-CN"/>
                    </w:rPr>
                    <w:t>后</w:t>
                  </w:r>
                  <w:r>
                    <w:rPr>
                      <w:rFonts w:hint="eastAsia" w:ascii="Times New Roman" w:hAnsi="Times New Roman" w:eastAsia="宋体" w:cs="Times New Roman"/>
                      <w:bCs/>
                      <w:color w:val="auto"/>
                      <w:sz w:val="22"/>
                      <w:szCs w:val="22"/>
                    </w:rPr>
                    <w:t>排入桥头河</w:t>
                  </w:r>
                  <w:r>
                    <w:rPr>
                      <w:rFonts w:hint="eastAsia" w:ascii="Times New Roman" w:hAnsi="Times New Roman" w:eastAsia="宋体" w:cs="Times New Roman"/>
                      <w:bCs/>
                      <w:color w:val="auto"/>
                      <w:sz w:val="22"/>
                      <w:szCs w:val="22"/>
                      <w:lang w:eastAsia="zh-CN"/>
                    </w:rPr>
                    <w:t>，</w:t>
                  </w:r>
                  <w:r>
                    <w:rPr>
                      <w:rFonts w:hint="eastAsia" w:ascii="Times New Roman" w:hAnsi="Times New Roman" w:eastAsia="宋体" w:cs="Times New Roman"/>
                      <w:bCs/>
                      <w:color w:val="auto"/>
                      <w:sz w:val="22"/>
                      <w:szCs w:val="22"/>
                      <w:lang w:val="en-US" w:eastAsia="zh-CN"/>
                    </w:rPr>
                    <w:t>最终汇入长江</w:t>
                  </w:r>
                </w:p>
              </w:tc>
              <w:tc>
                <w:tcPr>
                  <w:tcW w:w="424" w:type="pct"/>
                  <w:tcBorders>
                    <w:tl2br w:val="nil"/>
                    <w:tr2bl w:val="nil"/>
                  </w:tcBorders>
                  <w:noWrap w:val="0"/>
                  <w:vAlign w:val="center"/>
                </w:tcPr>
                <w:p w14:paraId="1D181A24">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符合</w:t>
                  </w:r>
                </w:p>
              </w:tc>
            </w:tr>
            <w:tr w14:paraId="48867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3" w:type="pct"/>
                  <w:vMerge w:val="continue"/>
                  <w:tcBorders>
                    <w:tl2br w:val="nil"/>
                    <w:tr2bl w:val="nil"/>
                  </w:tcBorders>
                  <w:noWrap w:val="0"/>
                  <w:vAlign w:val="center"/>
                </w:tcPr>
                <w:p w14:paraId="619B9DCC">
                  <w:pPr>
                    <w:autoSpaceDE w:val="0"/>
                    <w:autoSpaceDN w:val="0"/>
                    <w:jc w:val="center"/>
                    <w:rPr>
                      <w:rFonts w:hint="eastAsia" w:ascii="Times New Roman" w:hAnsi="Times New Roman" w:eastAsia="宋体" w:cs="Times New Roman"/>
                      <w:bCs/>
                      <w:color w:val="auto"/>
                      <w:sz w:val="22"/>
                      <w:szCs w:val="22"/>
                    </w:rPr>
                  </w:pPr>
                </w:p>
              </w:tc>
              <w:tc>
                <w:tcPr>
                  <w:tcW w:w="2599" w:type="pct"/>
                  <w:tcBorders>
                    <w:tl2br w:val="nil"/>
                    <w:tr2bl w:val="nil"/>
                  </w:tcBorders>
                  <w:noWrap w:val="0"/>
                  <w:vAlign w:val="center"/>
                </w:tcPr>
                <w:p w14:paraId="05756BAB">
                  <w:pPr>
                    <w:autoSpaceDE w:val="0"/>
                    <w:autoSpaceDN w:val="0"/>
                    <w:jc w:val="both"/>
                    <w:rPr>
                      <w:rFonts w:hint="eastAsia" w:ascii="Times New Roman" w:hAnsi="Times New Roman" w:eastAsia="宋体" w:cs="Times New Roman"/>
                      <w:b/>
                      <w:bCs w:val="0"/>
                      <w:color w:val="auto"/>
                      <w:sz w:val="22"/>
                      <w:szCs w:val="22"/>
                      <w:lang w:val="en-US" w:eastAsia="zh-CN"/>
                    </w:rPr>
                  </w:pPr>
                  <w:r>
                    <w:rPr>
                      <w:rFonts w:hint="eastAsia" w:ascii="Times New Roman" w:hAnsi="Times New Roman" w:eastAsia="宋体" w:cs="Times New Roman"/>
                      <w:b/>
                      <w:bCs w:val="0"/>
                      <w:color w:val="auto"/>
                      <w:sz w:val="22"/>
                      <w:szCs w:val="22"/>
                      <w:lang w:val="en-US" w:eastAsia="zh-CN"/>
                    </w:rPr>
                    <w:t>渝环函〔2023〕439号：</w:t>
                  </w:r>
                </w:p>
                <w:p w14:paraId="0371CD3B">
                  <w:pPr>
                    <w:autoSpaceDE w:val="0"/>
                    <w:autoSpaceDN w:val="0"/>
                    <w:jc w:val="both"/>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2、大气污染物排放管控</w:t>
                  </w:r>
                </w:p>
                <w:p w14:paraId="5EE1A06A">
                  <w:pPr>
                    <w:autoSpaceDE w:val="0"/>
                    <w:autoSpaceDN w:val="0"/>
                    <w:jc w:val="both"/>
                    <w:rPr>
                      <w:rFonts w:hint="eastAsia" w:ascii="Times New Roman" w:hAnsi="Times New Roman" w:eastAsia="宋体" w:cs="Times New Roman"/>
                      <w:bCs/>
                      <w:color w:val="auto"/>
                      <w:sz w:val="22"/>
                      <w:szCs w:val="22"/>
                      <w:lang w:val="zh-CN"/>
                    </w:rPr>
                  </w:pPr>
                  <w:r>
                    <w:rPr>
                      <w:rFonts w:hint="eastAsia" w:ascii="Times New Roman" w:hAnsi="Times New Roman" w:eastAsia="宋体" w:cs="Times New Roman"/>
                      <w:bCs/>
                      <w:color w:val="auto"/>
                      <w:sz w:val="22"/>
                      <w:szCs w:val="22"/>
                      <w:lang w:val="zh-CN"/>
                    </w:rPr>
                    <w:t>优化能源结构，严格落实清洁能源计划，鼓励使用天然气、电等清洁能源。燃气锅炉应采用低氮燃烧工艺。加强工业企业大气污染综合治理，各入驻企业应采取有效的废气处理措施，确保工艺废气稳定达标排放并满足总量控制要求。涉及挥发性有机物排放的项目应从源头加强控制，优先使用低（无）VOCs含量的原辅料，并按照相关要求采用先进生产技术、高效工艺，减少工艺过程无组织排放，严格按照国家及重庆市关于挥发性有机物治理的相关要求落实污染防治措施。严格控制工业企业粉尘无组织排放，加强工业企业臭气等异味气体的污染防治，确保厂界达标，避免对周边环境敏感点造成影响。新建、扩建涉及喷漆、酸洗等异味气体排放的生产项目应远离居住、学校等人口密集区</w:t>
                  </w:r>
                </w:p>
              </w:tc>
              <w:tc>
                <w:tcPr>
                  <w:tcW w:w="1573" w:type="pct"/>
                  <w:tcBorders>
                    <w:tl2br w:val="nil"/>
                    <w:tr2bl w:val="nil"/>
                  </w:tcBorders>
                  <w:noWrap w:val="0"/>
                  <w:vAlign w:val="center"/>
                </w:tcPr>
                <w:p w14:paraId="7617B0DE">
                  <w:pPr>
                    <w:autoSpaceDE w:val="0"/>
                    <w:autoSpaceDN w:val="0"/>
                    <w:jc w:val="both"/>
                    <w:rPr>
                      <w:rFonts w:hint="eastAsia" w:ascii="Times New Roman" w:hAnsi="Times New Roman" w:eastAsia="宋体" w:cs="Times New Roman"/>
                      <w:bCs/>
                      <w:color w:val="auto"/>
                      <w:sz w:val="22"/>
                      <w:szCs w:val="22"/>
                      <w:lang w:eastAsia="zh-CN"/>
                    </w:rPr>
                  </w:pPr>
                  <w:r>
                    <w:rPr>
                      <w:rFonts w:hint="eastAsia" w:ascii="Times New Roman" w:hAnsi="Times New Roman" w:eastAsia="宋体" w:cs="Times New Roman"/>
                      <w:bCs/>
                      <w:color w:val="auto"/>
                      <w:sz w:val="22"/>
                      <w:szCs w:val="22"/>
                      <w:lang w:val="en-US" w:eastAsia="zh-CN"/>
                    </w:rPr>
                    <w:t>本</w:t>
                  </w:r>
                  <w:r>
                    <w:rPr>
                      <w:rFonts w:hint="eastAsia" w:ascii="Times New Roman" w:hAnsi="Times New Roman" w:eastAsia="宋体" w:cs="Times New Roman"/>
                      <w:bCs/>
                      <w:color w:val="auto"/>
                      <w:sz w:val="22"/>
                      <w:szCs w:val="22"/>
                    </w:rPr>
                    <w:t>项目使用天然气</w:t>
                  </w:r>
                  <w:r>
                    <w:rPr>
                      <w:rFonts w:hint="eastAsia" w:ascii="Times New Roman" w:hAnsi="Times New Roman" w:eastAsia="宋体" w:cs="Times New Roman"/>
                      <w:bCs/>
                      <w:color w:val="auto"/>
                      <w:sz w:val="22"/>
                      <w:szCs w:val="22"/>
                      <w:lang w:eastAsia="zh-CN"/>
                    </w:rPr>
                    <w:t>、</w:t>
                  </w:r>
                  <w:r>
                    <w:rPr>
                      <w:rFonts w:hint="eastAsia" w:ascii="Times New Roman" w:hAnsi="Times New Roman" w:eastAsia="宋体" w:cs="Times New Roman"/>
                      <w:bCs/>
                      <w:color w:val="auto"/>
                      <w:sz w:val="22"/>
                      <w:szCs w:val="22"/>
                      <w:lang w:val="en-US" w:eastAsia="zh-CN"/>
                    </w:rPr>
                    <w:t>电等清洁能源</w:t>
                  </w:r>
                  <w:r>
                    <w:rPr>
                      <w:rFonts w:hint="eastAsia" w:ascii="Times New Roman" w:hAnsi="Times New Roman" w:eastAsia="宋体" w:cs="Times New Roman"/>
                      <w:bCs/>
                      <w:color w:val="auto"/>
                      <w:sz w:val="22"/>
                      <w:szCs w:val="22"/>
                    </w:rPr>
                    <w:t>，</w:t>
                  </w:r>
                  <w:r>
                    <w:rPr>
                      <w:rFonts w:hint="eastAsia" w:ascii="Times New Roman" w:hAnsi="Times New Roman" w:eastAsia="宋体" w:cs="Times New Roman"/>
                      <w:bCs/>
                      <w:color w:val="auto"/>
                      <w:sz w:val="22"/>
                      <w:szCs w:val="22"/>
                      <w:lang w:val="en-US" w:eastAsia="zh-CN"/>
                    </w:rPr>
                    <w:t>项目</w:t>
                  </w:r>
                  <w:r>
                    <w:rPr>
                      <w:rFonts w:hint="default" w:ascii="Times New Roman" w:hAnsi="Times New Roman" w:eastAsia="宋体" w:cs="Times New Roman"/>
                      <w:color w:val="auto"/>
                      <w:kern w:val="0"/>
                      <w:sz w:val="22"/>
                      <w:szCs w:val="22"/>
                      <w:vertAlign w:val="baseline"/>
                      <w:lang w:val="en-US" w:eastAsia="zh-CN" w:bidi="ar-SA"/>
                    </w:rPr>
                    <w:t>2个25吨熔炼炉废气和1个16吨熔炼炉废气收集后一并采用</w:t>
                  </w:r>
                  <w:r>
                    <w:rPr>
                      <w:rFonts w:hint="eastAsia" w:ascii="Times New Roman" w:hAnsi="Times New Roman" w:eastAsia="宋体" w:cs="Times New Roman"/>
                      <w:color w:val="auto"/>
                      <w:kern w:val="0"/>
                      <w:sz w:val="22"/>
                      <w:szCs w:val="22"/>
                      <w:vertAlign w:val="baseline"/>
                      <w:lang w:val="en-US" w:eastAsia="zh-CN" w:bidi="ar-SA"/>
                    </w:rPr>
                    <w:t>1#</w:t>
                  </w:r>
                  <w:r>
                    <w:rPr>
                      <w:rFonts w:hint="default" w:ascii="Times New Roman" w:hAnsi="Times New Roman" w:eastAsia="宋体" w:cs="Times New Roman"/>
                      <w:color w:val="auto"/>
                      <w:kern w:val="0"/>
                      <w:sz w:val="22"/>
                      <w:szCs w:val="22"/>
                      <w:vertAlign w:val="baseline"/>
                      <w:lang w:val="en-US" w:eastAsia="zh-CN" w:bidi="ar-SA"/>
                    </w:rPr>
                    <w:t>“旋风+布袋除尘器”处理后，依托现有21m高DA002排气筒排放</w:t>
                  </w:r>
                  <w:r>
                    <w:rPr>
                      <w:rFonts w:hint="eastAsia" w:ascii="Times New Roman" w:hAnsi="Times New Roman" w:eastAsia="宋体" w:cs="Times New Roman"/>
                      <w:color w:val="auto"/>
                      <w:kern w:val="0"/>
                      <w:sz w:val="22"/>
                      <w:szCs w:val="22"/>
                      <w:vertAlign w:val="baseline"/>
                      <w:lang w:val="en-US" w:eastAsia="zh-CN" w:bidi="ar-SA"/>
                    </w:rPr>
                    <w:t>；</w:t>
                  </w:r>
                  <w:r>
                    <w:rPr>
                      <w:rFonts w:hint="default" w:ascii="Times New Roman" w:hAnsi="Times New Roman" w:eastAsia="宋体" w:cs="Times New Roman"/>
                      <w:color w:val="auto"/>
                      <w:kern w:val="0"/>
                      <w:sz w:val="22"/>
                      <w:szCs w:val="22"/>
                      <w:vertAlign w:val="baseline"/>
                      <w:lang w:val="en-US" w:eastAsia="zh-CN" w:bidi="ar-SA"/>
                    </w:rPr>
                    <w:t>2台均质炉废气经现有15m高DA004排气筒排放</w:t>
                  </w:r>
                  <w:r>
                    <w:rPr>
                      <w:rFonts w:hint="eastAsia" w:ascii="Times New Roman" w:hAnsi="Times New Roman" w:eastAsia="宋体" w:cs="Times New Roman"/>
                      <w:color w:val="auto"/>
                      <w:kern w:val="0"/>
                      <w:sz w:val="22"/>
                      <w:szCs w:val="22"/>
                      <w:vertAlign w:val="baseline"/>
                      <w:lang w:val="en-US" w:eastAsia="zh-CN" w:bidi="ar-SA"/>
                    </w:rPr>
                    <w:t>；铝回收装置废气依托</w:t>
                  </w:r>
                  <w:r>
                    <w:rPr>
                      <w:rFonts w:hint="eastAsia" w:ascii="Times New Roman" w:hAnsi="Times New Roman" w:eastAsia="宋体" w:cs="Times New Roman"/>
                      <w:color w:val="auto"/>
                      <w:sz w:val="22"/>
                      <w:szCs w:val="22"/>
                      <w:lang w:val="en-US" w:eastAsia="zh-CN"/>
                    </w:rPr>
                    <w:t>“重力沉降+布袋除尘器”处理后通过1根20m高排气筒排放</w:t>
                  </w:r>
                  <w:r>
                    <w:rPr>
                      <w:rFonts w:hint="eastAsia" w:ascii="Times New Roman" w:hAnsi="Times New Roman" w:eastAsia="宋体" w:cs="Times New Roman"/>
                      <w:bCs/>
                      <w:color w:val="auto"/>
                      <w:sz w:val="22"/>
                      <w:szCs w:val="22"/>
                      <w:lang w:val="en-US" w:eastAsia="zh-CN"/>
                    </w:rPr>
                    <w:t>。上述</w:t>
                  </w:r>
                  <w:r>
                    <w:rPr>
                      <w:rFonts w:hint="eastAsia" w:ascii="Times New Roman" w:hAnsi="Times New Roman" w:eastAsia="宋体" w:cs="Times New Roman"/>
                      <w:bCs/>
                      <w:color w:val="auto"/>
                      <w:sz w:val="22"/>
                      <w:szCs w:val="22"/>
                    </w:rPr>
                    <w:t>污染治理措施可靠，不会对周边环境造成明显影响</w:t>
                  </w:r>
                  <w:r>
                    <w:rPr>
                      <w:rFonts w:hint="eastAsia" w:ascii="Times New Roman" w:hAnsi="Times New Roman" w:eastAsia="宋体" w:cs="Times New Roman"/>
                      <w:bCs/>
                      <w:color w:val="auto"/>
                      <w:sz w:val="22"/>
                      <w:szCs w:val="22"/>
                      <w:lang w:eastAsia="zh-CN"/>
                    </w:rPr>
                    <w:t>；</w:t>
                  </w:r>
                </w:p>
                <w:p w14:paraId="51218F23">
                  <w:pPr>
                    <w:autoSpaceDE w:val="0"/>
                    <w:autoSpaceDN w:val="0"/>
                    <w:jc w:val="both"/>
                    <w:rPr>
                      <w:rFonts w:hint="default"/>
                      <w:color w:val="auto"/>
                      <w:lang w:val="en-US" w:eastAsia="zh-CN"/>
                    </w:rPr>
                  </w:pPr>
                  <w:r>
                    <w:rPr>
                      <w:rFonts w:hint="eastAsia" w:ascii="Times New Roman" w:hAnsi="Times New Roman" w:eastAsia="宋体" w:cs="Times New Roman"/>
                      <w:bCs/>
                      <w:color w:val="auto"/>
                      <w:sz w:val="22"/>
                      <w:szCs w:val="22"/>
                      <w:lang w:val="en-US" w:eastAsia="zh-CN"/>
                    </w:rPr>
                    <w:t>本项目主要原材料不含VOCs，仅剥皮锯切工序中使用切削液，切削液循环使用产生，在使用期间产生极少量VOCs</w:t>
                  </w:r>
                </w:p>
              </w:tc>
              <w:tc>
                <w:tcPr>
                  <w:tcW w:w="424" w:type="pct"/>
                  <w:tcBorders>
                    <w:tl2br w:val="nil"/>
                    <w:tr2bl w:val="nil"/>
                  </w:tcBorders>
                  <w:noWrap w:val="0"/>
                  <w:vAlign w:val="center"/>
                </w:tcPr>
                <w:p w14:paraId="6274DA16">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符合</w:t>
                  </w:r>
                </w:p>
              </w:tc>
            </w:tr>
            <w:tr w14:paraId="00E718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3" w:type="pct"/>
                  <w:vMerge w:val="continue"/>
                  <w:tcBorders>
                    <w:tl2br w:val="nil"/>
                    <w:tr2bl w:val="nil"/>
                  </w:tcBorders>
                  <w:noWrap w:val="0"/>
                  <w:vAlign w:val="center"/>
                </w:tcPr>
                <w:p w14:paraId="2D444CCE">
                  <w:pPr>
                    <w:autoSpaceDE w:val="0"/>
                    <w:autoSpaceDN w:val="0"/>
                    <w:jc w:val="center"/>
                    <w:rPr>
                      <w:rFonts w:hint="eastAsia" w:ascii="Times New Roman" w:hAnsi="Times New Roman" w:eastAsia="宋体" w:cs="Times New Roman"/>
                      <w:bCs/>
                      <w:color w:val="auto"/>
                      <w:sz w:val="22"/>
                      <w:szCs w:val="22"/>
                    </w:rPr>
                  </w:pPr>
                </w:p>
              </w:tc>
              <w:tc>
                <w:tcPr>
                  <w:tcW w:w="2599" w:type="pct"/>
                  <w:tcBorders>
                    <w:tl2br w:val="nil"/>
                    <w:tr2bl w:val="nil"/>
                  </w:tcBorders>
                  <w:noWrap w:val="0"/>
                  <w:vAlign w:val="center"/>
                </w:tcPr>
                <w:p w14:paraId="61CAD3F7">
                  <w:pPr>
                    <w:autoSpaceDE w:val="0"/>
                    <w:autoSpaceDN w:val="0"/>
                    <w:jc w:val="both"/>
                    <w:rPr>
                      <w:rFonts w:hint="eastAsia" w:ascii="Times New Roman" w:hAnsi="Times New Roman" w:eastAsia="宋体" w:cs="Times New Roman"/>
                      <w:b/>
                      <w:bCs w:val="0"/>
                      <w:color w:val="auto"/>
                      <w:sz w:val="22"/>
                      <w:szCs w:val="22"/>
                    </w:rPr>
                  </w:pPr>
                  <w:r>
                    <w:rPr>
                      <w:rFonts w:hint="eastAsia" w:ascii="Times New Roman" w:hAnsi="Times New Roman" w:eastAsia="宋体" w:cs="Times New Roman"/>
                      <w:b/>
                      <w:bCs w:val="0"/>
                      <w:color w:val="auto"/>
                      <w:sz w:val="22"/>
                      <w:szCs w:val="22"/>
                      <w:lang w:val="en-US" w:eastAsia="zh-CN"/>
                    </w:rPr>
                    <w:t>渝环函〔2023〕439号：</w:t>
                  </w:r>
                </w:p>
                <w:p w14:paraId="575B7EC6">
                  <w:pPr>
                    <w:autoSpaceDE w:val="0"/>
                    <w:autoSpaceDN w:val="0"/>
                    <w:jc w:val="both"/>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3、工业固废排放管控</w:t>
                  </w:r>
                </w:p>
                <w:p w14:paraId="5112444A">
                  <w:pPr>
                    <w:autoSpaceDE w:val="0"/>
                    <w:autoSpaceDN w:val="0"/>
                    <w:jc w:val="both"/>
                    <w:rPr>
                      <w:rFonts w:hint="eastAsia" w:ascii="Times New Roman" w:hAnsi="Times New Roman" w:eastAsia="宋体" w:cs="Times New Roman"/>
                      <w:bCs/>
                      <w:color w:val="auto"/>
                      <w:sz w:val="22"/>
                      <w:szCs w:val="22"/>
                      <w:lang w:val="zh-CN"/>
                    </w:rPr>
                  </w:pPr>
                  <w:r>
                    <w:rPr>
                      <w:rFonts w:hint="eastAsia" w:ascii="Times New Roman" w:hAnsi="Times New Roman" w:eastAsia="宋体" w:cs="Times New Roman"/>
                      <w:bCs/>
                      <w:color w:val="auto"/>
                      <w:sz w:val="22"/>
                      <w:szCs w:val="22"/>
                      <w:lang w:val="zh-CN"/>
                    </w:rPr>
                    <w:t>加强一般工业固体废物综合利用和处理，鼓励企业自行回收利用一般工业固体废物，按资源化、减量化、无害化方式妥善收集、处置固体废物，加大包装材料的回收和循环使用。危险废物产生单元严格落实危险废物环境管理制度，做好危险废物管理计划和管理台账，对项目危险废物收集、贮存、运输、利用、处置各环节进行全过程环境监管。严格按照《危险废物贮存污染控制标准》（GB18597-2023）等有关规定，设置危险废物暂存场所，并按照规定设置危险废物识别标志。危险废物转移应严格执行《危险废物转移管理办法》（生态环境部 公安部 交通运输部 部令 第23号）相关要求</w:t>
                  </w:r>
                </w:p>
              </w:tc>
              <w:tc>
                <w:tcPr>
                  <w:tcW w:w="1573" w:type="pct"/>
                  <w:tcBorders>
                    <w:tl2br w:val="nil"/>
                    <w:tr2bl w:val="nil"/>
                  </w:tcBorders>
                  <w:noWrap w:val="0"/>
                  <w:vAlign w:val="center"/>
                </w:tcPr>
                <w:p w14:paraId="76051D31">
                  <w:pPr>
                    <w:autoSpaceDE w:val="0"/>
                    <w:autoSpaceDN w:val="0"/>
                    <w:jc w:val="both"/>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本</w:t>
                  </w:r>
                  <w:r>
                    <w:rPr>
                      <w:rFonts w:hint="eastAsia" w:ascii="Times New Roman" w:hAnsi="Times New Roman" w:eastAsia="宋体" w:cs="Times New Roman"/>
                      <w:bCs/>
                      <w:color w:val="auto"/>
                      <w:sz w:val="22"/>
                      <w:szCs w:val="22"/>
                    </w:rPr>
                    <w:t>项目</w:t>
                  </w:r>
                  <w:r>
                    <w:rPr>
                      <w:rFonts w:hint="eastAsia" w:ascii="Times New Roman" w:hAnsi="Times New Roman" w:eastAsia="宋体" w:cs="Times New Roman"/>
                      <w:bCs/>
                      <w:color w:val="auto"/>
                      <w:sz w:val="22"/>
                      <w:szCs w:val="22"/>
                      <w:lang w:val="en-US" w:eastAsia="zh-CN"/>
                    </w:rPr>
                    <w:t>产生的一般工业固废依托现有一般固废暂存间，定期交由回收单位处置利用；本项目产生的危险废物依托现有危废贮存库暂存</w:t>
                  </w:r>
                  <w:r>
                    <w:rPr>
                      <w:rFonts w:hint="eastAsia" w:ascii="Times New Roman" w:hAnsi="Times New Roman" w:eastAsia="宋体" w:cs="Times New Roman"/>
                      <w:bCs/>
                      <w:color w:val="auto"/>
                      <w:sz w:val="22"/>
                      <w:szCs w:val="22"/>
                      <w:lang w:eastAsia="zh-CN"/>
                    </w:rPr>
                    <w:t>，</w:t>
                  </w:r>
                  <w:r>
                    <w:rPr>
                      <w:rFonts w:hint="eastAsia" w:ascii="Times New Roman" w:hAnsi="Times New Roman" w:eastAsia="宋体" w:cs="Times New Roman"/>
                      <w:bCs/>
                      <w:color w:val="auto"/>
                      <w:sz w:val="22"/>
                      <w:szCs w:val="22"/>
                      <w:lang w:val="en-US" w:eastAsia="zh-CN"/>
                    </w:rPr>
                    <w:t>定期</w:t>
                  </w:r>
                  <w:r>
                    <w:rPr>
                      <w:rFonts w:hint="eastAsia" w:ascii="Times New Roman" w:hAnsi="Times New Roman" w:eastAsia="宋体" w:cs="Times New Roman"/>
                      <w:bCs/>
                      <w:color w:val="auto"/>
                      <w:sz w:val="22"/>
                      <w:szCs w:val="22"/>
                      <w:lang w:val="zh-CN"/>
                    </w:rPr>
                    <w:t>交由具有危险废物处置资质的单位处置，定期转运，</w:t>
                  </w:r>
                  <w:r>
                    <w:rPr>
                      <w:rFonts w:hint="eastAsia" w:ascii="Times New Roman" w:hAnsi="Times New Roman" w:eastAsia="宋体" w:cs="Times New Roman"/>
                      <w:bCs/>
                      <w:color w:val="auto"/>
                      <w:sz w:val="22"/>
                      <w:szCs w:val="22"/>
                      <w:lang w:val="en-US" w:eastAsia="zh-CN"/>
                    </w:rPr>
                    <w:t>并建立危废转移联单及台账</w:t>
                  </w:r>
                </w:p>
              </w:tc>
              <w:tc>
                <w:tcPr>
                  <w:tcW w:w="424" w:type="pct"/>
                  <w:tcBorders>
                    <w:tl2br w:val="nil"/>
                    <w:tr2bl w:val="nil"/>
                  </w:tcBorders>
                  <w:noWrap w:val="0"/>
                  <w:vAlign w:val="center"/>
                </w:tcPr>
                <w:p w14:paraId="4A6F7F50">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符合</w:t>
                  </w:r>
                </w:p>
              </w:tc>
            </w:tr>
            <w:tr w14:paraId="2B76E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3" w:type="pct"/>
                  <w:vMerge w:val="continue"/>
                  <w:tcBorders>
                    <w:tl2br w:val="nil"/>
                    <w:tr2bl w:val="nil"/>
                  </w:tcBorders>
                  <w:noWrap w:val="0"/>
                  <w:vAlign w:val="center"/>
                </w:tcPr>
                <w:p w14:paraId="530E28D1">
                  <w:pPr>
                    <w:autoSpaceDE w:val="0"/>
                    <w:autoSpaceDN w:val="0"/>
                    <w:jc w:val="center"/>
                    <w:rPr>
                      <w:rFonts w:hint="eastAsia" w:ascii="Times New Roman" w:hAnsi="Times New Roman" w:eastAsia="宋体" w:cs="Times New Roman"/>
                      <w:bCs/>
                      <w:color w:val="auto"/>
                      <w:sz w:val="22"/>
                      <w:szCs w:val="22"/>
                    </w:rPr>
                  </w:pPr>
                </w:p>
              </w:tc>
              <w:tc>
                <w:tcPr>
                  <w:tcW w:w="2599" w:type="pct"/>
                  <w:tcBorders>
                    <w:tl2br w:val="nil"/>
                    <w:tr2bl w:val="nil"/>
                  </w:tcBorders>
                  <w:noWrap w:val="0"/>
                  <w:vAlign w:val="center"/>
                </w:tcPr>
                <w:p w14:paraId="2845BC5F">
                  <w:pPr>
                    <w:autoSpaceDE w:val="0"/>
                    <w:autoSpaceDN w:val="0"/>
                    <w:jc w:val="both"/>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4、噪声污染管控</w:t>
                  </w:r>
                </w:p>
                <w:p w14:paraId="2A41459F">
                  <w:pPr>
                    <w:autoSpaceDE w:val="0"/>
                    <w:autoSpaceDN w:val="0"/>
                    <w:jc w:val="both"/>
                    <w:rPr>
                      <w:rFonts w:hint="eastAsia" w:ascii="Times New Roman" w:hAnsi="Times New Roman" w:eastAsia="宋体" w:cs="Times New Roman"/>
                      <w:bCs/>
                      <w:color w:val="auto"/>
                      <w:sz w:val="22"/>
                      <w:szCs w:val="22"/>
                      <w:lang w:val="zh-CN"/>
                    </w:rPr>
                  </w:pPr>
                  <w:r>
                    <w:rPr>
                      <w:rFonts w:hint="eastAsia" w:ascii="Times New Roman" w:hAnsi="Times New Roman" w:eastAsia="宋体" w:cs="Times New Roman"/>
                      <w:b/>
                      <w:bCs w:val="0"/>
                      <w:color w:val="auto"/>
                      <w:sz w:val="22"/>
                      <w:szCs w:val="22"/>
                      <w:lang w:val="zh-CN" w:eastAsia="zh-CN"/>
                    </w:rPr>
                    <w:t>渝环函〔2023〕439号：</w:t>
                  </w:r>
                  <w:r>
                    <w:rPr>
                      <w:rFonts w:hint="eastAsia" w:ascii="Times New Roman" w:hAnsi="Times New Roman" w:eastAsia="宋体" w:cs="Times New Roman"/>
                      <w:bCs/>
                      <w:color w:val="auto"/>
                      <w:sz w:val="22"/>
                      <w:szCs w:val="22"/>
                      <w:lang w:val="zh-CN"/>
                    </w:rPr>
                    <w:t>合理布局企业噪声源，高噪声源企业选址合理和布局尽量远离居住、学校等声环境敏感区；工业企业选择低噪声设备，采取消声、隔声、减振等措施，确保厂界噪声达标。加强运输车辆的管理，合理规划区域运输路线和时间，减轻运输过程对沿线居民的影响</w:t>
                  </w:r>
                </w:p>
                <w:p w14:paraId="633E8F9E">
                  <w:pPr>
                    <w:autoSpaceDE w:val="0"/>
                    <w:autoSpaceDN w:val="0"/>
                    <w:jc w:val="both"/>
                    <w:rPr>
                      <w:rFonts w:hint="eastAsia" w:ascii="Times New Roman" w:hAnsi="Times New Roman" w:eastAsia="宋体" w:cs="Times New Roman"/>
                      <w:bCs/>
                      <w:color w:val="auto"/>
                      <w:sz w:val="22"/>
                      <w:szCs w:val="22"/>
                      <w:lang w:val="zh-CN"/>
                    </w:rPr>
                  </w:pPr>
                  <w:r>
                    <w:rPr>
                      <w:rFonts w:hint="eastAsia" w:ascii="Times New Roman" w:hAnsi="Times New Roman" w:eastAsia="宋体" w:cs="Times New Roman"/>
                      <w:b/>
                      <w:bCs w:val="0"/>
                      <w:color w:val="auto"/>
                      <w:sz w:val="22"/>
                      <w:szCs w:val="22"/>
                      <w:lang w:val="zh-CN" w:eastAsia="zh-CN"/>
                    </w:rPr>
                    <w:t>渝环函〔2025〕265号：</w:t>
                  </w:r>
                  <w:r>
                    <w:rPr>
                      <w:rFonts w:hint="eastAsia" w:ascii="Times New Roman" w:hAnsi="Times New Roman" w:eastAsia="宋体" w:cs="Times New Roman"/>
                      <w:bCs/>
                      <w:color w:val="auto"/>
                      <w:sz w:val="22"/>
                      <w:szCs w:val="22"/>
                      <w:lang w:val="zh-CN" w:eastAsia="zh-CN"/>
                    </w:rPr>
                    <w:t>017/01、018/01、019/01及020/01等调规地块，后续结合区域土地利用规划调整，按程序进行相应的声环境功能区划调整。调整前，上述地块入驻的建设项目应按现行声环境功能区要求执行，并通过优化厂区布局、强化减振隔声消声措施、合理安排施工及运行时间等，确保厂界达标</w:t>
                  </w:r>
                </w:p>
              </w:tc>
              <w:tc>
                <w:tcPr>
                  <w:tcW w:w="1573" w:type="pct"/>
                  <w:tcBorders>
                    <w:tl2br w:val="nil"/>
                    <w:tr2bl w:val="nil"/>
                  </w:tcBorders>
                  <w:noWrap w:val="0"/>
                  <w:vAlign w:val="center"/>
                </w:tcPr>
                <w:p w14:paraId="45291C01">
                  <w:pPr>
                    <w:autoSpaceDE w:val="0"/>
                    <w:autoSpaceDN w:val="0"/>
                    <w:jc w:val="both"/>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lang w:val="en-US" w:eastAsia="zh-CN"/>
                    </w:rPr>
                    <w:t>本</w:t>
                  </w:r>
                  <w:r>
                    <w:rPr>
                      <w:rFonts w:hint="eastAsia" w:ascii="Times New Roman" w:hAnsi="Times New Roman" w:eastAsia="宋体" w:cs="Times New Roman"/>
                      <w:bCs/>
                      <w:color w:val="auto"/>
                      <w:sz w:val="22"/>
                      <w:szCs w:val="22"/>
                    </w:rPr>
                    <w:t>项目</w:t>
                  </w:r>
                  <w:r>
                    <w:rPr>
                      <w:rFonts w:hint="eastAsia" w:ascii="Times New Roman" w:hAnsi="Times New Roman" w:eastAsia="宋体" w:cs="Times New Roman"/>
                      <w:bCs/>
                      <w:color w:val="auto"/>
                      <w:sz w:val="22"/>
                      <w:szCs w:val="22"/>
                      <w:lang w:val="en-US" w:eastAsia="zh-CN"/>
                    </w:rPr>
                    <w:t>所在地块属于工业用地，选用</w:t>
                  </w:r>
                  <w:r>
                    <w:rPr>
                      <w:rFonts w:hint="eastAsia" w:ascii="Times New Roman" w:hAnsi="Times New Roman" w:eastAsia="宋体" w:cs="Times New Roman"/>
                      <w:bCs/>
                      <w:color w:val="auto"/>
                      <w:sz w:val="22"/>
                      <w:szCs w:val="22"/>
                    </w:rPr>
                    <w:t>低噪声设备，采取建筑隔声等措施，可确保厂界噪声达标</w:t>
                  </w:r>
                </w:p>
              </w:tc>
              <w:tc>
                <w:tcPr>
                  <w:tcW w:w="424" w:type="pct"/>
                  <w:tcBorders>
                    <w:tl2br w:val="nil"/>
                    <w:tr2bl w:val="nil"/>
                  </w:tcBorders>
                  <w:noWrap w:val="0"/>
                  <w:vAlign w:val="center"/>
                </w:tcPr>
                <w:p w14:paraId="0B889681">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符合</w:t>
                  </w:r>
                </w:p>
              </w:tc>
            </w:tr>
            <w:tr w14:paraId="531942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3" w:type="pct"/>
                  <w:vMerge w:val="continue"/>
                  <w:tcBorders>
                    <w:tl2br w:val="nil"/>
                    <w:tr2bl w:val="nil"/>
                  </w:tcBorders>
                  <w:noWrap w:val="0"/>
                  <w:vAlign w:val="center"/>
                </w:tcPr>
                <w:p w14:paraId="07321594">
                  <w:pPr>
                    <w:autoSpaceDE w:val="0"/>
                    <w:autoSpaceDN w:val="0"/>
                    <w:jc w:val="center"/>
                    <w:rPr>
                      <w:rFonts w:hint="eastAsia" w:ascii="Times New Roman" w:hAnsi="Times New Roman" w:eastAsia="宋体" w:cs="Times New Roman"/>
                      <w:bCs/>
                      <w:color w:val="auto"/>
                      <w:sz w:val="22"/>
                      <w:szCs w:val="22"/>
                    </w:rPr>
                  </w:pPr>
                </w:p>
              </w:tc>
              <w:tc>
                <w:tcPr>
                  <w:tcW w:w="2599" w:type="pct"/>
                  <w:tcBorders>
                    <w:tl2br w:val="nil"/>
                    <w:tr2bl w:val="nil"/>
                  </w:tcBorders>
                  <w:noWrap w:val="0"/>
                  <w:vAlign w:val="center"/>
                </w:tcPr>
                <w:p w14:paraId="7F82C5B8">
                  <w:pPr>
                    <w:autoSpaceDE w:val="0"/>
                    <w:autoSpaceDN w:val="0"/>
                    <w:jc w:val="both"/>
                    <w:rPr>
                      <w:rFonts w:hint="eastAsia" w:ascii="Times New Roman" w:hAnsi="Times New Roman" w:eastAsia="宋体" w:cs="Times New Roman"/>
                      <w:b/>
                      <w:bCs w:val="0"/>
                      <w:color w:val="auto"/>
                      <w:sz w:val="22"/>
                      <w:szCs w:val="22"/>
                      <w:lang w:val="zh-CN"/>
                    </w:rPr>
                  </w:pPr>
                  <w:r>
                    <w:rPr>
                      <w:rFonts w:hint="eastAsia" w:ascii="Times New Roman" w:hAnsi="Times New Roman" w:eastAsia="宋体" w:cs="Times New Roman"/>
                      <w:b/>
                      <w:bCs w:val="0"/>
                      <w:color w:val="auto"/>
                      <w:sz w:val="22"/>
                      <w:szCs w:val="22"/>
                      <w:lang w:val="zh-CN" w:eastAsia="zh-CN"/>
                    </w:rPr>
                    <w:t>渝环函〔2023〕439号：</w:t>
                  </w:r>
                </w:p>
                <w:p w14:paraId="66606D55">
                  <w:pPr>
                    <w:autoSpaceDE w:val="0"/>
                    <w:autoSpaceDN w:val="0"/>
                    <w:jc w:val="both"/>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5、土壤、地下水污染风险防控</w:t>
                  </w:r>
                </w:p>
                <w:p w14:paraId="215EF686">
                  <w:pPr>
                    <w:autoSpaceDE w:val="0"/>
                    <w:autoSpaceDN w:val="0"/>
                    <w:jc w:val="both"/>
                    <w:rPr>
                      <w:rFonts w:hint="eastAsia" w:ascii="Times New Roman" w:hAnsi="Times New Roman" w:eastAsia="宋体" w:cs="Times New Roman"/>
                      <w:bCs/>
                      <w:color w:val="auto"/>
                      <w:sz w:val="22"/>
                      <w:szCs w:val="22"/>
                      <w:lang w:val="zh-CN"/>
                    </w:rPr>
                  </w:pPr>
                  <w:r>
                    <w:rPr>
                      <w:rFonts w:hint="eastAsia" w:ascii="Times New Roman" w:hAnsi="Times New Roman" w:eastAsia="宋体" w:cs="Times New Roman"/>
                      <w:bCs/>
                      <w:color w:val="auto"/>
                      <w:sz w:val="22"/>
                      <w:szCs w:val="22"/>
                      <w:lang w:val="zh-CN"/>
                    </w:rPr>
                    <w:t>按源头防控的原则，可能产生地下水、土壤污染的企业，应严格落实分区、分级防渗措施，防范规划实施对土壤、地下水环境造成污染。定期开展土壤、地下水跟踪监测，根据监测资料结果完善污染防治措施，确保规划区土壤、地下水环境质量不恶化</w:t>
                  </w:r>
                </w:p>
              </w:tc>
              <w:tc>
                <w:tcPr>
                  <w:tcW w:w="1573" w:type="pct"/>
                  <w:tcBorders>
                    <w:tl2br w:val="nil"/>
                    <w:tr2bl w:val="nil"/>
                  </w:tcBorders>
                  <w:noWrap w:val="0"/>
                  <w:vAlign w:val="center"/>
                </w:tcPr>
                <w:p w14:paraId="1B81951D">
                  <w:pPr>
                    <w:autoSpaceDE w:val="0"/>
                    <w:autoSpaceDN w:val="0"/>
                    <w:jc w:val="both"/>
                    <w:rPr>
                      <w:rFonts w:hint="eastAsia" w:ascii="Times New Roman" w:hAnsi="Times New Roman" w:eastAsia="宋体" w:cs="Times New Roman"/>
                      <w:bCs/>
                      <w:color w:val="auto"/>
                      <w:sz w:val="22"/>
                      <w:szCs w:val="22"/>
                      <w:lang w:val="zh-CN" w:eastAsia="zh-CN"/>
                    </w:rPr>
                  </w:pPr>
                  <w:r>
                    <w:rPr>
                      <w:rFonts w:hint="eastAsia" w:ascii="Times New Roman" w:hAnsi="Times New Roman" w:eastAsia="宋体" w:cs="Times New Roman"/>
                      <w:bCs/>
                      <w:color w:val="auto"/>
                      <w:sz w:val="22"/>
                      <w:szCs w:val="22"/>
                      <w:lang w:val="en-US" w:eastAsia="zh-CN"/>
                    </w:rPr>
                    <w:t>本</w:t>
                  </w:r>
                  <w:r>
                    <w:rPr>
                      <w:rFonts w:hint="eastAsia" w:ascii="Times New Roman" w:hAnsi="Times New Roman" w:eastAsia="宋体" w:cs="Times New Roman"/>
                      <w:bCs/>
                      <w:color w:val="auto"/>
                      <w:sz w:val="22"/>
                      <w:szCs w:val="22"/>
                    </w:rPr>
                    <w:t>项目</w:t>
                  </w:r>
                  <w:r>
                    <w:rPr>
                      <w:rFonts w:hint="eastAsia" w:ascii="Times New Roman" w:hAnsi="Times New Roman" w:eastAsia="宋体" w:cs="Times New Roman"/>
                      <w:bCs/>
                      <w:color w:val="auto"/>
                      <w:sz w:val="22"/>
                      <w:szCs w:val="22"/>
                      <w:lang w:val="en-US" w:eastAsia="zh-CN"/>
                    </w:rPr>
                    <w:t>油库、</w:t>
                  </w:r>
                  <w:r>
                    <w:rPr>
                      <w:rFonts w:hint="eastAsia" w:ascii="Times New Roman" w:hAnsi="Times New Roman" w:eastAsia="宋体" w:cs="Times New Roman"/>
                      <w:snapToGrid w:val="0"/>
                      <w:color w:val="auto"/>
                      <w:kern w:val="0"/>
                      <w:sz w:val="22"/>
                      <w:szCs w:val="22"/>
                      <w:lang w:val="en-US" w:eastAsia="zh-CN"/>
                    </w:rPr>
                    <w:t>危废贮存库等</w:t>
                  </w:r>
                  <w:r>
                    <w:rPr>
                      <w:rFonts w:hint="eastAsia" w:ascii="Times New Roman" w:hAnsi="Times New Roman" w:eastAsia="宋体" w:cs="Times New Roman"/>
                      <w:bCs/>
                      <w:color w:val="auto"/>
                      <w:sz w:val="22"/>
                      <w:szCs w:val="22"/>
                    </w:rPr>
                    <w:t>均进行</w:t>
                  </w:r>
                  <w:r>
                    <w:rPr>
                      <w:rFonts w:hint="eastAsia" w:ascii="Times New Roman" w:hAnsi="Times New Roman" w:eastAsia="宋体" w:cs="Times New Roman"/>
                      <w:bCs/>
                      <w:color w:val="auto"/>
                      <w:sz w:val="22"/>
                      <w:szCs w:val="22"/>
                      <w:lang w:eastAsia="zh-CN"/>
                    </w:rPr>
                    <w:t>了</w:t>
                  </w:r>
                  <w:r>
                    <w:rPr>
                      <w:rFonts w:hint="eastAsia" w:ascii="Times New Roman" w:hAnsi="Times New Roman" w:eastAsia="宋体" w:cs="Times New Roman"/>
                      <w:bCs/>
                      <w:color w:val="auto"/>
                      <w:sz w:val="22"/>
                      <w:szCs w:val="22"/>
                    </w:rPr>
                    <w:t>防腐防渗处理</w:t>
                  </w:r>
                </w:p>
              </w:tc>
              <w:tc>
                <w:tcPr>
                  <w:tcW w:w="424" w:type="pct"/>
                  <w:tcBorders>
                    <w:tl2br w:val="nil"/>
                    <w:tr2bl w:val="nil"/>
                  </w:tcBorders>
                  <w:noWrap w:val="0"/>
                  <w:vAlign w:val="center"/>
                </w:tcPr>
                <w:p w14:paraId="227A0561">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符合</w:t>
                  </w:r>
                </w:p>
              </w:tc>
            </w:tr>
            <w:tr w14:paraId="1E5B79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3" w:type="pct"/>
                  <w:tcBorders>
                    <w:tl2br w:val="nil"/>
                    <w:tr2bl w:val="nil"/>
                  </w:tcBorders>
                  <w:noWrap w:val="0"/>
                  <w:vAlign w:val="center"/>
                </w:tcPr>
                <w:p w14:paraId="0306B97B">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环境风险防控</w:t>
                  </w:r>
                </w:p>
              </w:tc>
              <w:tc>
                <w:tcPr>
                  <w:tcW w:w="2599" w:type="pct"/>
                  <w:tcBorders>
                    <w:tl2br w:val="nil"/>
                    <w:tr2bl w:val="nil"/>
                  </w:tcBorders>
                  <w:noWrap w:val="0"/>
                  <w:vAlign w:val="center"/>
                </w:tcPr>
                <w:p w14:paraId="2C366DA4">
                  <w:pPr>
                    <w:autoSpaceDE w:val="0"/>
                    <w:autoSpaceDN w:val="0"/>
                    <w:jc w:val="both"/>
                    <w:rPr>
                      <w:rFonts w:hint="eastAsia" w:ascii="Times New Roman" w:hAnsi="Times New Roman" w:eastAsia="宋体" w:cs="Times New Roman"/>
                      <w:b/>
                      <w:bCs w:val="0"/>
                      <w:color w:val="auto"/>
                      <w:sz w:val="22"/>
                      <w:szCs w:val="22"/>
                      <w:lang w:val="en-US" w:eastAsia="zh-CN"/>
                    </w:rPr>
                  </w:pPr>
                  <w:r>
                    <w:rPr>
                      <w:rFonts w:hint="eastAsia" w:ascii="Times New Roman" w:hAnsi="Times New Roman" w:eastAsia="宋体" w:cs="Times New Roman"/>
                      <w:b/>
                      <w:bCs w:val="0"/>
                      <w:color w:val="auto"/>
                      <w:sz w:val="22"/>
                      <w:szCs w:val="22"/>
                      <w:lang w:val="en-US" w:eastAsia="zh-CN"/>
                    </w:rPr>
                    <w:t>渝环函〔2023〕439号：</w:t>
                  </w:r>
                </w:p>
                <w:p w14:paraId="7330107C">
                  <w:pPr>
                    <w:autoSpaceDE w:val="0"/>
                    <w:autoSpaceDN w:val="0"/>
                    <w:jc w:val="both"/>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规划区应建立健全环境风险防范体系，强化园区层面环境风险防范措施，原则上2023年底建成金竹沟闸坝，全面提升环境风险防范和事故应急处置能力，保障环境安全。园区管理部门应加强对企业环境风险的监督管理，相关企业应严格落实各项环境风险防范措施，防范突发性环境风险事故发生。沿长江岸线一公里范围内的规划仓储用地（A72-1/04、A90-1/04、A88/02、A87-1/03、A101/01、A99/01、A102/01、A104/01、A103/01、A105/01、F40-1/02、F41-1/01地块）后续应禁止新引入从事危险化学品存储的项目，危险化学品及危险废物的运输路线应避开紧临长江的道路</w:t>
                  </w:r>
                </w:p>
                <w:p w14:paraId="02FDC113">
                  <w:pPr>
                    <w:autoSpaceDE w:val="0"/>
                    <w:autoSpaceDN w:val="0"/>
                    <w:jc w:val="both"/>
                    <w:rPr>
                      <w:rFonts w:hint="eastAsia" w:ascii="Times New Roman" w:hAnsi="Times New Roman" w:eastAsia="宋体" w:cs="Times New Roman"/>
                      <w:b/>
                      <w:bCs w:val="0"/>
                      <w:color w:val="auto"/>
                      <w:sz w:val="22"/>
                      <w:szCs w:val="22"/>
                    </w:rPr>
                  </w:pPr>
                  <w:r>
                    <w:rPr>
                      <w:rFonts w:hint="eastAsia" w:ascii="Times New Roman" w:hAnsi="Times New Roman" w:eastAsia="宋体" w:cs="Times New Roman"/>
                      <w:b/>
                      <w:bCs w:val="0"/>
                      <w:color w:val="auto"/>
                      <w:sz w:val="22"/>
                      <w:szCs w:val="22"/>
                      <w:lang w:val="zh-CN" w:eastAsia="zh-CN"/>
                    </w:rPr>
                    <w:t>渝环函〔2025〕265号：</w:t>
                  </w:r>
                </w:p>
                <w:p w14:paraId="01EB6947">
                  <w:pPr>
                    <w:autoSpaceDE w:val="0"/>
                    <w:autoSpaceDN w:val="0"/>
                    <w:jc w:val="both"/>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调规地块入驻企业应严格落实各类环境风险防范措施，强化西彭组团环境风险防控体系建设，包括事故废水的收集、储存及处理等，提升环境风险防范和事故应急处置能力。持续推进金竹沟闸坝的建设，完善园区级环境风险防控体系</w:t>
                  </w:r>
                  <w:r>
                    <w:rPr>
                      <w:rFonts w:hint="eastAsia" w:ascii="Times New Roman" w:hAnsi="Times New Roman" w:eastAsia="宋体" w:cs="Times New Roman"/>
                      <w:bCs/>
                      <w:color w:val="auto"/>
                      <w:sz w:val="22"/>
                      <w:szCs w:val="22"/>
                      <w:lang w:eastAsia="zh-CN"/>
                    </w:rPr>
                    <w:t>；</w:t>
                  </w:r>
                  <w:r>
                    <w:rPr>
                      <w:rFonts w:hint="eastAsia" w:ascii="Times New Roman" w:hAnsi="Times New Roman" w:eastAsia="宋体" w:cs="Times New Roman"/>
                      <w:bCs/>
                      <w:color w:val="auto"/>
                      <w:sz w:val="22"/>
                      <w:szCs w:val="22"/>
                    </w:rPr>
                    <w:t>闸坝未建成前应严格采取环境风险防范措施，储备足够应急物资，开展应急演练，防止事故废水经由金竹沟排入长江</w:t>
                  </w:r>
                </w:p>
              </w:tc>
              <w:tc>
                <w:tcPr>
                  <w:tcW w:w="1573" w:type="pct"/>
                  <w:tcBorders>
                    <w:tl2br w:val="nil"/>
                    <w:tr2bl w:val="nil"/>
                  </w:tcBorders>
                  <w:noWrap w:val="0"/>
                  <w:vAlign w:val="center"/>
                </w:tcPr>
                <w:p w14:paraId="26F23BC3">
                  <w:pPr>
                    <w:autoSpaceDE w:val="0"/>
                    <w:autoSpaceDN w:val="0"/>
                    <w:jc w:val="both"/>
                    <w:rPr>
                      <w:rFonts w:hint="default" w:ascii="Times New Roman" w:hAnsi="Times New Roman" w:eastAsia="宋体" w:cs="Times New Roman"/>
                      <w:bCs/>
                      <w:color w:val="auto"/>
                      <w:sz w:val="22"/>
                      <w:szCs w:val="22"/>
                      <w:lang w:val="en-US"/>
                    </w:rPr>
                  </w:pPr>
                  <w:r>
                    <w:rPr>
                      <w:rFonts w:hint="eastAsia" w:ascii="Times New Roman" w:hAnsi="Times New Roman" w:eastAsia="宋体" w:cs="Times New Roman"/>
                      <w:bCs/>
                      <w:color w:val="auto"/>
                      <w:sz w:val="22"/>
                      <w:szCs w:val="22"/>
                      <w:lang w:val="en-US" w:eastAsia="zh-CN"/>
                    </w:rPr>
                    <w:t>本项目不属于沿江1km范围的规划仓储用地，企业已设有完善的环境风险防范体系</w:t>
                  </w:r>
                </w:p>
              </w:tc>
              <w:tc>
                <w:tcPr>
                  <w:tcW w:w="424" w:type="pct"/>
                  <w:tcBorders>
                    <w:tl2br w:val="nil"/>
                    <w:tr2bl w:val="nil"/>
                  </w:tcBorders>
                  <w:noWrap w:val="0"/>
                  <w:vAlign w:val="center"/>
                </w:tcPr>
                <w:p w14:paraId="5A4973CB">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符合</w:t>
                  </w:r>
                </w:p>
              </w:tc>
            </w:tr>
            <w:tr w14:paraId="62A899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03" w:type="pct"/>
                  <w:tcBorders>
                    <w:tl2br w:val="nil"/>
                    <w:tr2bl w:val="nil"/>
                  </w:tcBorders>
                  <w:noWrap w:val="0"/>
                  <w:vAlign w:val="center"/>
                </w:tcPr>
                <w:p w14:paraId="7920FC0C">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规范环境管理</w:t>
                  </w:r>
                </w:p>
              </w:tc>
              <w:tc>
                <w:tcPr>
                  <w:tcW w:w="2599" w:type="pct"/>
                  <w:tcBorders>
                    <w:tl2br w:val="nil"/>
                    <w:tr2bl w:val="nil"/>
                  </w:tcBorders>
                  <w:noWrap w:val="0"/>
                  <w:vAlign w:val="center"/>
                </w:tcPr>
                <w:p w14:paraId="7FB1B765">
                  <w:pPr>
                    <w:autoSpaceDE w:val="0"/>
                    <w:autoSpaceDN w:val="0"/>
                    <w:jc w:val="left"/>
                    <w:rPr>
                      <w:rFonts w:hint="eastAsia" w:ascii="Times New Roman" w:hAnsi="Times New Roman" w:eastAsia="宋体" w:cs="Times New Roman"/>
                      <w:b/>
                      <w:bCs w:val="0"/>
                      <w:color w:val="auto"/>
                      <w:sz w:val="22"/>
                      <w:szCs w:val="22"/>
                    </w:rPr>
                  </w:pPr>
                  <w:r>
                    <w:rPr>
                      <w:rFonts w:hint="eastAsia" w:ascii="Times New Roman" w:hAnsi="Times New Roman" w:eastAsia="宋体" w:cs="Times New Roman"/>
                      <w:b/>
                      <w:bCs w:val="0"/>
                      <w:color w:val="auto"/>
                      <w:sz w:val="22"/>
                      <w:szCs w:val="22"/>
                      <w:lang w:val="en-US" w:eastAsia="zh-CN"/>
                    </w:rPr>
                    <w:t>渝环函〔2023〕439号：</w:t>
                  </w:r>
                </w:p>
                <w:p w14:paraId="7A2641F6">
                  <w:pPr>
                    <w:autoSpaceDE w:val="0"/>
                    <w:autoSpaceDN w:val="0"/>
                    <w:jc w:val="left"/>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加强日常环境监管，执行建设项目环境影响评价和固定污染源排污许可制度。规划区应建立环境空气、地表水、地下水、土壤等环境要素的监控体系，落实环境跟踪监测计划，适时开展环境影响跟踪评价</w:t>
                  </w:r>
                </w:p>
              </w:tc>
              <w:tc>
                <w:tcPr>
                  <w:tcW w:w="1573" w:type="pct"/>
                  <w:tcBorders>
                    <w:tl2br w:val="nil"/>
                    <w:tr2bl w:val="nil"/>
                  </w:tcBorders>
                  <w:noWrap w:val="0"/>
                  <w:vAlign w:val="center"/>
                </w:tcPr>
                <w:p w14:paraId="0C057AF5">
                  <w:pPr>
                    <w:autoSpaceDE w:val="0"/>
                    <w:autoSpaceDN w:val="0"/>
                    <w:jc w:val="left"/>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lang w:val="en-US" w:eastAsia="zh-CN"/>
                    </w:rPr>
                    <w:t>本</w:t>
                  </w:r>
                  <w:r>
                    <w:rPr>
                      <w:rFonts w:hint="eastAsia" w:ascii="Times New Roman" w:hAnsi="Times New Roman" w:eastAsia="宋体" w:cs="Times New Roman"/>
                      <w:bCs/>
                      <w:color w:val="auto"/>
                      <w:sz w:val="22"/>
                      <w:szCs w:val="22"/>
                    </w:rPr>
                    <w:t>项目按照要求对污染物进行定期监测</w:t>
                  </w:r>
                </w:p>
              </w:tc>
              <w:tc>
                <w:tcPr>
                  <w:tcW w:w="424" w:type="pct"/>
                  <w:tcBorders>
                    <w:tl2br w:val="nil"/>
                    <w:tr2bl w:val="nil"/>
                  </w:tcBorders>
                  <w:noWrap w:val="0"/>
                  <w:vAlign w:val="center"/>
                </w:tcPr>
                <w:p w14:paraId="364E7E01">
                  <w:pPr>
                    <w:autoSpaceDE w:val="0"/>
                    <w:autoSpaceDN w:val="0"/>
                    <w:jc w:val="center"/>
                    <w:rPr>
                      <w:rFonts w:hint="eastAsia" w:ascii="Times New Roman" w:hAnsi="Times New Roman" w:eastAsia="宋体" w:cs="Times New Roman"/>
                      <w:bCs/>
                      <w:color w:val="auto"/>
                      <w:sz w:val="22"/>
                      <w:szCs w:val="22"/>
                    </w:rPr>
                  </w:pPr>
                  <w:r>
                    <w:rPr>
                      <w:rFonts w:hint="eastAsia" w:ascii="Times New Roman" w:hAnsi="Times New Roman" w:eastAsia="宋体" w:cs="Times New Roman"/>
                      <w:bCs/>
                      <w:color w:val="auto"/>
                      <w:sz w:val="22"/>
                      <w:szCs w:val="22"/>
                    </w:rPr>
                    <w:t>符合</w:t>
                  </w:r>
                </w:p>
              </w:tc>
            </w:tr>
          </w:tbl>
          <w:p w14:paraId="20BE521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p>
          <w:p w14:paraId="355A1C6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sz w:val="26"/>
                <w:szCs w:val="26"/>
                <w:lang w:val="en-US" w:eastAsia="zh-CN"/>
              </w:rPr>
              <w:t>综上分析，本项目符合园区规划环评、补充规划环评及审查意见的函的要求。</w:t>
            </w:r>
          </w:p>
        </w:tc>
      </w:tr>
      <w:tr w14:paraId="45F8AC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659" w:type="dxa"/>
            <w:tcBorders>
              <w:tl2br w:val="nil"/>
              <w:tr2bl w:val="nil"/>
            </w:tcBorders>
            <w:noWrap w:val="0"/>
            <w:vAlign w:val="center"/>
          </w:tcPr>
          <w:p w14:paraId="0DCA896E">
            <w:pPr>
              <w:autoSpaceDE w:val="0"/>
              <w:autoSpaceDN w:val="0"/>
              <w:adjustRightInd w:val="0"/>
              <w:snapToGrid w:val="0"/>
              <w:jc w:val="center"/>
              <w:rPr>
                <w:rFonts w:hint="default" w:ascii="Times New Roman" w:hAnsi="Times New Roman" w:cs="Times New Roman"/>
                <w:color w:val="auto"/>
                <w:kern w:val="0"/>
                <w:sz w:val="26"/>
                <w:szCs w:val="26"/>
                <w:lang w:val="en-US" w:eastAsia="zh-CN" w:bidi="ar-SA"/>
              </w:rPr>
            </w:pPr>
            <w:r>
              <w:rPr>
                <w:rFonts w:hint="default" w:ascii="Times New Roman" w:hAnsi="Times New Roman" w:cs="Times New Roman"/>
                <w:color w:val="auto"/>
                <w:kern w:val="0"/>
                <w:sz w:val="26"/>
                <w:szCs w:val="26"/>
              </w:rPr>
              <w:t>其他符合性分析</w:t>
            </w:r>
          </w:p>
        </w:tc>
        <w:tc>
          <w:tcPr>
            <w:tcW w:w="8211" w:type="dxa"/>
            <w:gridSpan w:val="4"/>
            <w:tcBorders>
              <w:tl2br w:val="nil"/>
              <w:tr2bl w:val="nil"/>
            </w:tcBorders>
            <w:noWrap w:val="0"/>
            <w:vAlign w:val="center"/>
          </w:tcPr>
          <w:p w14:paraId="478D57CA">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1.3</w:t>
            </w:r>
            <w:r>
              <w:rPr>
                <w:rFonts w:hint="default" w:ascii="Times New Roman" w:hAnsi="Times New Roman" w:eastAsia="宋体" w:cs="Times New Roman"/>
                <w:b/>
                <w:bCs/>
                <w:color w:val="auto"/>
                <w:sz w:val="26"/>
                <w:szCs w:val="26"/>
                <w:lang w:val="en-US" w:eastAsia="zh-CN"/>
              </w:rPr>
              <w:t>产业政策符合性分析</w:t>
            </w:r>
          </w:p>
          <w:p w14:paraId="261CB915">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1.3.1</w:t>
            </w:r>
            <w:r>
              <w:rPr>
                <w:rFonts w:hint="default" w:ascii="Times New Roman" w:hAnsi="Times New Roman" w:eastAsia="宋体" w:cs="Times New Roman"/>
                <w:b/>
                <w:bCs/>
                <w:color w:val="auto"/>
                <w:sz w:val="26"/>
                <w:szCs w:val="26"/>
                <w:lang w:val="en-US" w:eastAsia="zh-CN"/>
              </w:rPr>
              <w:t>与《产业结构调整指导目录》符合性分析</w:t>
            </w:r>
          </w:p>
          <w:p w14:paraId="7183E30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根据《产业结构调整指导目录</w:t>
            </w:r>
            <w:r>
              <w:rPr>
                <w:rFonts w:hint="eastAsia" w:ascii="Times New Roman" w:hAnsi="Times New Roman" w:eastAsia="宋体" w:cs="Times New Roman"/>
                <w:color w:val="auto"/>
                <w:sz w:val="26"/>
                <w:szCs w:val="26"/>
                <w:lang w:val="en-US" w:eastAsia="zh-CN"/>
              </w:rPr>
              <w:t>（2024年本）</w:t>
            </w:r>
            <w:r>
              <w:rPr>
                <w:rFonts w:hint="default" w:ascii="Times New Roman" w:hAnsi="Times New Roman" w:eastAsia="宋体" w:cs="Times New Roman"/>
                <w:color w:val="auto"/>
                <w:sz w:val="26"/>
                <w:szCs w:val="26"/>
                <w:lang w:val="en-US" w:eastAsia="zh-CN"/>
              </w:rPr>
              <w:t>》，</w:t>
            </w:r>
            <w:r>
              <w:rPr>
                <w:rFonts w:hint="eastAsia" w:ascii="Times New Roman" w:hAnsi="Times New Roman" w:eastAsia="宋体" w:cs="Times New Roman"/>
                <w:color w:val="auto"/>
                <w:sz w:val="26"/>
                <w:szCs w:val="26"/>
                <w:lang w:val="en-US" w:eastAsia="zh-CN"/>
              </w:rPr>
              <w:t>本项目属于</w:t>
            </w:r>
            <w:r>
              <w:rPr>
                <w:rFonts w:hint="default" w:ascii="Times New Roman" w:hAnsi="Times New Roman" w:eastAsia="宋体" w:cs="Times New Roman"/>
                <w:color w:val="auto"/>
                <w:sz w:val="26"/>
                <w:szCs w:val="26"/>
                <w:lang w:val="en-US" w:eastAsia="zh-CN"/>
              </w:rPr>
              <w:t xml:space="preserve">C3240 </w:t>
            </w:r>
            <w:r>
              <w:rPr>
                <w:rFonts w:hint="eastAsia" w:ascii="Times New Roman" w:hAnsi="Times New Roman" w:eastAsia="宋体" w:cs="Times New Roman"/>
                <w:color w:val="auto"/>
                <w:sz w:val="26"/>
                <w:szCs w:val="26"/>
                <w:lang w:val="en-US" w:eastAsia="zh-CN"/>
              </w:rPr>
              <w:t xml:space="preserve">有色金属合金制造及铸造行业，产品为铝合金圆铸棒，使用主要原料为纯铝液、单质金属等，本项目不属于其中的淘汰类和限制类项目，为允许类，符合国家产业政策。 </w:t>
            </w:r>
          </w:p>
          <w:p w14:paraId="3B34D80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目前本项目已取得重庆市九龙坡区发展和改革委员会备案，备案 编码为</w:t>
            </w:r>
            <w:r>
              <w:rPr>
                <w:rFonts w:hint="default" w:ascii="Times New Roman" w:hAnsi="Times New Roman" w:eastAsia="宋体" w:cs="Times New Roman"/>
                <w:color w:val="auto"/>
                <w:sz w:val="26"/>
                <w:szCs w:val="26"/>
                <w:lang w:val="en-US" w:eastAsia="zh-CN"/>
              </w:rPr>
              <w:t>“</w:t>
            </w:r>
            <w:r>
              <w:rPr>
                <w:rFonts w:hint="eastAsia" w:ascii="Times New Roman" w:hAnsi="Times New Roman" w:eastAsia="宋体" w:cs="Times New Roman"/>
                <w:color w:val="auto"/>
                <w:sz w:val="26"/>
                <w:szCs w:val="26"/>
                <w:lang w:val="en-US" w:eastAsia="zh-CN"/>
              </w:rPr>
              <w:t>2603</w:t>
            </w:r>
            <w:r>
              <w:rPr>
                <w:rFonts w:hint="eastAsia" w:ascii="Times New Roman" w:hAnsi="Times New Roman" w:eastAsia="宋体" w:cs="Times New Roman"/>
                <w:color w:val="auto"/>
                <w:sz w:val="26"/>
                <w:szCs w:val="26"/>
                <w:lang w:eastAsia="zh-CN"/>
              </w:rPr>
              <w:t>-500107-</w:t>
            </w:r>
            <w:r>
              <w:rPr>
                <w:rFonts w:hint="eastAsia" w:ascii="Times New Roman" w:hAnsi="Times New Roman" w:eastAsia="宋体" w:cs="Times New Roman"/>
                <w:color w:val="auto"/>
                <w:sz w:val="26"/>
                <w:szCs w:val="26"/>
                <w:lang w:val="en-US" w:eastAsia="zh-CN"/>
              </w:rPr>
              <w:t>04</w:t>
            </w:r>
            <w:r>
              <w:rPr>
                <w:rFonts w:hint="eastAsia" w:ascii="Times New Roman" w:hAnsi="Times New Roman" w:eastAsia="宋体" w:cs="Times New Roman"/>
                <w:color w:val="auto"/>
                <w:sz w:val="26"/>
                <w:szCs w:val="26"/>
                <w:lang w:eastAsia="zh-CN"/>
              </w:rPr>
              <w:t>-0</w:t>
            </w:r>
            <w:r>
              <w:rPr>
                <w:rFonts w:hint="eastAsia" w:ascii="Times New Roman" w:hAnsi="Times New Roman" w:eastAsia="宋体" w:cs="Times New Roman"/>
                <w:color w:val="auto"/>
                <w:sz w:val="26"/>
                <w:szCs w:val="26"/>
                <w:lang w:val="en-US" w:eastAsia="zh-CN"/>
              </w:rPr>
              <w:t>5</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333627</w:t>
            </w:r>
            <w:r>
              <w:rPr>
                <w:rFonts w:hint="default" w:ascii="Times New Roman" w:hAnsi="Times New Roman" w:eastAsia="宋体" w:cs="Times New Roman"/>
                <w:color w:val="auto"/>
                <w:sz w:val="26"/>
                <w:szCs w:val="26"/>
                <w:lang w:val="en-US" w:eastAsia="zh-CN"/>
              </w:rPr>
              <w:t>”</w:t>
            </w:r>
            <w:r>
              <w:rPr>
                <w:rFonts w:hint="eastAsia" w:ascii="Times New Roman" w:hAnsi="Times New Roman" w:eastAsia="宋体" w:cs="Times New Roman"/>
                <w:color w:val="auto"/>
                <w:sz w:val="26"/>
                <w:szCs w:val="26"/>
                <w:lang w:val="en-US" w:eastAsia="zh-CN"/>
              </w:rPr>
              <w:t xml:space="preserve">。 </w:t>
            </w:r>
          </w:p>
          <w:p w14:paraId="2B23E48F">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宋体" w:cs="Times New Roman"/>
                <w:color w:val="auto"/>
                <w:sz w:val="26"/>
                <w:szCs w:val="26"/>
                <w:lang w:val="en-US" w:eastAsia="zh-CN"/>
              </w:rPr>
            </w:pPr>
            <w:r>
              <w:rPr>
                <w:rFonts w:hint="default" w:ascii="Times New Roman" w:hAnsi="Times New Roman" w:eastAsia="宋体" w:cs="Times New Roman"/>
                <w:b/>
                <w:bCs/>
                <w:color w:val="auto"/>
                <w:sz w:val="26"/>
                <w:szCs w:val="26"/>
                <w:lang w:val="en-US" w:eastAsia="zh-CN"/>
              </w:rPr>
              <w:t>1.</w:t>
            </w:r>
            <w:r>
              <w:rPr>
                <w:rFonts w:hint="eastAsia" w:ascii="Times New Roman" w:hAnsi="Times New Roman" w:eastAsia="宋体" w:cs="Times New Roman"/>
                <w:b/>
                <w:bCs/>
                <w:color w:val="auto"/>
                <w:sz w:val="26"/>
                <w:szCs w:val="26"/>
                <w:lang w:val="en-US" w:eastAsia="zh-CN"/>
              </w:rPr>
              <w:t>3.2与《铝行业规范条件》（工信部〔</w:t>
            </w:r>
            <w:r>
              <w:rPr>
                <w:rFonts w:hint="default" w:ascii="Times New Roman" w:hAnsi="Times New Roman" w:eastAsia="宋体" w:cs="Times New Roman"/>
                <w:b/>
                <w:bCs/>
                <w:color w:val="auto"/>
                <w:sz w:val="26"/>
                <w:szCs w:val="26"/>
                <w:lang w:val="en-US" w:eastAsia="zh-CN"/>
              </w:rPr>
              <w:t>2020</w:t>
            </w:r>
            <w:r>
              <w:rPr>
                <w:rFonts w:hint="eastAsia" w:ascii="Times New Roman" w:hAnsi="Times New Roman" w:eastAsia="宋体" w:cs="Times New Roman"/>
                <w:b/>
                <w:bCs/>
                <w:color w:val="auto"/>
                <w:sz w:val="26"/>
                <w:szCs w:val="26"/>
                <w:lang w:val="en-US" w:eastAsia="zh-CN"/>
              </w:rPr>
              <w:t>〕</w:t>
            </w:r>
            <w:r>
              <w:rPr>
                <w:rFonts w:hint="default" w:ascii="Times New Roman" w:hAnsi="Times New Roman" w:eastAsia="宋体" w:cs="Times New Roman"/>
                <w:b/>
                <w:bCs/>
                <w:color w:val="auto"/>
                <w:sz w:val="26"/>
                <w:szCs w:val="26"/>
                <w:lang w:val="en-US" w:eastAsia="zh-CN"/>
              </w:rPr>
              <w:t>6</w:t>
            </w:r>
            <w:r>
              <w:rPr>
                <w:rFonts w:hint="eastAsia" w:ascii="Times New Roman" w:hAnsi="Times New Roman" w:eastAsia="宋体" w:cs="Times New Roman"/>
                <w:b/>
                <w:bCs/>
                <w:color w:val="auto"/>
                <w:sz w:val="26"/>
                <w:szCs w:val="26"/>
                <w:lang w:val="en-US" w:eastAsia="zh-CN"/>
              </w:rPr>
              <w:t xml:space="preserve">号）符合性分析 </w:t>
            </w:r>
          </w:p>
          <w:p w14:paraId="4A588DB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根据《铝行业规范条件》（工信部</w:t>
            </w:r>
            <w:r>
              <w:rPr>
                <w:rFonts w:hint="eastAsia" w:ascii="Times New Roman" w:hAnsi="Times New Roman" w:eastAsia="宋体" w:cs="Times New Roman"/>
                <w:b/>
                <w:bCs/>
                <w:color w:val="auto"/>
                <w:sz w:val="26"/>
                <w:szCs w:val="26"/>
                <w:lang w:val="en-US" w:eastAsia="zh-CN"/>
              </w:rPr>
              <w:t>〔</w:t>
            </w:r>
            <w:r>
              <w:rPr>
                <w:rFonts w:hint="default" w:ascii="Times New Roman" w:hAnsi="Times New Roman" w:eastAsia="宋体" w:cs="Times New Roman"/>
                <w:color w:val="auto"/>
                <w:sz w:val="26"/>
                <w:szCs w:val="26"/>
                <w:lang w:val="en-US" w:eastAsia="zh-CN"/>
              </w:rPr>
              <w:t>2020</w:t>
            </w:r>
            <w:r>
              <w:rPr>
                <w:rFonts w:hint="eastAsia" w:ascii="Times New Roman" w:hAnsi="Times New Roman" w:eastAsia="宋体" w:cs="Times New Roman"/>
                <w:b/>
                <w:bCs/>
                <w:color w:val="auto"/>
                <w:sz w:val="26"/>
                <w:szCs w:val="26"/>
                <w:lang w:val="en-US" w:eastAsia="zh-CN"/>
              </w:rPr>
              <w:t>〕</w:t>
            </w:r>
            <w:r>
              <w:rPr>
                <w:rFonts w:hint="default" w:ascii="Times New Roman" w:hAnsi="Times New Roman" w:eastAsia="宋体" w:cs="Times New Roman"/>
                <w:color w:val="auto"/>
                <w:sz w:val="26"/>
                <w:szCs w:val="26"/>
                <w:lang w:val="en-US" w:eastAsia="zh-CN"/>
              </w:rPr>
              <w:t>6</w:t>
            </w:r>
            <w:r>
              <w:rPr>
                <w:rFonts w:hint="eastAsia" w:ascii="Times New Roman" w:hAnsi="Times New Roman" w:eastAsia="宋体" w:cs="Times New Roman"/>
                <w:color w:val="auto"/>
                <w:sz w:val="26"/>
                <w:szCs w:val="26"/>
                <w:lang w:val="en-US" w:eastAsia="zh-CN"/>
              </w:rPr>
              <w:t>号），规范条件适用范围包括铝土矿开采、氧化铝、电解铝和再生铝项目，对铝合金制造未做出限制，因此本项目建设不违背《铝行业规范条件》。</w:t>
            </w:r>
          </w:p>
          <w:p w14:paraId="266B3273">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1.3.3</w:t>
            </w:r>
            <w:r>
              <w:rPr>
                <w:rFonts w:hint="default" w:ascii="Times New Roman" w:hAnsi="Times New Roman" w:eastAsia="宋体" w:cs="Times New Roman"/>
                <w:b/>
                <w:bCs/>
                <w:color w:val="auto"/>
                <w:sz w:val="26"/>
                <w:szCs w:val="26"/>
                <w:lang w:val="en-US" w:eastAsia="zh-CN"/>
              </w:rPr>
              <w:t>与《铸造企业规范条件》(T/CFA0310021-20</w:t>
            </w:r>
            <w:r>
              <w:rPr>
                <w:rFonts w:hint="eastAsia" w:ascii="Times New Roman" w:hAnsi="Times New Roman" w:eastAsia="宋体" w:cs="Times New Roman"/>
                <w:b/>
                <w:bCs/>
                <w:color w:val="auto"/>
                <w:sz w:val="26"/>
                <w:szCs w:val="26"/>
                <w:lang w:val="en-US" w:eastAsia="zh-CN"/>
              </w:rPr>
              <w:t>23</w:t>
            </w:r>
            <w:r>
              <w:rPr>
                <w:rFonts w:hint="default" w:ascii="Times New Roman" w:hAnsi="Times New Roman" w:eastAsia="宋体" w:cs="Times New Roman"/>
                <w:b/>
                <w:bCs/>
                <w:color w:val="auto"/>
                <w:sz w:val="26"/>
                <w:szCs w:val="26"/>
                <w:lang w:val="en-US" w:eastAsia="zh-CN"/>
              </w:rPr>
              <w:t>)</w:t>
            </w:r>
            <w:r>
              <w:rPr>
                <w:rFonts w:hint="eastAsia" w:ascii="Times New Roman" w:hAnsi="Times New Roman" w:eastAsia="宋体" w:cs="Times New Roman"/>
                <w:b/>
                <w:bCs/>
                <w:color w:val="auto"/>
                <w:sz w:val="26"/>
                <w:szCs w:val="26"/>
                <w:lang w:val="en-US" w:eastAsia="zh-CN"/>
              </w:rPr>
              <w:t xml:space="preserve">符合性分析 </w:t>
            </w:r>
          </w:p>
          <w:p w14:paraId="7447350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本项目与</w:t>
            </w:r>
            <w:r>
              <w:rPr>
                <w:rFonts w:hint="default" w:ascii="Times New Roman" w:hAnsi="Times New Roman" w:eastAsia="宋体" w:cs="Times New Roman"/>
                <w:color w:val="auto"/>
                <w:sz w:val="26"/>
                <w:szCs w:val="26"/>
                <w:lang w:val="en-US" w:eastAsia="zh-CN"/>
              </w:rPr>
              <w:t>《铸造企业规范条件》(T/CFA0310021-20</w:t>
            </w:r>
            <w:r>
              <w:rPr>
                <w:rFonts w:hint="eastAsia" w:ascii="Times New Roman" w:hAnsi="Times New Roman" w:eastAsia="宋体" w:cs="Times New Roman"/>
                <w:color w:val="auto"/>
                <w:sz w:val="26"/>
                <w:szCs w:val="26"/>
                <w:lang w:val="en-US" w:eastAsia="zh-CN"/>
              </w:rPr>
              <w:t>23</w:t>
            </w:r>
            <w:r>
              <w:rPr>
                <w:rFonts w:hint="default" w:ascii="Times New Roman" w:hAnsi="Times New Roman" w:eastAsia="宋体" w:cs="Times New Roman"/>
                <w:color w:val="auto"/>
                <w:sz w:val="26"/>
                <w:szCs w:val="26"/>
                <w:lang w:val="en-US" w:eastAsia="zh-CN"/>
              </w:rPr>
              <w:t>)</w:t>
            </w:r>
            <w:r>
              <w:rPr>
                <w:rFonts w:hint="eastAsia" w:ascii="Times New Roman" w:hAnsi="Times New Roman" w:eastAsia="宋体" w:cs="Times New Roman"/>
                <w:color w:val="auto"/>
                <w:sz w:val="26"/>
                <w:szCs w:val="26"/>
                <w:lang w:val="en-US" w:eastAsia="zh-CN"/>
              </w:rPr>
              <w:t>符合性分析见下表。</w:t>
            </w:r>
          </w:p>
          <w:p w14:paraId="05A9B7D8">
            <w:pPr>
              <w:autoSpaceDE w:val="0"/>
              <w:autoSpaceDN w:val="0"/>
              <w:adjustRightInd w:val="0"/>
              <w:snapToGrid w:val="0"/>
              <w:spacing w:line="460" w:lineRule="exact"/>
              <w:jc w:val="center"/>
              <w:rPr>
                <w:rFonts w:hint="eastAsia" w:ascii="Times New Roman" w:hAnsi="Times New Roman" w:eastAsia="宋体" w:cs="Times New Roman"/>
                <w:b/>
                <w:bCs/>
                <w:color w:val="auto"/>
                <w:kern w:val="0"/>
                <w:sz w:val="26"/>
                <w:szCs w:val="26"/>
                <w:lang w:val="zh-CN" w:eastAsia="zh-CN"/>
              </w:rPr>
            </w:pPr>
            <w:r>
              <w:rPr>
                <w:rFonts w:hint="eastAsia" w:ascii="Times New Roman" w:hAnsi="Times New Roman" w:eastAsia="宋体" w:cs="Times New Roman"/>
                <w:b/>
                <w:bCs/>
                <w:color w:val="auto"/>
                <w:kern w:val="0"/>
                <w:sz w:val="26"/>
                <w:szCs w:val="26"/>
                <w:lang w:val="zh-CN" w:eastAsia="zh-CN"/>
              </w:rPr>
              <w:t>表1</w:t>
            </w:r>
            <w:r>
              <w:rPr>
                <w:rFonts w:hint="eastAsia" w:ascii="Times New Roman" w:hAnsi="Times New Roman" w:eastAsia="宋体" w:cs="Times New Roman"/>
                <w:b/>
                <w:bCs/>
                <w:color w:val="auto"/>
                <w:kern w:val="0"/>
                <w:sz w:val="26"/>
                <w:szCs w:val="26"/>
                <w:lang w:val="en-US" w:eastAsia="zh-CN"/>
              </w:rPr>
              <w:t>.3-1</w:t>
            </w:r>
            <w:r>
              <w:rPr>
                <w:rFonts w:hint="eastAsia" w:ascii="Times New Roman" w:hAnsi="Times New Roman" w:eastAsia="宋体" w:cs="Times New Roman"/>
                <w:b/>
                <w:bCs/>
                <w:color w:val="auto"/>
                <w:kern w:val="0"/>
                <w:sz w:val="26"/>
                <w:szCs w:val="26"/>
                <w:lang w:val="zh-CN" w:eastAsia="zh-CN"/>
              </w:rPr>
              <w:t xml:space="preserve">  </w:t>
            </w:r>
            <w:r>
              <w:rPr>
                <w:rFonts w:hint="eastAsia" w:ascii="Times New Roman" w:hAnsi="Times New Roman" w:eastAsia="宋体" w:cs="Times New Roman"/>
                <w:b/>
                <w:bCs/>
                <w:color w:val="auto"/>
                <w:kern w:val="0"/>
                <w:sz w:val="26"/>
                <w:szCs w:val="26"/>
                <w:lang w:val="en-US" w:eastAsia="zh-CN"/>
              </w:rPr>
              <w:t>本</w:t>
            </w:r>
            <w:r>
              <w:rPr>
                <w:rFonts w:hint="eastAsia" w:ascii="Times New Roman" w:hAnsi="Times New Roman" w:eastAsia="宋体" w:cs="Times New Roman"/>
                <w:b/>
                <w:bCs/>
                <w:color w:val="auto"/>
                <w:kern w:val="0"/>
                <w:sz w:val="26"/>
                <w:szCs w:val="26"/>
                <w:lang w:val="zh-CN" w:eastAsia="zh-CN"/>
              </w:rPr>
              <w:t>项目与</w:t>
            </w:r>
            <w:r>
              <w:rPr>
                <w:rFonts w:hint="eastAsia" w:ascii="Times New Roman" w:hAnsi="Times New Roman" w:eastAsia="宋体" w:cs="Times New Roman"/>
                <w:b/>
                <w:bCs/>
                <w:color w:val="auto"/>
                <w:kern w:val="0"/>
                <w:sz w:val="26"/>
                <w:szCs w:val="26"/>
                <w:lang w:val="en-US" w:eastAsia="zh-CN"/>
              </w:rPr>
              <w:t>铸造企业规范</w:t>
            </w:r>
            <w:r>
              <w:rPr>
                <w:rFonts w:hint="eastAsia" w:ascii="Times New Roman" w:hAnsi="Times New Roman" w:eastAsia="宋体" w:cs="Times New Roman"/>
                <w:b/>
                <w:bCs/>
                <w:color w:val="auto"/>
                <w:kern w:val="0"/>
                <w:sz w:val="26"/>
                <w:szCs w:val="26"/>
                <w:lang w:val="zh-CN" w:eastAsia="zh-CN"/>
              </w:rPr>
              <w:t>符合性分析</w:t>
            </w:r>
          </w:p>
          <w:tbl>
            <w:tblPr>
              <w:tblStyle w:val="26"/>
              <w:tblW w:w="5000"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6"/>
              <w:gridCol w:w="443"/>
              <w:gridCol w:w="4038"/>
              <w:gridCol w:w="2350"/>
              <w:gridCol w:w="658"/>
            </w:tblGrid>
            <w:tr w14:paraId="171ED5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6" w:type="dxa"/>
                  <w:tcBorders>
                    <w:tl2br w:val="nil"/>
                    <w:tr2bl w:val="nil"/>
                  </w:tcBorders>
                  <w:noWrap w:val="0"/>
                  <w:vAlign w:val="center"/>
                </w:tcPr>
                <w:p w14:paraId="40A0AD37">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序号</w:t>
                  </w:r>
                </w:p>
              </w:tc>
              <w:tc>
                <w:tcPr>
                  <w:tcW w:w="4481" w:type="dxa"/>
                  <w:gridSpan w:val="2"/>
                  <w:tcBorders>
                    <w:tl2br w:val="nil"/>
                    <w:tr2bl w:val="nil"/>
                  </w:tcBorders>
                  <w:noWrap w:val="0"/>
                  <w:vAlign w:val="center"/>
                </w:tcPr>
                <w:p w14:paraId="53034FC5">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规范要求</w:t>
                  </w:r>
                </w:p>
              </w:tc>
              <w:tc>
                <w:tcPr>
                  <w:tcW w:w="2350" w:type="dxa"/>
                  <w:tcBorders>
                    <w:tl2br w:val="nil"/>
                    <w:tr2bl w:val="nil"/>
                  </w:tcBorders>
                  <w:noWrap w:val="0"/>
                  <w:vAlign w:val="center"/>
                </w:tcPr>
                <w:p w14:paraId="186F082B">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项目情况</w:t>
                  </w:r>
                </w:p>
              </w:tc>
              <w:tc>
                <w:tcPr>
                  <w:tcW w:w="658" w:type="dxa"/>
                  <w:tcBorders>
                    <w:tl2br w:val="nil"/>
                    <w:tr2bl w:val="nil"/>
                  </w:tcBorders>
                  <w:noWrap w:val="0"/>
                  <w:vAlign w:val="center"/>
                </w:tcPr>
                <w:p w14:paraId="7676B512">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符合性</w:t>
                  </w:r>
                </w:p>
              </w:tc>
            </w:tr>
            <w:tr w14:paraId="7CF3B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6" w:type="dxa"/>
                  <w:tcBorders>
                    <w:tl2br w:val="nil"/>
                    <w:tr2bl w:val="nil"/>
                  </w:tcBorders>
                  <w:noWrap w:val="0"/>
                  <w:vAlign w:val="center"/>
                </w:tcPr>
                <w:p w14:paraId="36DB1D76">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w:t>
                  </w:r>
                </w:p>
              </w:tc>
              <w:tc>
                <w:tcPr>
                  <w:tcW w:w="443" w:type="dxa"/>
                  <w:tcBorders>
                    <w:tl2br w:val="nil"/>
                    <w:tr2bl w:val="nil"/>
                  </w:tcBorders>
                  <w:noWrap w:val="0"/>
                  <w:vAlign w:val="center"/>
                </w:tcPr>
                <w:p w14:paraId="2E923026">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建设条件与布局</w:t>
                  </w:r>
                </w:p>
              </w:tc>
              <w:tc>
                <w:tcPr>
                  <w:tcW w:w="4038" w:type="dxa"/>
                  <w:tcBorders>
                    <w:tl2br w:val="nil"/>
                    <w:tr2bl w:val="nil"/>
                  </w:tcBorders>
                  <w:noWrap w:val="0"/>
                  <w:vAlign w:val="center"/>
                </w:tcPr>
                <w:p w14:paraId="33F47B83">
                  <w:pPr>
                    <w:autoSpaceDE w:val="0"/>
                    <w:autoSpaceDN w:val="0"/>
                    <w:jc w:val="left"/>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1、企业的布局及厂址的确定应符合国家相关法律法规、产业政策以及各地方装备制造业和铸造行业的总体规划要求。</w:t>
                  </w:r>
                </w:p>
                <w:p w14:paraId="74CA74A9">
                  <w:pPr>
                    <w:autoSpaceDE w:val="0"/>
                    <w:autoSpaceDN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2、企业生产场所应依法取得土地使用权并符合土地使用性质</w:t>
                  </w:r>
                </w:p>
              </w:tc>
              <w:tc>
                <w:tcPr>
                  <w:tcW w:w="2350" w:type="dxa"/>
                  <w:tcBorders>
                    <w:tl2br w:val="nil"/>
                    <w:tr2bl w:val="nil"/>
                  </w:tcBorders>
                  <w:noWrap w:val="0"/>
                  <w:vAlign w:val="center"/>
                </w:tcPr>
                <w:p w14:paraId="14E1F015">
                  <w:pPr>
                    <w:autoSpaceDE w:val="0"/>
                    <w:autoSpaceDN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本项目位于</w:t>
                  </w:r>
                  <w:r>
                    <w:rPr>
                      <w:rFonts w:hint="eastAsia" w:ascii="Times New Roman" w:hAnsi="Times New Roman" w:cs="Times New Roman"/>
                      <w:color w:val="auto"/>
                      <w:spacing w:val="-2"/>
                      <w:sz w:val="22"/>
                      <w:lang w:val="en-US" w:eastAsia="zh-CN"/>
                    </w:rPr>
                    <w:t>西彭工业园区，用地性质为工业用地，符合</w:t>
                  </w:r>
                  <w:r>
                    <w:rPr>
                      <w:rFonts w:hint="eastAsia" w:ascii="Times New Roman" w:hAnsi="Times New Roman" w:eastAsia="宋体" w:cs="Times New Roman"/>
                      <w:bCs/>
                      <w:color w:val="auto"/>
                      <w:sz w:val="22"/>
                      <w:szCs w:val="22"/>
                      <w:lang w:val="en-US" w:eastAsia="zh-CN"/>
                    </w:rPr>
                    <w:t>国家相关法律法规、产业政策以及园区规划要求</w:t>
                  </w:r>
                </w:p>
              </w:tc>
              <w:tc>
                <w:tcPr>
                  <w:tcW w:w="658" w:type="dxa"/>
                  <w:tcBorders>
                    <w:tl2br w:val="nil"/>
                    <w:tr2bl w:val="nil"/>
                  </w:tcBorders>
                  <w:noWrap w:val="0"/>
                  <w:vAlign w:val="center"/>
                </w:tcPr>
                <w:p w14:paraId="2A64F895">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符合</w:t>
                  </w:r>
                </w:p>
              </w:tc>
            </w:tr>
            <w:tr w14:paraId="03060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6" w:type="dxa"/>
                  <w:tcBorders>
                    <w:tl2br w:val="nil"/>
                    <w:tr2bl w:val="nil"/>
                  </w:tcBorders>
                  <w:noWrap w:val="0"/>
                  <w:vAlign w:val="center"/>
                </w:tcPr>
                <w:p w14:paraId="31E23FBC">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2</w:t>
                  </w:r>
                </w:p>
              </w:tc>
              <w:tc>
                <w:tcPr>
                  <w:tcW w:w="443" w:type="dxa"/>
                  <w:tcBorders>
                    <w:tl2br w:val="nil"/>
                    <w:tr2bl w:val="nil"/>
                  </w:tcBorders>
                  <w:noWrap w:val="0"/>
                  <w:vAlign w:val="center"/>
                </w:tcPr>
                <w:p w14:paraId="2F4B3013">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生产工艺</w:t>
                  </w:r>
                </w:p>
              </w:tc>
              <w:tc>
                <w:tcPr>
                  <w:tcW w:w="4038" w:type="dxa"/>
                  <w:tcBorders>
                    <w:tl2br w:val="nil"/>
                    <w:tr2bl w:val="nil"/>
                  </w:tcBorders>
                  <w:noWrap w:val="0"/>
                  <w:vAlign w:val="center"/>
                </w:tcPr>
                <w:p w14:paraId="04776401">
                  <w:pPr>
                    <w:autoSpaceDE w:val="0"/>
                    <w:autoSpaceDN w:val="0"/>
                    <w:jc w:val="left"/>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1、企业不应使用国家明令淘汰的生产工艺。不应采用粘土砂干型</w:t>
                  </w:r>
                  <w:r>
                    <w:rPr>
                      <w:rFonts w:hint="default" w:ascii="Times New Roman" w:hAnsi="Times New Roman" w:eastAsia="宋体" w:cs="Times New Roman"/>
                      <w:bCs/>
                      <w:color w:val="auto"/>
                      <w:sz w:val="22"/>
                      <w:szCs w:val="22"/>
                      <w:lang w:val="en-US" w:eastAsia="zh-CN"/>
                    </w:rPr>
                    <w:t>/</w:t>
                  </w:r>
                  <w:r>
                    <w:rPr>
                      <w:rFonts w:hint="eastAsia" w:ascii="Times New Roman" w:hAnsi="Times New Roman" w:eastAsia="宋体" w:cs="Times New Roman"/>
                      <w:bCs/>
                      <w:color w:val="auto"/>
                      <w:sz w:val="22"/>
                      <w:szCs w:val="22"/>
                      <w:lang w:val="en-US" w:eastAsia="zh-CN"/>
                    </w:rPr>
                    <w:t>芯、油砂制芯、七〇砂制型</w:t>
                  </w:r>
                  <w:r>
                    <w:rPr>
                      <w:rFonts w:hint="default" w:ascii="Times New Roman" w:hAnsi="Times New Roman" w:eastAsia="宋体" w:cs="Times New Roman"/>
                      <w:bCs/>
                      <w:color w:val="auto"/>
                      <w:sz w:val="22"/>
                      <w:szCs w:val="22"/>
                      <w:lang w:val="en-US" w:eastAsia="zh-CN"/>
                    </w:rPr>
                    <w:t>/</w:t>
                  </w:r>
                  <w:r>
                    <w:rPr>
                      <w:rFonts w:hint="eastAsia" w:ascii="Times New Roman" w:hAnsi="Times New Roman" w:eastAsia="宋体" w:cs="Times New Roman"/>
                      <w:bCs/>
                      <w:color w:val="auto"/>
                      <w:sz w:val="22"/>
                      <w:szCs w:val="22"/>
                      <w:lang w:val="en-US" w:eastAsia="zh-CN"/>
                    </w:rPr>
                    <w:t>芯等落后铸造工艺；粘土砂工艺批量生产铸件不应采用手工造型；水玻璃熔模精密铸造模壳硬化不应采用氯化铵硬化工艺；铝合金精炼不应采用六氯乙烷等有毒有害的精炼剂。</w:t>
                  </w:r>
                </w:p>
                <w:p w14:paraId="1DCD0F59">
                  <w:pPr>
                    <w:autoSpaceDE w:val="0"/>
                    <w:autoSpaceDN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2、新（改、扩）建粘土砂型铸造项目应采用自动化造型；新（改、扩）建熔模精密铸造项目不应采用水玻璃熔模精密铸造工艺</w:t>
                  </w:r>
                </w:p>
              </w:tc>
              <w:tc>
                <w:tcPr>
                  <w:tcW w:w="2350" w:type="dxa"/>
                  <w:tcBorders>
                    <w:tl2br w:val="nil"/>
                    <w:tr2bl w:val="nil"/>
                  </w:tcBorders>
                  <w:noWrap w:val="0"/>
                  <w:vAlign w:val="center"/>
                </w:tcPr>
                <w:p w14:paraId="1ABB4D35">
                  <w:pPr>
                    <w:autoSpaceDE w:val="0"/>
                    <w:autoSpaceDN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本项目生产工艺不属于国家淘汰工艺，不涉及制型</w:t>
                  </w:r>
                  <w:r>
                    <w:rPr>
                      <w:rFonts w:hint="default" w:ascii="Times New Roman" w:hAnsi="Times New Roman" w:eastAsia="宋体" w:cs="Times New Roman"/>
                      <w:bCs/>
                      <w:color w:val="auto"/>
                      <w:sz w:val="22"/>
                      <w:szCs w:val="22"/>
                      <w:lang w:val="en-US" w:eastAsia="zh-CN"/>
                    </w:rPr>
                    <w:t>/</w:t>
                  </w:r>
                  <w:r>
                    <w:rPr>
                      <w:rFonts w:hint="eastAsia" w:ascii="Times New Roman" w:hAnsi="Times New Roman" w:eastAsia="宋体" w:cs="Times New Roman"/>
                      <w:bCs/>
                      <w:color w:val="auto"/>
                      <w:sz w:val="22"/>
                      <w:szCs w:val="22"/>
                      <w:lang w:val="en-US" w:eastAsia="zh-CN"/>
                    </w:rPr>
                    <w:t>芯工艺；精炼剂不含六氯乙烷等有毒有害物质</w:t>
                  </w:r>
                </w:p>
              </w:tc>
              <w:tc>
                <w:tcPr>
                  <w:tcW w:w="658" w:type="dxa"/>
                  <w:tcBorders>
                    <w:tl2br w:val="nil"/>
                    <w:tr2bl w:val="nil"/>
                  </w:tcBorders>
                  <w:noWrap w:val="0"/>
                  <w:vAlign w:val="center"/>
                </w:tcPr>
                <w:p w14:paraId="4708FCCC">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符合</w:t>
                  </w:r>
                </w:p>
              </w:tc>
            </w:tr>
            <w:tr w14:paraId="03F076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6" w:type="dxa"/>
                  <w:tcBorders>
                    <w:tl2br w:val="nil"/>
                    <w:tr2bl w:val="nil"/>
                  </w:tcBorders>
                  <w:noWrap w:val="0"/>
                  <w:vAlign w:val="center"/>
                </w:tcPr>
                <w:p w14:paraId="75C0F23A">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3</w:t>
                  </w:r>
                </w:p>
              </w:tc>
              <w:tc>
                <w:tcPr>
                  <w:tcW w:w="443" w:type="dxa"/>
                  <w:tcBorders>
                    <w:tl2br w:val="nil"/>
                    <w:tr2bl w:val="nil"/>
                  </w:tcBorders>
                  <w:noWrap w:val="0"/>
                  <w:vAlign w:val="center"/>
                </w:tcPr>
                <w:p w14:paraId="24E7B905">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生产装备</w:t>
                  </w:r>
                </w:p>
              </w:tc>
              <w:tc>
                <w:tcPr>
                  <w:tcW w:w="4038" w:type="dxa"/>
                  <w:tcBorders>
                    <w:tl2br w:val="nil"/>
                    <w:tr2bl w:val="nil"/>
                  </w:tcBorders>
                  <w:noWrap w:val="0"/>
                  <w:vAlign w:val="center"/>
                </w:tcPr>
                <w:p w14:paraId="6110E8CA">
                  <w:pPr>
                    <w:autoSpaceDE w:val="0"/>
                    <w:autoSpaceDN w:val="0"/>
                    <w:jc w:val="left"/>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1、企业不应使用国家明令淘汰的生产装备。</w:t>
                  </w:r>
                </w:p>
                <w:p w14:paraId="711F79AD">
                  <w:pPr>
                    <w:autoSpaceDE w:val="0"/>
                    <w:autoSpaceDN w:val="0"/>
                    <w:jc w:val="left"/>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2、铸件生产企业采用冲天炉熔炼，其设备熔化率宜大于</w:t>
                  </w:r>
                  <w:r>
                    <w:rPr>
                      <w:rFonts w:hint="default" w:ascii="Times New Roman" w:hAnsi="Times New Roman" w:eastAsia="宋体" w:cs="Times New Roman"/>
                      <w:bCs/>
                      <w:color w:val="auto"/>
                      <w:sz w:val="22"/>
                      <w:szCs w:val="22"/>
                      <w:lang w:val="en-US" w:eastAsia="zh-CN"/>
                    </w:rPr>
                    <w:t>10</w:t>
                  </w:r>
                  <w:r>
                    <w:rPr>
                      <w:rFonts w:hint="eastAsia" w:ascii="Times New Roman" w:hAnsi="Times New Roman" w:eastAsia="宋体" w:cs="Times New Roman"/>
                      <w:bCs/>
                      <w:color w:val="auto"/>
                      <w:sz w:val="22"/>
                      <w:szCs w:val="22"/>
                      <w:lang w:val="en-US" w:eastAsia="zh-CN"/>
                    </w:rPr>
                    <w:t>吨</w:t>
                  </w:r>
                  <w:r>
                    <w:rPr>
                      <w:rFonts w:hint="default" w:ascii="Times New Roman" w:hAnsi="Times New Roman" w:eastAsia="宋体" w:cs="Times New Roman"/>
                      <w:bCs/>
                      <w:color w:val="auto"/>
                      <w:sz w:val="22"/>
                      <w:szCs w:val="22"/>
                      <w:lang w:val="en-US" w:eastAsia="zh-CN"/>
                    </w:rPr>
                    <w:t>/</w:t>
                  </w:r>
                  <w:r>
                    <w:rPr>
                      <w:rFonts w:hint="eastAsia" w:ascii="Times New Roman" w:hAnsi="Times New Roman" w:eastAsia="宋体" w:cs="Times New Roman"/>
                      <w:bCs/>
                      <w:color w:val="auto"/>
                      <w:sz w:val="22"/>
                      <w:szCs w:val="22"/>
                      <w:lang w:val="en-US" w:eastAsia="zh-CN"/>
                    </w:rPr>
                    <w:t>小时。</w:t>
                  </w:r>
                </w:p>
                <w:p w14:paraId="7156A24B">
                  <w:pPr>
                    <w:autoSpaceDE w:val="0"/>
                    <w:autoSpaceDN w:val="0"/>
                    <w:jc w:val="left"/>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 xml:space="preserve">3、企业应配备与生产能力相匹配的熔炼（化）设备…… </w:t>
                  </w:r>
                </w:p>
                <w:p w14:paraId="635BA230">
                  <w:pPr>
                    <w:autoSpaceDE w:val="0"/>
                    <w:autoSpaceDN w:val="0"/>
                    <w:jc w:val="left"/>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4、企业熔炼（化）设备炉前应配置必要的化学成分分析、金属液温度测量等检测仪器。</w:t>
                  </w:r>
                </w:p>
                <w:p w14:paraId="43FFD638">
                  <w:pPr>
                    <w:autoSpaceDE w:val="0"/>
                    <w:autoSpaceDN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5、企业应配备与产品及生产能力相匹配的造型、制芯及其它成型设备（线）……</w:t>
                  </w:r>
                </w:p>
              </w:tc>
              <w:tc>
                <w:tcPr>
                  <w:tcW w:w="2350" w:type="dxa"/>
                  <w:tcBorders>
                    <w:tl2br w:val="nil"/>
                    <w:tr2bl w:val="nil"/>
                  </w:tcBorders>
                  <w:noWrap w:val="0"/>
                  <w:vAlign w:val="center"/>
                </w:tcPr>
                <w:p w14:paraId="2B6FF91C">
                  <w:pPr>
                    <w:autoSpaceDE w:val="0"/>
                    <w:autoSpaceDN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本项目不使用国家明令淘汰的生产装备；熔炼炉与生产能力相匹配；熔炼（化）设备炉前采样分析委托西南铝集团实验室进行化学成分分析；铸造设备与生产能力相匹配</w:t>
                  </w:r>
                </w:p>
              </w:tc>
              <w:tc>
                <w:tcPr>
                  <w:tcW w:w="658" w:type="dxa"/>
                  <w:tcBorders>
                    <w:tl2br w:val="nil"/>
                    <w:tr2bl w:val="nil"/>
                  </w:tcBorders>
                  <w:noWrap w:val="0"/>
                  <w:vAlign w:val="center"/>
                </w:tcPr>
                <w:p w14:paraId="7F9FA2C1">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符合</w:t>
                  </w:r>
                </w:p>
              </w:tc>
            </w:tr>
            <w:tr w14:paraId="22E2B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6" w:type="dxa"/>
                  <w:tcBorders>
                    <w:tl2br w:val="nil"/>
                    <w:tr2bl w:val="nil"/>
                  </w:tcBorders>
                  <w:noWrap w:val="0"/>
                  <w:vAlign w:val="center"/>
                </w:tcPr>
                <w:p w14:paraId="0D89E48D">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4</w:t>
                  </w:r>
                </w:p>
              </w:tc>
              <w:tc>
                <w:tcPr>
                  <w:tcW w:w="443" w:type="dxa"/>
                  <w:tcBorders>
                    <w:tl2br w:val="nil"/>
                    <w:tr2bl w:val="nil"/>
                  </w:tcBorders>
                  <w:noWrap w:val="0"/>
                  <w:vAlign w:val="center"/>
                </w:tcPr>
                <w:p w14:paraId="52749564">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能源消耗</w:t>
                  </w:r>
                </w:p>
              </w:tc>
              <w:tc>
                <w:tcPr>
                  <w:tcW w:w="4038" w:type="dxa"/>
                  <w:tcBorders>
                    <w:tl2br w:val="nil"/>
                    <w:tr2bl w:val="nil"/>
                  </w:tcBorders>
                  <w:noWrap w:val="0"/>
                  <w:vAlign w:val="center"/>
                </w:tcPr>
                <w:p w14:paraId="50CAB32A">
                  <w:pPr>
                    <w:autoSpaceDE w:val="0"/>
                    <w:autoSpaceDN w:val="0"/>
                    <w:jc w:val="left"/>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1、新（改、扩）建铸造项目应开展节能评估和节能审查。</w:t>
                  </w:r>
                </w:p>
                <w:p w14:paraId="0D58EE46">
                  <w:pPr>
                    <w:keepNext w:val="0"/>
                    <w:keepLines w:val="0"/>
                    <w:widowControl/>
                    <w:suppressLineNumbers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 xml:space="preserve">2、燃气炉熔化铝合金能耗指标最高能耗限值110kgce//t </w:t>
                  </w:r>
                </w:p>
              </w:tc>
              <w:tc>
                <w:tcPr>
                  <w:tcW w:w="2350" w:type="dxa"/>
                  <w:tcBorders>
                    <w:tl2br w:val="nil"/>
                    <w:tr2bl w:val="nil"/>
                  </w:tcBorders>
                  <w:noWrap w:val="0"/>
                  <w:vAlign w:val="center"/>
                </w:tcPr>
                <w:p w14:paraId="06BD81B7">
                  <w:pPr>
                    <w:autoSpaceDE w:val="0"/>
                    <w:autoSpaceDN w:val="0"/>
                    <w:jc w:val="left"/>
                    <w:rPr>
                      <w:rFonts w:hint="eastAsia" w:ascii="Times New Roman" w:hAnsi="Times New Roman" w:eastAsia="宋体" w:cs="Times New Roman"/>
                      <w:bCs/>
                      <w:color w:val="auto"/>
                      <w:sz w:val="22"/>
                      <w:szCs w:val="22"/>
                      <w:highlight w:val="none"/>
                      <w:lang w:val="en-US" w:eastAsia="zh-CN"/>
                    </w:rPr>
                  </w:pPr>
                  <w:r>
                    <w:rPr>
                      <w:rFonts w:hint="eastAsia" w:ascii="Times New Roman" w:hAnsi="Times New Roman" w:eastAsia="宋体" w:cs="Times New Roman"/>
                      <w:bCs/>
                      <w:color w:val="auto"/>
                      <w:sz w:val="22"/>
                      <w:szCs w:val="22"/>
                      <w:highlight w:val="none"/>
                      <w:lang w:val="en-US" w:eastAsia="zh-CN"/>
                    </w:rPr>
                    <w:t>1、本项目正在进行节能评估和节能审查；</w:t>
                  </w:r>
                </w:p>
                <w:p w14:paraId="53E14AEF">
                  <w:pPr>
                    <w:keepNext w:val="0"/>
                    <w:keepLines w:val="0"/>
                    <w:pageBreakBefore w:val="0"/>
                    <w:widowControl w:val="0"/>
                    <w:kinsoku/>
                    <w:wordWrap w:val="0"/>
                    <w:overflowPunct/>
                    <w:topLinePunct w:val="0"/>
                    <w:autoSpaceDE w:val="0"/>
                    <w:autoSpaceDN w:val="0"/>
                    <w:bidi w:val="0"/>
                    <w:adjustRightInd/>
                    <w:snapToGrid/>
                    <w:jc w:val="left"/>
                    <w:textAlignment w:val="auto"/>
                    <w:rPr>
                      <w:rFonts w:hint="default" w:ascii="Times New Roman" w:hAnsi="Times New Roman" w:eastAsia="宋体" w:cs="Times New Roman"/>
                      <w:bCs/>
                      <w:color w:val="auto"/>
                      <w:sz w:val="22"/>
                      <w:szCs w:val="22"/>
                      <w:highlight w:val="yellow"/>
                      <w:lang w:val="en-US" w:eastAsia="zh-CN"/>
                    </w:rPr>
                  </w:pPr>
                  <w:r>
                    <w:rPr>
                      <w:rFonts w:hint="eastAsia" w:ascii="Times New Roman" w:hAnsi="Times New Roman" w:eastAsia="宋体" w:cs="Times New Roman"/>
                      <w:bCs/>
                      <w:color w:val="auto"/>
                      <w:sz w:val="22"/>
                      <w:szCs w:val="22"/>
                      <w:lang w:val="en-US" w:eastAsia="zh-CN"/>
                    </w:rPr>
                    <w:t>2、本项目熔化铝合金天然气年用量约432万m</w:t>
                  </w:r>
                  <w:r>
                    <w:rPr>
                      <w:rFonts w:hint="eastAsia" w:ascii="Times New Roman" w:hAnsi="Times New Roman" w:eastAsia="宋体" w:cs="Times New Roman"/>
                      <w:bCs/>
                      <w:color w:val="auto"/>
                      <w:sz w:val="22"/>
                      <w:szCs w:val="22"/>
                      <w:vertAlign w:val="superscript"/>
                      <w:lang w:val="en-US" w:eastAsia="zh-CN"/>
                    </w:rPr>
                    <w:t>3</w:t>
                  </w:r>
                  <w:r>
                    <w:rPr>
                      <w:rFonts w:hint="eastAsia" w:ascii="Times New Roman" w:hAnsi="Times New Roman" w:eastAsia="宋体" w:cs="Times New Roman"/>
                      <w:bCs/>
                      <w:color w:val="auto"/>
                      <w:sz w:val="22"/>
                      <w:szCs w:val="22"/>
                      <w:lang w:val="en-US" w:eastAsia="zh-CN"/>
                    </w:rPr>
                    <w:t>/a，折标准煤5245.78tce，熔炼总产能为5.4万吨，即能耗值为97.14kgce/t ，满足能耗限值要求</w:t>
                  </w:r>
                </w:p>
              </w:tc>
              <w:tc>
                <w:tcPr>
                  <w:tcW w:w="658" w:type="dxa"/>
                  <w:tcBorders>
                    <w:tl2br w:val="nil"/>
                    <w:tr2bl w:val="nil"/>
                  </w:tcBorders>
                  <w:noWrap w:val="0"/>
                  <w:vAlign w:val="center"/>
                </w:tcPr>
                <w:p w14:paraId="2D89C186">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符合</w:t>
                  </w:r>
                </w:p>
              </w:tc>
            </w:tr>
            <w:tr w14:paraId="39E79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6" w:type="dxa"/>
                  <w:tcBorders>
                    <w:tl2br w:val="nil"/>
                    <w:tr2bl w:val="nil"/>
                  </w:tcBorders>
                  <w:noWrap w:val="0"/>
                  <w:vAlign w:val="center"/>
                </w:tcPr>
                <w:p w14:paraId="17419FA4">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5</w:t>
                  </w:r>
                </w:p>
              </w:tc>
              <w:tc>
                <w:tcPr>
                  <w:tcW w:w="443" w:type="dxa"/>
                  <w:tcBorders>
                    <w:tl2br w:val="nil"/>
                    <w:tr2bl w:val="nil"/>
                  </w:tcBorders>
                  <w:noWrap w:val="0"/>
                  <w:vAlign w:val="center"/>
                </w:tcPr>
                <w:p w14:paraId="7DA9D6FA">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环境保护</w:t>
                  </w:r>
                </w:p>
              </w:tc>
              <w:tc>
                <w:tcPr>
                  <w:tcW w:w="4038" w:type="dxa"/>
                  <w:tcBorders>
                    <w:tl2br w:val="nil"/>
                    <w:tr2bl w:val="nil"/>
                  </w:tcBorders>
                  <w:noWrap w:val="0"/>
                  <w:vAlign w:val="center"/>
                </w:tcPr>
                <w:p w14:paraId="545347BD">
                  <w:pPr>
                    <w:autoSpaceDE w:val="0"/>
                    <w:autoSpaceDN w:val="0"/>
                    <w:jc w:val="left"/>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1、企业应按</w:t>
                  </w:r>
                  <w:r>
                    <w:rPr>
                      <w:rFonts w:hint="default" w:ascii="Times New Roman" w:hAnsi="Times New Roman" w:eastAsia="宋体" w:cs="Times New Roman"/>
                      <w:bCs/>
                      <w:color w:val="auto"/>
                      <w:sz w:val="22"/>
                      <w:szCs w:val="22"/>
                      <w:lang w:val="en-US" w:eastAsia="zh-CN"/>
                    </w:rPr>
                    <w:t>HJ 1115</w:t>
                  </w:r>
                  <w:r>
                    <w:rPr>
                      <w:rFonts w:hint="eastAsia" w:ascii="Times New Roman" w:hAnsi="Times New Roman" w:eastAsia="宋体" w:cs="Times New Roman"/>
                      <w:bCs/>
                      <w:color w:val="auto"/>
                      <w:sz w:val="22"/>
                      <w:szCs w:val="22"/>
                      <w:lang w:val="en-US" w:eastAsia="zh-CN"/>
                    </w:rPr>
                    <w:t>、</w:t>
                  </w:r>
                  <w:r>
                    <w:rPr>
                      <w:rFonts w:hint="default" w:ascii="Times New Roman" w:hAnsi="Times New Roman" w:eastAsia="宋体" w:cs="Times New Roman"/>
                      <w:bCs/>
                      <w:color w:val="auto"/>
                      <w:sz w:val="22"/>
                      <w:szCs w:val="22"/>
                      <w:lang w:val="en-US" w:eastAsia="zh-CN"/>
                    </w:rPr>
                    <w:t>HJ 1200</w:t>
                  </w:r>
                  <w:r>
                    <w:rPr>
                      <w:rFonts w:hint="eastAsia" w:ascii="Times New Roman" w:hAnsi="Times New Roman" w:eastAsia="宋体" w:cs="Times New Roman"/>
                      <w:bCs/>
                      <w:color w:val="auto"/>
                      <w:sz w:val="22"/>
                      <w:szCs w:val="22"/>
                      <w:lang w:val="en-US" w:eastAsia="zh-CN"/>
                    </w:rPr>
                    <w:t>的要求，取得排污许可证；宜按照</w:t>
                  </w:r>
                  <w:r>
                    <w:rPr>
                      <w:rFonts w:hint="default" w:ascii="Times New Roman" w:hAnsi="Times New Roman" w:eastAsia="宋体" w:cs="Times New Roman"/>
                      <w:bCs/>
                      <w:color w:val="auto"/>
                      <w:sz w:val="22"/>
                      <w:szCs w:val="22"/>
                      <w:lang w:val="en-US" w:eastAsia="zh-CN"/>
                    </w:rPr>
                    <w:t>HJ 1251</w:t>
                  </w:r>
                  <w:r>
                    <w:rPr>
                      <w:rFonts w:hint="eastAsia" w:ascii="Times New Roman" w:hAnsi="Times New Roman" w:eastAsia="宋体" w:cs="Times New Roman"/>
                      <w:bCs/>
                      <w:color w:val="auto"/>
                      <w:sz w:val="22"/>
                      <w:szCs w:val="22"/>
                      <w:lang w:val="en-US" w:eastAsia="zh-CN"/>
                    </w:rPr>
                    <w:t>的要求制定自行监测方案。</w:t>
                  </w:r>
                </w:p>
                <w:p w14:paraId="0AB29511">
                  <w:pPr>
                    <w:autoSpaceDE w:val="0"/>
                    <w:autoSpaceDN w:val="0"/>
                    <w:jc w:val="left"/>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2、企业大气污染物排放应符合</w:t>
                  </w:r>
                  <w:r>
                    <w:rPr>
                      <w:rFonts w:hint="default" w:ascii="Times New Roman" w:hAnsi="Times New Roman" w:eastAsia="宋体" w:cs="Times New Roman"/>
                      <w:bCs/>
                      <w:color w:val="auto"/>
                      <w:sz w:val="22"/>
                      <w:szCs w:val="22"/>
                      <w:lang w:val="en-US" w:eastAsia="zh-CN"/>
                    </w:rPr>
                    <w:t>GB 39726</w:t>
                  </w:r>
                  <w:r>
                    <w:rPr>
                      <w:rFonts w:hint="eastAsia" w:ascii="Times New Roman" w:hAnsi="Times New Roman" w:eastAsia="宋体" w:cs="Times New Roman"/>
                      <w:bCs/>
                      <w:color w:val="auto"/>
                      <w:sz w:val="22"/>
                      <w:szCs w:val="22"/>
                      <w:lang w:val="en-US" w:eastAsia="zh-CN"/>
                    </w:rPr>
                    <w:t>的要求。应配置完善的环保处理装置，废气、废水、噪声、工业固体废物等排放与处置措施应符合国家及地方环保法规和标准的规定。</w:t>
                  </w:r>
                </w:p>
                <w:p w14:paraId="5C26CD1D">
                  <w:pPr>
                    <w:autoSpaceDE w:val="0"/>
                    <w:autoSpaceDN w:val="0"/>
                    <w:jc w:val="left"/>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3、企业宜参照《重污染天气重点行业应急减排措施制定技术指南》的要求开展绩效分级管理，制定重污染天气应急减排措施。</w:t>
                  </w:r>
                </w:p>
                <w:p w14:paraId="5C6C0D92">
                  <w:pPr>
                    <w:autoSpaceDE w:val="0"/>
                    <w:autoSpaceDN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4、企业可按照</w:t>
                  </w:r>
                  <w:r>
                    <w:rPr>
                      <w:rFonts w:hint="default" w:ascii="Times New Roman" w:hAnsi="Times New Roman" w:eastAsia="宋体" w:cs="Times New Roman"/>
                      <w:bCs/>
                      <w:color w:val="auto"/>
                      <w:sz w:val="22"/>
                      <w:szCs w:val="22"/>
                      <w:lang w:val="en-US" w:eastAsia="zh-CN"/>
                    </w:rPr>
                    <w:t>GB/T 24001</w:t>
                  </w:r>
                  <w:r>
                    <w:rPr>
                      <w:rFonts w:hint="eastAsia" w:ascii="Times New Roman" w:hAnsi="Times New Roman" w:eastAsia="宋体" w:cs="Times New Roman"/>
                      <w:bCs/>
                      <w:color w:val="auto"/>
                      <w:sz w:val="22"/>
                      <w:szCs w:val="22"/>
                      <w:lang w:val="en-US" w:eastAsia="zh-CN"/>
                    </w:rPr>
                    <w:t>要求建立环境管理体系，通过认证并持续有效运行</w:t>
                  </w:r>
                </w:p>
              </w:tc>
              <w:tc>
                <w:tcPr>
                  <w:tcW w:w="2350" w:type="dxa"/>
                  <w:tcBorders>
                    <w:tl2br w:val="nil"/>
                    <w:tr2bl w:val="nil"/>
                  </w:tcBorders>
                  <w:noWrap w:val="0"/>
                  <w:vAlign w:val="center"/>
                </w:tcPr>
                <w:p w14:paraId="440B85DF">
                  <w:pPr>
                    <w:autoSpaceDE w:val="0"/>
                    <w:autoSpaceDN w:val="0"/>
                    <w:jc w:val="left"/>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本项目后续按照</w:t>
                  </w:r>
                  <w:r>
                    <w:rPr>
                      <w:rFonts w:hint="default" w:ascii="Times New Roman" w:hAnsi="Times New Roman" w:eastAsia="宋体" w:cs="Times New Roman"/>
                      <w:bCs/>
                      <w:color w:val="auto"/>
                      <w:sz w:val="22"/>
                      <w:szCs w:val="22"/>
                      <w:lang w:val="en-US" w:eastAsia="zh-CN"/>
                    </w:rPr>
                    <w:t>HJ 1115</w:t>
                  </w:r>
                  <w:r>
                    <w:rPr>
                      <w:rFonts w:hint="eastAsia" w:ascii="Times New Roman" w:hAnsi="Times New Roman" w:eastAsia="宋体" w:cs="Times New Roman"/>
                      <w:bCs/>
                      <w:color w:val="auto"/>
                      <w:sz w:val="22"/>
                      <w:szCs w:val="22"/>
                      <w:lang w:val="en-US" w:eastAsia="zh-CN"/>
                    </w:rPr>
                    <w:t>、</w:t>
                  </w:r>
                  <w:r>
                    <w:rPr>
                      <w:rFonts w:hint="default" w:ascii="Times New Roman" w:hAnsi="Times New Roman" w:eastAsia="宋体" w:cs="Times New Roman"/>
                      <w:bCs/>
                      <w:color w:val="auto"/>
                      <w:sz w:val="22"/>
                      <w:szCs w:val="22"/>
                      <w:lang w:val="en-US" w:eastAsia="zh-CN"/>
                    </w:rPr>
                    <w:t>HJ 1200</w:t>
                  </w:r>
                  <w:r>
                    <w:rPr>
                      <w:rFonts w:hint="eastAsia" w:ascii="Times New Roman" w:hAnsi="Times New Roman" w:eastAsia="宋体" w:cs="Times New Roman"/>
                      <w:bCs/>
                      <w:color w:val="auto"/>
                      <w:sz w:val="22"/>
                      <w:szCs w:val="22"/>
                      <w:lang w:val="en-US" w:eastAsia="zh-CN"/>
                    </w:rPr>
                    <w:t>的要求，申报排污许可证，并按照</w:t>
                  </w:r>
                  <w:r>
                    <w:rPr>
                      <w:rFonts w:hint="default" w:ascii="Times New Roman" w:hAnsi="Times New Roman" w:eastAsia="宋体" w:cs="Times New Roman"/>
                      <w:bCs/>
                      <w:color w:val="auto"/>
                      <w:sz w:val="22"/>
                      <w:szCs w:val="22"/>
                      <w:lang w:val="en-US" w:eastAsia="zh-CN"/>
                    </w:rPr>
                    <w:t>HJ 1251</w:t>
                  </w:r>
                  <w:r>
                    <w:rPr>
                      <w:rFonts w:hint="eastAsia" w:ascii="Times New Roman" w:hAnsi="Times New Roman" w:eastAsia="宋体" w:cs="Times New Roman"/>
                      <w:bCs/>
                      <w:color w:val="auto"/>
                      <w:sz w:val="22"/>
                      <w:szCs w:val="22"/>
                      <w:lang w:val="en-US" w:eastAsia="zh-CN"/>
                    </w:rPr>
                    <w:t>的要求制定自行监测方案；本项目产生的熔炼废气采取“旋风+布袋除尘器”处理后达标排放；本项目不新增生活污水；本项目工业固体废物均妥善处置，符合国家及地方相关规定</w:t>
                  </w:r>
                </w:p>
              </w:tc>
              <w:tc>
                <w:tcPr>
                  <w:tcW w:w="658" w:type="dxa"/>
                  <w:tcBorders>
                    <w:tl2br w:val="nil"/>
                    <w:tr2bl w:val="nil"/>
                  </w:tcBorders>
                  <w:noWrap w:val="0"/>
                  <w:vAlign w:val="center"/>
                </w:tcPr>
                <w:p w14:paraId="54C34FAD">
                  <w:pPr>
                    <w:autoSpaceDE w:val="0"/>
                    <w:autoSpaceDN w:val="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符合</w:t>
                  </w:r>
                </w:p>
              </w:tc>
            </w:tr>
          </w:tbl>
          <w:p w14:paraId="3037B93C">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jc w:val="both"/>
              <w:textAlignment w:val="auto"/>
              <w:rPr>
                <w:rFonts w:hint="eastAsia" w:ascii="Times New Roman" w:hAnsi="Times New Roman" w:eastAsia="宋体" w:cs="Times New Roman"/>
                <w:color w:val="auto"/>
                <w:sz w:val="26"/>
                <w:szCs w:val="26"/>
                <w:lang w:val="en-US" w:eastAsia="zh-CN"/>
              </w:rPr>
            </w:pPr>
          </w:p>
          <w:p w14:paraId="61F931C9">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kern w:val="0"/>
                <w:sz w:val="26"/>
                <w:szCs w:val="26"/>
                <w:lang w:val="zh-CN" w:eastAsia="zh-CN"/>
              </w:rPr>
            </w:pPr>
            <w:r>
              <w:rPr>
                <w:rFonts w:hint="eastAsia" w:ascii="Times New Roman" w:hAnsi="Times New Roman" w:eastAsia="宋体" w:cs="Times New Roman"/>
                <w:color w:val="auto"/>
                <w:sz w:val="26"/>
                <w:szCs w:val="26"/>
                <w:lang w:val="en-US" w:eastAsia="zh-CN"/>
              </w:rPr>
              <w:t>综上分析，</w:t>
            </w:r>
            <w:r>
              <w:rPr>
                <w:rFonts w:hint="eastAsia" w:ascii="Times New Roman" w:hAnsi="Times New Roman" w:eastAsia="宋体" w:cs="Times New Roman"/>
                <w:color w:val="auto"/>
                <w:kern w:val="0"/>
                <w:sz w:val="26"/>
                <w:szCs w:val="26"/>
                <w:lang w:val="en-US" w:eastAsia="zh-CN"/>
              </w:rPr>
              <w:t>本</w:t>
            </w:r>
            <w:r>
              <w:rPr>
                <w:rFonts w:hint="default" w:ascii="Times New Roman" w:hAnsi="Times New Roman" w:eastAsia="宋体" w:cs="Times New Roman"/>
                <w:color w:val="auto"/>
                <w:kern w:val="0"/>
                <w:sz w:val="26"/>
                <w:szCs w:val="26"/>
                <w:lang w:val="zh-CN" w:eastAsia="zh-CN"/>
              </w:rPr>
              <w:t>项目符合</w:t>
            </w:r>
            <w:r>
              <w:rPr>
                <w:rFonts w:hint="default" w:ascii="Times New Roman" w:hAnsi="Times New Roman" w:eastAsia="宋体" w:cs="Times New Roman"/>
                <w:color w:val="auto"/>
                <w:sz w:val="26"/>
                <w:szCs w:val="26"/>
                <w:lang w:val="en-US" w:eastAsia="zh-CN"/>
              </w:rPr>
              <w:t>《铸造企业规范条件》(T/CFA0310021-20</w:t>
            </w:r>
            <w:r>
              <w:rPr>
                <w:rFonts w:hint="eastAsia" w:ascii="Times New Roman" w:hAnsi="Times New Roman" w:eastAsia="宋体" w:cs="Times New Roman"/>
                <w:color w:val="auto"/>
                <w:sz w:val="26"/>
                <w:szCs w:val="26"/>
                <w:lang w:val="en-US" w:eastAsia="zh-CN"/>
              </w:rPr>
              <w:t>23</w:t>
            </w:r>
            <w:r>
              <w:rPr>
                <w:rFonts w:hint="default" w:ascii="Times New Roman" w:hAnsi="Times New Roman" w:eastAsia="宋体" w:cs="Times New Roman"/>
                <w:color w:val="auto"/>
                <w:sz w:val="26"/>
                <w:szCs w:val="26"/>
                <w:lang w:val="en-US" w:eastAsia="zh-CN"/>
              </w:rPr>
              <w:t>)</w:t>
            </w:r>
            <w:r>
              <w:rPr>
                <w:rFonts w:hint="default" w:ascii="Times New Roman" w:hAnsi="Times New Roman" w:eastAsia="宋体" w:cs="Times New Roman"/>
                <w:color w:val="auto"/>
                <w:kern w:val="0"/>
                <w:sz w:val="26"/>
                <w:szCs w:val="26"/>
                <w:lang w:val="zh-CN" w:eastAsia="zh-CN"/>
              </w:rPr>
              <w:t>的有关要求。</w:t>
            </w:r>
          </w:p>
          <w:p w14:paraId="1C0D4D4E">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1.3.4</w:t>
            </w:r>
            <w:r>
              <w:rPr>
                <w:rFonts w:hint="default" w:ascii="Times New Roman" w:hAnsi="Times New Roman" w:eastAsia="宋体" w:cs="Times New Roman"/>
                <w:b/>
                <w:bCs/>
                <w:color w:val="auto"/>
                <w:sz w:val="26"/>
                <w:szCs w:val="26"/>
                <w:lang w:val="en-US" w:eastAsia="zh-CN"/>
              </w:rPr>
              <w:t>《重庆市发展和改革委员会关于印发重庆市产业投资准入工作手册的通知》（渝发改投资〔2022〕1436号）符合性分析</w:t>
            </w:r>
          </w:p>
          <w:p w14:paraId="630D97D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本项目位于西彭工业园区，属于有色金属合金制造及铸造，对照《重庆市发展和改革委员会关于印发重庆市产业投资准入工作手册的通知》（</w:t>
            </w:r>
            <w:r>
              <w:rPr>
                <w:rFonts w:hint="default" w:ascii="Times New Roman" w:hAnsi="Times New Roman" w:eastAsia="宋体" w:cs="Times New Roman"/>
                <w:color w:val="auto"/>
                <w:sz w:val="26"/>
                <w:szCs w:val="26"/>
                <w:lang w:val="en-US" w:eastAsia="zh-CN"/>
              </w:rPr>
              <w:t>渝发改投资〔2022〕1436号</w:t>
            </w:r>
            <w:r>
              <w:rPr>
                <w:rFonts w:hint="eastAsia" w:ascii="Times New Roman" w:hAnsi="Times New Roman" w:eastAsia="宋体" w:cs="Times New Roman"/>
                <w:color w:val="auto"/>
                <w:sz w:val="26"/>
                <w:szCs w:val="26"/>
                <w:lang w:val="en-US" w:eastAsia="zh-CN"/>
              </w:rPr>
              <w:t>），本项目的准入条件符合性见下表。</w:t>
            </w:r>
          </w:p>
          <w:p w14:paraId="04802BDD">
            <w:pPr>
              <w:autoSpaceDE w:val="0"/>
              <w:autoSpaceDN w:val="0"/>
              <w:adjustRightInd w:val="0"/>
              <w:snapToGrid w:val="0"/>
              <w:spacing w:line="460" w:lineRule="exact"/>
              <w:jc w:val="center"/>
              <w:rPr>
                <w:rFonts w:hint="eastAsia" w:ascii="Times New Roman" w:hAnsi="Times New Roman" w:eastAsia="宋体" w:cs="Times New Roman"/>
                <w:b/>
                <w:bCs/>
                <w:color w:val="auto"/>
                <w:kern w:val="0"/>
                <w:sz w:val="26"/>
                <w:szCs w:val="26"/>
                <w:lang w:val="zh-CN"/>
              </w:rPr>
            </w:pPr>
            <w:r>
              <w:rPr>
                <w:rFonts w:hint="eastAsia" w:ascii="Times New Roman" w:hAnsi="Times New Roman" w:eastAsia="宋体" w:cs="Times New Roman"/>
                <w:b/>
                <w:bCs/>
                <w:color w:val="auto"/>
                <w:kern w:val="0"/>
                <w:sz w:val="26"/>
                <w:szCs w:val="26"/>
                <w:lang w:val="zh-CN" w:eastAsia="zh-CN"/>
              </w:rPr>
              <w:t>表1</w:t>
            </w:r>
            <w:r>
              <w:rPr>
                <w:rFonts w:hint="eastAsia" w:ascii="Times New Roman" w:hAnsi="Times New Roman" w:eastAsia="宋体" w:cs="Times New Roman"/>
                <w:b/>
                <w:bCs/>
                <w:color w:val="auto"/>
                <w:kern w:val="0"/>
                <w:sz w:val="26"/>
                <w:szCs w:val="26"/>
                <w:lang w:val="en-US" w:eastAsia="zh-CN"/>
              </w:rPr>
              <w:t>.3-2</w:t>
            </w:r>
            <w:r>
              <w:rPr>
                <w:rFonts w:hint="eastAsia" w:ascii="Times New Roman" w:hAnsi="Times New Roman" w:eastAsia="宋体" w:cs="Times New Roman"/>
                <w:b/>
                <w:bCs/>
                <w:color w:val="auto"/>
                <w:kern w:val="0"/>
                <w:sz w:val="26"/>
                <w:szCs w:val="26"/>
                <w:lang w:val="zh-CN" w:eastAsia="zh-CN"/>
              </w:rPr>
              <w:t xml:space="preserve">  </w:t>
            </w:r>
            <w:r>
              <w:rPr>
                <w:rFonts w:hint="eastAsia" w:ascii="Times New Roman" w:hAnsi="Times New Roman" w:eastAsia="宋体" w:cs="Times New Roman"/>
                <w:b/>
                <w:bCs/>
                <w:color w:val="auto"/>
                <w:kern w:val="0"/>
                <w:sz w:val="26"/>
                <w:szCs w:val="26"/>
                <w:lang w:val="en-US" w:eastAsia="zh-CN"/>
              </w:rPr>
              <w:t>本</w:t>
            </w:r>
            <w:r>
              <w:rPr>
                <w:rFonts w:hint="eastAsia" w:ascii="Times New Roman" w:hAnsi="Times New Roman" w:eastAsia="宋体" w:cs="Times New Roman"/>
                <w:b/>
                <w:bCs/>
                <w:color w:val="auto"/>
                <w:kern w:val="0"/>
                <w:sz w:val="26"/>
                <w:szCs w:val="26"/>
                <w:lang w:val="zh-CN" w:eastAsia="zh-CN"/>
              </w:rPr>
              <w:t>项目与产业投资准入符合性分析</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2"/>
              <w:gridCol w:w="464"/>
              <w:gridCol w:w="614"/>
              <w:gridCol w:w="3340"/>
              <w:gridCol w:w="2472"/>
              <w:gridCol w:w="444"/>
            </w:tblGrid>
            <w:tr w14:paraId="09D6D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4" w:type="pct"/>
                  <w:tcBorders>
                    <w:tl2br w:val="nil"/>
                    <w:tr2bl w:val="nil"/>
                  </w:tcBorders>
                  <w:noWrap w:val="0"/>
                  <w:tcMar>
                    <w:top w:w="0" w:type="dxa"/>
                    <w:left w:w="57" w:type="dxa"/>
                    <w:bottom w:w="0" w:type="dxa"/>
                    <w:right w:w="57" w:type="dxa"/>
                  </w:tcMar>
                  <w:vAlign w:val="center"/>
                </w:tcPr>
                <w:p w14:paraId="61BD2A53">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序号</w:t>
                  </w:r>
                </w:p>
              </w:tc>
              <w:tc>
                <w:tcPr>
                  <w:tcW w:w="2858" w:type="pct"/>
                  <w:gridSpan w:val="3"/>
                  <w:tcBorders>
                    <w:tl2br w:val="nil"/>
                    <w:tr2bl w:val="nil"/>
                  </w:tcBorders>
                  <w:noWrap w:val="0"/>
                  <w:tcMar>
                    <w:top w:w="0" w:type="dxa"/>
                    <w:left w:w="57" w:type="dxa"/>
                    <w:bottom w:w="0" w:type="dxa"/>
                    <w:right w:w="57" w:type="dxa"/>
                  </w:tcMar>
                  <w:vAlign w:val="center"/>
                </w:tcPr>
                <w:p w14:paraId="6E0230E7">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准入条件要求</w:t>
                  </w:r>
                </w:p>
              </w:tc>
              <w:tc>
                <w:tcPr>
                  <w:tcW w:w="1599" w:type="pct"/>
                  <w:tcBorders>
                    <w:tl2br w:val="nil"/>
                    <w:tr2bl w:val="nil"/>
                  </w:tcBorders>
                  <w:noWrap w:val="0"/>
                  <w:tcMar>
                    <w:top w:w="0" w:type="dxa"/>
                    <w:left w:w="57" w:type="dxa"/>
                    <w:bottom w:w="0" w:type="dxa"/>
                    <w:right w:w="57" w:type="dxa"/>
                  </w:tcMar>
                  <w:vAlign w:val="center"/>
                </w:tcPr>
                <w:p w14:paraId="1810CAE7">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项目情况</w:t>
                  </w:r>
                </w:p>
              </w:tc>
              <w:tc>
                <w:tcPr>
                  <w:tcW w:w="287" w:type="pct"/>
                  <w:tcBorders>
                    <w:tl2br w:val="nil"/>
                    <w:tr2bl w:val="nil"/>
                  </w:tcBorders>
                  <w:noWrap w:val="0"/>
                  <w:tcMar>
                    <w:top w:w="0" w:type="dxa"/>
                    <w:left w:w="57" w:type="dxa"/>
                    <w:bottom w:w="0" w:type="dxa"/>
                    <w:right w:w="57" w:type="dxa"/>
                  </w:tcMar>
                  <w:vAlign w:val="center"/>
                </w:tcPr>
                <w:p w14:paraId="14283606">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符合性</w:t>
                  </w:r>
                </w:p>
              </w:tc>
            </w:tr>
            <w:tr w14:paraId="5BFC7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4" w:type="pct"/>
                  <w:tcBorders>
                    <w:tl2br w:val="nil"/>
                    <w:tr2bl w:val="nil"/>
                  </w:tcBorders>
                  <w:noWrap w:val="0"/>
                  <w:tcMar>
                    <w:top w:w="0" w:type="dxa"/>
                    <w:left w:w="57" w:type="dxa"/>
                    <w:bottom w:w="0" w:type="dxa"/>
                    <w:right w:w="57" w:type="dxa"/>
                  </w:tcMar>
                  <w:vAlign w:val="center"/>
                </w:tcPr>
                <w:p w14:paraId="594E498E">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1</w:t>
                  </w:r>
                </w:p>
              </w:tc>
              <w:tc>
                <w:tcPr>
                  <w:tcW w:w="300" w:type="pct"/>
                  <w:vMerge w:val="restart"/>
                  <w:tcBorders>
                    <w:tl2br w:val="nil"/>
                    <w:tr2bl w:val="nil"/>
                  </w:tcBorders>
                  <w:noWrap w:val="0"/>
                  <w:tcMar>
                    <w:top w:w="0" w:type="dxa"/>
                    <w:left w:w="57" w:type="dxa"/>
                    <w:bottom w:w="0" w:type="dxa"/>
                    <w:right w:w="57" w:type="dxa"/>
                  </w:tcMar>
                  <w:vAlign w:val="center"/>
                </w:tcPr>
                <w:p w14:paraId="3656F9D1">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不予准入类</w:t>
                  </w:r>
                </w:p>
              </w:tc>
              <w:tc>
                <w:tcPr>
                  <w:tcW w:w="397" w:type="pct"/>
                  <w:tcBorders>
                    <w:tl2br w:val="nil"/>
                    <w:tr2bl w:val="nil"/>
                  </w:tcBorders>
                  <w:noWrap w:val="0"/>
                  <w:tcMar>
                    <w:top w:w="0" w:type="dxa"/>
                    <w:left w:w="57" w:type="dxa"/>
                    <w:bottom w:w="0" w:type="dxa"/>
                    <w:right w:w="57" w:type="dxa"/>
                  </w:tcMar>
                  <w:vAlign w:val="center"/>
                </w:tcPr>
                <w:p w14:paraId="458BE229">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全市范围内不予准入的产业</w:t>
                  </w:r>
                </w:p>
              </w:tc>
              <w:tc>
                <w:tcPr>
                  <w:tcW w:w="2160" w:type="pct"/>
                  <w:tcBorders>
                    <w:tl2br w:val="nil"/>
                    <w:tr2bl w:val="nil"/>
                  </w:tcBorders>
                  <w:noWrap w:val="0"/>
                  <w:tcMar>
                    <w:top w:w="0" w:type="dxa"/>
                    <w:left w:w="57" w:type="dxa"/>
                    <w:bottom w:w="0" w:type="dxa"/>
                    <w:right w:w="57" w:type="dxa"/>
                  </w:tcMar>
                  <w:vAlign w:val="center"/>
                </w:tcPr>
                <w:p w14:paraId="04E1754D">
                  <w:pPr>
                    <w:adjustRightInd w:val="0"/>
                    <w:snapToGrid w:val="0"/>
                    <w:spacing w:line="240" w:lineRule="auto"/>
                    <w:ind w:firstLine="0" w:firstLineChars="0"/>
                    <w:jc w:val="both"/>
                    <w:rPr>
                      <w:rFonts w:hint="eastAsia"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1．国家产业结构调整指导目录中的淘汰类项目。</w:t>
                  </w:r>
                </w:p>
                <w:p w14:paraId="09C84341">
                  <w:pPr>
                    <w:adjustRightInd w:val="0"/>
                    <w:snapToGrid w:val="0"/>
                    <w:spacing w:line="240" w:lineRule="auto"/>
                    <w:ind w:firstLine="0" w:firstLineChars="0"/>
                    <w:jc w:val="both"/>
                    <w:rPr>
                      <w:rFonts w:hint="eastAsia"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2．天然林商业性采伐。</w:t>
                  </w:r>
                </w:p>
                <w:p w14:paraId="6865532F">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3．法律法规和相关政策明令不予准入的其他项目。</w:t>
                  </w:r>
                </w:p>
              </w:tc>
              <w:tc>
                <w:tcPr>
                  <w:tcW w:w="1599" w:type="pct"/>
                  <w:tcBorders>
                    <w:tl2br w:val="nil"/>
                    <w:tr2bl w:val="nil"/>
                  </w:tcBorders>
                  <w:noWrap w:val="0"/>
                  <w:tcMar>
                    <w:top w:w="0" w:type="dxa"/>
                    <w:left w:w="57" w:type="dxa"/>
                    <w:bottom w:w="0" w:type="dxa"/>
                    <w:right w:w="57" w:type="dxa"/>
                  </w:tcMar>
                  <w:vAlign w:val="center"/>
                </w:tcPr>
                <w:p w14:paraId="52DE9680">
                  <w:pPr>
                    <w:adjustRightInd w:val="0"/>
                    <w:snapToGrid w:val="0"/>
                    <w:spacing w:line="240" w:lineRule="auto"/>
                    <w:ind w:firstLine="0" w:firstLineChars="0"/>
                    <w:jc w:val="both"/>
                    <w:rPr>
                      <w:rFonts w:hint="eastAsia"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1.本项目不属于产业结构调整指导目录中的淘汰类项目；</w:t>
                  </w:r>
                </w:p>
                <w:p w14:paraId="5300ACB5">
                  <w:pPr>
                    <w:adjustRightInd w:val="0"/>
                    <w:snapToGrid w:val="0"/>
                    <w:spacing w:line="240" w:lineRule="auto"/>
                    <w:ind w:firstLine="0" w:firstLineChars="0"/>
                    <w:jc w:val="both"/>
                    <w:rPr>
                      <w:rFonts w:hint="eastAsia"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2.本项目不属于天然林商业性采伐；</w:t>
                  </w:r>
                </w:p>
                <w:p w14:paraId="7F8AFF76">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3.本项目符合法律法规和相关政策准入</w:t>
                  </w:r>
                </w:p>
              </w:tc>
              <w:tc>
                <w:tcPr>
                  <w:tcW w:w="287" w:type="pct"/>
                  <w:tcBorders>
                    <w:tl2br w:val="nil"/>
                    <w:tr2bl w:val="nil"/>
                  </w:tcBorders>
                  <w:noWrap w:val="0"/>
                  <w:tcMar>
                    <w:top w:w="0" w:type="dxa"/>
                    <w:left w:w="57" w:type="dxa"/>
                    <w:bottom w:w="0" w:type="dxa"/>
                    <w:right w:w="57" w:type="dxa"/>
                  </w:tcMar>
                  <w:vAlign w:val="center"/>
                </w:tcPr>
                <w:p w14:paraId="0A31D6D6">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符合</w:t>
                  </w:r>
                </w:p>
              </w:tc>
            </w:tr>
            <w:tr w14:paraId="44C75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4" w:type="pct"/>
                  <w:tcBorders>
                    <w:tl2br w:val="nil"/>
                    <w:tr2bl w:val="nil"/>
                  </w:tcBorders>
                  <w:noWrap w:val="0"/>
                  <w:tcMar>
                    <w:top w:w="0" w:type="dxa"/>
                    <w:left w:w="57" w:type="dxa"/>
                    <w:bottom w:w="0" w:type="dxa"/>
                    <w:right w:w="57" w:type="dxa"/>
                  </w:tcMar>
                  <w:vAlign w:val="center"/>
                </w:tcPr>
                <w:p w14:paraId="2308A3E5">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2</w:t>
                  </w:r>
                </w:p>
              </w:tc>
              <w:tc>
                <w:tcPr>
                  <w:tcW w:w="300" w:type="pct"/>
                  <w:vMerge w:val="continue"/>
                  <w:tcBorders>
                    <w:tl2br w:val="nil"/>
                    <w:tr2bl w:val="nil"/>
                  </w:tcBorders>
                  <w:noWrap w:val="0"/>
                  <w:tcMar>
                    <w:top w:w="0" w:type="dxa"/>
                    <w:left w:w="57" w:type="dxa"/>
                    <w:bottom w:w="0" w:type="dxa"/>
                    <w:right w:w="57" w:type="dxa"/>
                  </w:tcMar>
                  <w:vAlign w:val="center"/>
                </w:tcPr>
                <w:p w14:paraId="11A96C4D">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p>
              </w:tc>
              <w:tc>
                <w:tcPr>
                  <w:tcW w:w="397" w:type="pct"/>
                  <w:tcBorders>
                    <w:tl2br w:val="nil"/>
                    <w:tr2bl w:val="nil"/>
                  </w:tcBorders>
                  <w:noWrap w:val="0"/>
                  <w:tcMar>
                    <w:top w:w="0" w:type="dxa"/>
                    <w:left w:w="57" w:type="dxa"/>
                    <w:bottom w:w="0" w:type="dxa"/>
                    <w:right w:w="57" w:type="dxa"/>
                  </w:tcMar>
                  <w:vAlign w:val="center"/>
                </w:tcPr>
                <w:p w14:paraId="41DAE87A">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重点区域范围内不予准入的产业</w:t>
                  </w:r>
                </w:p>
              </w:tc>
              <w:tc>
                <w:tcPr>
                  <w:tcW w:w="2160" w:type="pct"/>
                  <w:tcBorders>
                    <w:tl2br w:val="nil"/>
                    <w:tr2bl w:val="nil"/>
                  </w:tcBorders>
                  <w:noWrap w:val="0"/>
                  <w:tcMar>
                    <w:top w:w="0" w:type="dxa"/>
                    <w:left w:w="57" w:type="dxa"/>
                    <w:bottom w:w="0" w:type="dxa"/>
                    <w:right w:w="57" w:type="dxa"/>
                  </w:tcMar>
                  <w:vAlign w:val="center"/>
                </w:tcPr>
                <w:p w14:paraId="5DA4C38C">
                  <w:pPr>
                    <w:adjustRightInd w:val="0"/>
                    <w:snapToGrid w:val="0"/>
                    <w:spacing w:line="240" w:lineRule="auto"/>
                    <w:ind w:firstLine="0" w:firstLineChars="0"/>
                    <w:jc w:val="both"/>
                    <w:rPr>
                      <w:rFonts w:hint="eastAsia"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1．外环绕城高速公路以内长江、嘉陵江水域采砂。</w:t>
                  </w:r>
                </w:p>
                <w:p w14:paraId="5A60794F">
                  <w:pPr>
                    <w:adjustRightInd w:val="0"/>
                    <w:snapToGrid w:val="0"/>
                    <w:spacing w:line="240" w:lineRule="auto"/>
                    <w:ind w:firstLine="0" w:firstLineChars="0"/>
                    <w:jc w:val="both"/>
                    <w:rPr>
                      <w:rFonts w:hint="eastAsia"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2．二十五度以上陡坡地开垦种植农作物。</w:t>
                  </w:r>
                </w:p>
                <w:p w14:paraId="3DD661AE">
                  <w:pPr>
                    <w:adjustRightInd w:val="0"/>
                    <w:snapToGrid w:val="0"/>
                    <w:spacing w:line="240" w:lineRule="auto"/>
                    <w:ind w:firstLine="0" w:firstLineChars="0"/>
                    <w:jc w:val="both"/>
                    <w:rPr>
                      <w:rFonts w:hint="eastAsia"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3．在自然保护区核心区、缓冲区的岸线和河段范围内投资建设旅游和生产经营项目。</w:t>
                  </w:r>
                </w:p>
                <w:p w14:paraId="0485B568">
                  <w:pPr>
                    <w:adjustRightInd w:val="0"/>
                    <w:snapToGrid w:val="0"/>
                    <w:spacing w:line="240" w:lineRule="auto"/>
                    <w:ind w:firstLine="0" w:firstLineChars="0"/>
                    <w:jc w:val="both"/>
                    <w:rPr>
                      <w:rFonts w:hint="eastAsia"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4．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p w14:paraId="101F2A4A">
                  <w:pPr>
                    <w:adjustRightInd w:val="0"/>
                    <w:snapToGrid w:val="0"/>
                    <w:spacing w:line="240" w:lineRule="auto"/>
                    <w:ind w:firstLine="0" w:firstLineChars="0"/>
                    <w:jc w:val="both"/>
                    <w:rPr>
                      <w:rFonts w:hint="eastAsia"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5．长江干流岸线3公里范围内和重要支流岸线1公里范围内新建、改建、扩建尾矿库、冶炼渣库和磷石膏库（以提升安全、生态环境保护水平为目的的改建除外）。</w:t>
                  </w:r>
                </w:p>
                <w:p w14:paraId="5C8FB933">
                  <w:pPr>
                    <w:adjustRightInd w:val="0"/>
                    <w:snapToGrid w:val="0"/>
                    <w:spacing w:line="240" w:lineRule="auto"/>
                    <w:ind w:firstLine="0" w:firstLineChars="0"/>
                    <w:jc w:val="both"/>
                    <w:rPr>
                      <w:rFonts w:hint="eastAsia"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6．在风景名胜区核心景区的岸线和河段范围内投资建设与风景名胜资源保护无关的项目。</w:t>
                  </w:r>
                </w:p>
                <w:p w14:paraId="27F51B75">
                  <w:pPr>
                    <w:adjustRightInd w:val="0"/>
                    <w:snapToGrid w:val="0"/>
                    <w:spacing w:line="240" w:lineRule="auto"/>
                    <w:ind w:firstLine="0" w:firstLineChars="0"/>
                    <w:jc w:val="both"/>
                    <w:rPr>
                      <w:rFonts w:hint="eastAsia"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7．在国家湿地公园的岸线和河段范围内挖沙、采矿，以及任何不符合主体功能定位的投资建设项目。</w:t>
                  </w:r>
                </w:p>
                <w:p w14:paraId="46F587CA">
                  <w:pPr>
                    <w:adjustRightInd w:val="0"/>
                    <w:snapToGrid w:val="0"/>
                    <w:spacing w:line="240" w:lineRule="auto"/>
                    <w:ind w:firstLine="0" w:firstLineChars="0"/>
                    <w:jc w:val="both"/>
                    <w:rPr>
                      <w:rFonts w:hint="eastAsia"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8．在《长江岸线保护和开发利用总体规划》划定的岸线保护区和保留区内投资建设除事关公共安全及公众利益的防洪护岸、河道治理、供水、生态环境保护、航道整治、国家重要基础设施以外的项目。</w:t>
                  </w:r>
                </w:p>
                <w:p w14:paraId="6948CAC5">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9．在《全国重要江河湖泊水功能区划》划定的河段及湖泊保护区、保留区内投资建设不利于水资源及自然生态保护的项目。</w:t>
                  </w:r>
                </w:p>
              </w:tc>
              <w:tc>
                <w:tcPr>
                  <w:tcW w:w="1599" w:type="pct"/>
                  <w:tcBorders>
                    <w:tl2br w:val="nil"/>
                    <w:tr2bl w:val="nil"/>
                  </w:tcBorders>
                  <w:noWrap w:val="0"/>
                  <w:tcMar>
                    <w:top w:w="0" w:type="dxa"/>
                    <w:left w:w="57" w:type="dxa"/>
                    <w:bottom w:w="0" w:type="dxa"/>
                    <w:right w:w="57" w:type="dxa"/>
                  </w:tcMar>
                  <w:vAlign w:val="center"/>
                </w:tcPr>
                <w:p w14:paraId="394B1771">
                  <w:pPr>
                    <w:adjustRightInd w:val="0"/>
                    <w:snapToGrid w:val="0"/>
                    <w:spacing w:line="240" w:lineRule="auto"/>
                    <w:ind w:firstLine="0" w:firstLineChars="0"/>
                    <w:jc w:val="both"/>
                    <w:rPr>
                      <w:rFonts w:hint="eastAsia"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本项目不属于采砂项目；不属于种植农作物；不涉及自然保护区核心区、缓冲区的岸线和河段范围内的旅游和生产经营项目；不位于饮用水水源一级、二级保护区的岸线和河段范围内；不属于尾矿库、冶炼渣库和磷石膏库项目；不位于风景名胜区核心景区的岸线和河段范围内；不位于国家湿地公园的岸线和河段范围内；不位于《长江岸线保护和开发利用总体规划》划定的岸线保护区和保留区；不位于《全国重要江河湖泊水功能区划》划定的河段及湖泊保护区、保留区内</w:t>
                  </w:r>
                </w:p>
              </w:tc>
              <w:tc>
                <w:tcPr>
                  <w:tcW w:w="287" w:type="pct"/>
                  <w:tcBorders>
                    <w:tl2br w:val="nil"/>
                    <w:tr2bl w:val="nil"/>
                  </w:tcBorders>
                  <w:noWrap w:val="0"/>
                  <w:tcMar>
                    <w:top w:w="0" w:type="dxa"/>
                    <w:left w:w="57" w:type="dxa"/>
                    <w:bottom w:w="0" w:type="dxa"/>
                    <w:right w:w="57" w:type="dxa"/>
                  </w:tcMar>
                  <w:vAlign w:val="center"/>
                </w:tcPr>
                <w:p w14:paraId="6F4A8B4E">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符合</w:t>
                  </w:r>
                </w:p>
              </w:tc>
            </w:tr>
            <w:tr w14:paraId="024524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4" w:type="pct"/>
                  <w:tcBorders>
                    <w:tl2br w:val="nil"/>
                    <w:tr2bl w:val="nil"/>
                  </w:tcBorders>
                  <w:noWrap w:val="0"/>
                  <w:tcMar>
                    <w:top w:w="0" w:type="dxa"/>
                    <w:left w:w="57" w:type="dxa"/>
                    <w:bottom w:w="0" w:type="dxa"/>
                    <w:right w:w="57" w:type="dxa"/>
                  </w:tcMar>
                  <w:vAlign w:val="center"/>
                </w:tcPr>
                <w:p w14:paraId="6448568B">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3</w:t>
                  </w:r>
                </w:p>
              </w:tc>
              <w:tc>
                <w:tcPr>
                  <w:tcW w:w="300" w:type="pct"/>
                  <w:vMerge w:val="restart"/>
                  <w:tcBorders>
                    <w:tl2br w:val="nil"/>
                    <w:tr2bl w:val="nil"/>
                  </w:tcBorders>
                  <w:noWrap w:val="0"/>
                  <w:tcMar>
                    <w:top w:w="0" w:type="dxa"/>
                    <w:left w:w="57" w:type="dxa"/>
                    <w:bottom w:w="0" w:type="dxa"/>
                    <w:right w:w="57" w:type="dxa"/>
                  </w:tcMar>
                  <w:vAlign w:val="center"/>
                </w:tcPr>
                <w:p w14:paraId="4281A4FC">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限制准入类</w:t>
                  </w:r>
                </w:p>
              </w:tc>
              <w:tc>
                <w:tcPr>
                  <w:tcW w:w="397" w:type="pct"/>
                  <w:tcBorders>
                    <w:tl2br w:val="nil"/>
                    <w:tr2bl w:val="nil"/>
                  </w:tcBorders>
                  <w:noWrap w:val="0"/>
                  <w:tcMar>
                    <w:top w:w="0" w:type="dxa"/>
                    <w:left w:w="57" w:type="dxa"/>
                    <w:bottom w:w="0" w:type="dxa"/>
                    <w:right w:w="57" w:type="dxa"/>
                  </w:tcMar>
                  <w:vAlign w:val="center"/>
                </w:tcPr>
                <w:p w14:paraId="5FB98697">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全市范围内不予准入的产业</w:t>
                  </w:r>
                </w:p>
              </w:tc>
              <w:tc>
                <w:tcPr>
                  <w:tcW w:w="2160" w:type="pct"/>
                  <w:tcBorders>
                    <w:tl2br w:val="nil"/>
                    <w:tr2bl w:val="nil"/>
                  </w:tcBorders>
                  <w:noWrap w:val="0"/>
                  <w:tcMar>
                    <w:top w:w="0" w:type="dxa"/>
                    <w:left w:w="57" w:type="dxa"/>
                    <w:bottom w:w="0" w:type="dxa"/>
                    <w:right w:w="57" w:type="dxa"/>
                  </w:tcMar>
                  <w:vAlign w:val="center"/>
                </w:tcPr>
                <w:p w14:paraId="118B9004">
                  <w:pPr>
                    <w:adjustRightInd w:val="0"/>
                    <w:snapToGrid w:val="0"/>
                    <w:spacing w:line="240" w:lineRule="auto"/>
                    <w:ind w:firstLine="0" w:firstLineChars="0"/>
                    <w:jc w:val="both"/>
                    <w:rPr>
                      <w:rFonts w:hint="eastAsia"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1．新建、扩建不符合国家产能置换要求的严重过剩产能行业的项目。新建、扩建不符合要求的高耗能高排放项目。</w:t>
                  </w:r>
                </w:p>
                <w:p w14:paraId="0C901D05">
                  <w:pPr>
                    <w:adjustRightInd w:val="0"/>
                    <w:snapToGrid w:val="0"/>
                    <w:spacing w:line="240" w:lineRule="auto"/>
                    <w:ind w:firstLine="0" w:firstLineChars="0"/>
                    <w:jc w:val="both"/>
                    <w:rPr>
                      <w:rFonts w:hint="eastAsia"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2．新建、扩建不符合国家石化、现代煤化工等产业布局规划的项目。</w:t>
                  </w:r>
                </w:p>
                <w:p w14:paraId="659E2C09">
                  <w:pPr>
                    <w:adjustRightInd w:val="0"/>
                    <w:snapToGrid w:val="0"/>
                    <w:spacing w:line="240" w:lineRule="auto"/>
                    <w:ind w:firstLine="0" w:firstLineChars="0"/>
                    <w:jc w:val="both"/>
                    <w:rPr>
                      <w:rFonts w:hint="eastAsia"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3．在合规园区外新建、扩建钢铁、石化、化工、焦化、建材、有色、制浆造纸等高污染项目。</w:t>
                  </w:r>
                </w:p>
                <w:p w14:paraId="1CB4669E">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4．《汽车产业投资管理规定》（国家发展和改革委员会令第22号）明确禁止建设的汽车投资项目。</w:t>
                  </w:r>
                </w:p>
              </w:tc>
              <w:tc>
                <w:tcPr>
                  <w:tcW w:w="1599" w:type="pct"/>
                  <w:tcBorders>
                    <w:tl2br w:val="nil"/>
                    <w:tr2bl w:val="nil"/>
                  </w:tcBorders>
                  <w:noWrap w:val="0"/>
                  <w:tcMar>
                    <w:top w:w="0" w:type="dxa"/>
                    <w:left w:w="57" w:type="dxa"/>
                    <w:bottom w:w="0" w:type="dxa"/>
                    <w:right w:w="57" w:type="dxa"/>
                  </w:tcMar>
                  <w:vAlign w:val="center"/>
                </w:tcPr>
                <w:p w14:paraId="21034F16">
                  <w:pPr>
                    <w:adjustRightInd w:val="0"/>
                    <w:snapToGrid w:val="0"/>
                    <w:spacing w:line="240" w:lineRule="auto"/>
                    <w:ind w:firstLine="0" w:firstLineChars="0"/>
                    <w:jc w:val="left"/>
                    <w:rPr>
                      <w:rFonts w:hint="default"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本项目不属于产能过剩行业；不属于高耗能高排放项目；不属于石化、现代煤化工项目；本项目为有色金属合金制造及铸造，不属于有色金属冶炼，不属于不符合要求的高耗能高排放项目；不属于汽车投资项目</w:t>
                  </w:r>
                </w:p>
              </w:tc>
              <w:tc>
                <w:tcPr>
                  <w:tcW w:w="287" w:type="pct"/>
                  <w:tcBorders>
                    <w:tl2br w:val="nil"/>
                    <w:tr2bl w:val="nil"/>
                  </w:tcBorders>
                  <w:noWrap w:val="0"/>
                  <w:tcMar>
                    <w:top w:w="0" w:type="dxa"/>
                    <w:left w:w="57" w:type="dxa"/>
                    <w:bottom w:w="0" w:type="dxa"/>
                    <w:right w:w="57" w:type="dxa"/>
                  </w:tcMar>
                  <w:vAlign w:val="center"/>
                </w:tcPr>
                <w:p w14:paraId="08B37FE9">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符合</w:t>
                  </w:r>
                </w:p>
              </w:tc>
            </w:tr>
            <w:tr w14:paraId="1066C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4" w:type="pct"/>
                  <w:tcBorders>
                    <w:tl2br w:val="nil"/>
                    <w:tr2bl w:val="nil"/>
                  </w:tcBorders>
                  <w:noWrap w:val="0"/>
                  <w:tcMar>
                    <w:top w:w="0" w:type="dxa"/>
                    <w:left w:w="57" w:type="dxa"/>
                    <w:bottom w:w="0" w:type="dxa"/>
                    <w:right w:w="57" w:type="dxa"/>
                  </w:tcMar>
                  <w:vAlign w:val="center"/>
                </w:tcPr>
                <w:p w14:paraId="5BBABC6F">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4</w:t>
                  </w:r>
                </w:p>
              </w:tc>
              <w:tc>
                <w:tcPr>
                  <w:tcW w:w="300" w:type="pct"/>
                  <w:vMerge w:val="continue"/>
                  <w:tcBorders>
                    <w:tl2br w:val="nil"/>
                    <w:tr2bl w:val="nil"/>
                  </w:tcBorders>
                  <w:noWrap w:val="0"/>
                  <w:tcMar>
                    <w:top w:w="0" w:type="dxa"/>
                    <w:left w:w="57" w:type="dxa"/>
                    <w:bottom w:w="0" w:type="dxa"/>
                    <w:right w:w="57" w:type="dxa"/>
                  </w:tcMar>
                  <w:vAlign w:val="center"/>
                </w:tcPr>
                <w:p w14:paraId="449336A3">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p>
              </w:tc>
              <w:tc>
                <w:tcPr>
                  <w:tcW w:w="397" w:type="pct"/>
                  <w:tcBorders>
                    <w:tl2br w:val="nil"/>
                    <w:tr2bl w:val="nil"/>
                  </w:tcBorders>
                  <w:noWrap w:val="0"/>
                  <w:tcMar>
                    <w:top w:w="0" w:type="dxa"/>
                    <w:left w:w="57" w:type="dxa"/>
                    <w:bottom w:w="0" w:type="dxa"/>
                    <w:right w:w="57" w:type="dxa"/>
                  </w:tcMar>
                  <w:vAlign w:val="center"/>
                </w:tcPr>
                <w:p w14:paraId="3E9F84F7">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重点区域范围内不予准入的产业</w:t>
                  </w:r>
                </w:p>
              </w:tc>
              <w:tc>
                <w:tcPr>
                  <w:tcW w:w="2160" w:type="pct"/>
                  <w:tcBorders>
                    <w:tl2br w:val="nil"/>
                    <w:tr2bl w:val="nil"/>
                  </w:tcBorders>
                  <w:noWrap w:val="0"/>
                  <w:tcMar>
                    <w:top w:w="0" w:type="dxa"/>
                    <w:left w:w="57" w:type="dxa"/>
                    <w:bottom w:w="0" w:type="dxa"/>
                    <w:right w:w="57" w:type="dxa"/>
                  </w:tcMar>
                  <w:vAlign w:val="center"/>
                </w:tcPr>
                <w:p w14:paraId="581A6073">
                  <w:pPr>
                    <w:adjustRightInd w:val="0"/>
                    <w:snapToGrid w:val="0"/>
                    <w:spacing w:line="240" w:lineRule="auto"/>
                    <w:ind w:firstLine="0" w:firstLineChars="0"/>
                    <w:jc w:val="both"/>
                    <w:rPr>
                      <w:rFonts w:hint="eastAsia"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1．长江干支流、重要湖泊岸线1公里范围内新建、扩建化工园区和化工项目，长江、嘉陵江、乌江岸线1公里范围内布局新建纸浆制造、印染等存在环境风险的项目。</w:t>
                  </w:r>
                </w:p>
                <w:p w14:paraId="62C851DB">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2．在水产种质资源保护区的岸线和河段范围内新建围湖造田等投资建设项目。</w:t>
                  </w:r>
                </w:p>
              </w:tc>
              <w:tc>
                <w:tcPr>
                  <w:tcW w:w="1599" w:type="pct"/>
                  <w:tcBorders>
                    <w:tl2br w:val="nil"/>
                    <w:tr2bl w:val="nil"/>
                  </w:tcBorders>
                  <w:noWrap w:val="0"/>
                  <w:tcMar>
                    <w:top w:w="0" w:type="dxa"/>
                    <w:left w:w="57" w:type="dxa"/>
                    <w:bottom w:w="0" w:type="dxa"/>
                    <w:right w:w="57" w:type="dxa"/>
                  </w:tcMar>
                  <w:vAlign w:val="center"/>
                </w:tcPr>
                <w:p w14:paraId="5472D33E">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本项目不属于新建纸浆制造、印染等存在环境风险的项目；不位于水产种质资源保护区的岸线和河段范围内</w:t>
                  </w:r>
                </w:p>
              </w:tc>
              <w:tc>
                <w:tcPr>
                  <w:tcW w:w="287" w:type="pct"/>
                  <w:tcBorders>
                    <w:tl2br w:val="nil"/>
                    <w:tr2bl w:val="nil"/>
                  </w:tcBorders>
                  <w:noWrap w:val="0"/>
                  <w:tcMar>
                    <w:top w:w="0" w:type="dxa"/>
                    <w:left w:w="57" w:type="dxa"/>
                    <w:bottom w:w="0" w:type="dxa"/>
                    <w:right w:w="57" w:type="dxa"/>
                  </w:tcMar>
                  <w:vAlign w:val="center"/>
                </w:tcPr>
                <w:p w14:paraId="4318F740">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符合</w:t>
                  </w:r>
                </w:p>
              </w:tc>
            </w:tr>
          </w:tbl>
          <w:p w14:paraId="731393AD">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p>
          <w:p w14:paraId="39B95501">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综上分析，本项目符合《关于印发重庆市产业投资准入工作手册的通知（</w:t>
            </w:r>
            <w:r>
              <w:rPr>
                <w:rFonts w:hint="default" w:ascii="Times New Roman" w:hAnsi="Times New Roman" w:eastAsia="宋体" w:cs="Times New Roman"/>
                <w:color w:val="auto"/>
                <w:sz w:val="26"/>
                <w:szCs w:val="26"/>
                <w:lang w:val="en-US" w:eastAsia="zh-CN"/>
              </w:rPr>
              <w:t>渝发改投资〔2022〕1436号</w:t>
            </w:r>
            <w:r>
              <w:rPr>
                <w:rFonts w:hint="eastAsia" w:ascii="Times New Roman" w:hAnsi="Times New Roman" w:eastAsia="宋体" w:cs="Times New Roman"/>
                <w:color w:val="auto"/>
                <w:sz w:val="26"/>
                <w:szCs w:val="26"/>
                <w:lang w:val="en-US" w:eastAsia="zh-CN"/>
              </w:rPr>
              <w:t>）中准入要求</w:t>
            </w:r>
            <w:r>
              <w:rPr>
                <w:rFonts w:hint="default" w:ascii="Times New Roman" w:hAnsi="Times New Roman" w:eastAsia="宋体" w:cs="Times New Roman"/>
                <w:color w:val="auto"/>
                <w:sz w:val="26"/>
                <w:szCs w:val="26"/>
                <w:lang w:val="en-US" w:eastAsia="zh-CN"/>
              </w:rPr>
              <w:t>。</w:t>
            </w:r>
          </w:p>
          <w:p w14:paraId="22B0D284">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1.4</w:t>
            </w:r>
            <w:r>
              <w:rPr>
                <w:rFonts w:hint="default" w:ascii="Times New Roman" w:hAnsi="Times New Roman" w:eastAsia="宋体" w:cs="Times New Roman"/>
                <w:b/>
                <w:bCs/>
                <w:color w:val="auto"/>
                <w:sz w:val="26"/>
                <w:szCs w:val="26"/>
                <w:lang w:val="en-US" w:eastAsia="zh-CN"/>
              </w:rPr>
              <w:t>环保政策符合性分析</w:t>
            </w:r>
          </w:p>
          <w:p w14:paraId="7A2ECD39">
            <w:pPr>
              <w:keepNext w:val="0"/>
              <w:keepLines w:val="0"/>
              <w:pageBreakBefore w:val="0"/>
              <w:widowControl/>
              <w:kinsoku/>
              <w:wordWrap/>
              <w:overflowPunct/>
              <w:topLinePunct w:val="0"/>
              <w:autoSpaceDE/>
              <w:autoSpaceDN/>
              <w:bidi w:val="0"/>
              <w:spacing w:line="460" w:lineRule="exact"/>
              <w:jc w:val="left"/>
              <w:textAlignment w:val="auto"/>
              <w:rPr>
                <w:rFonts w:hint="default" w:ascii="Times New Roman" w:hAnsi="Times New Roman" w:cs="Times New Roman"/>
                <w:b/>
                <w:bCs/>
                <w:color w:val="auto"/>
                <w:sz w:val="26"/>
                <w:szCs w:val="26"/>
              </w:rPr>
            </w:pPr>
            <w:r>
              <w:rPr>
                <w:rFonts w:hint="eastAsia" w:ascii="Times New Roman" w:hAnsi="Times New Roman" w:cs="Times New Roman"/>
                <w:b/>
                <w:bCs/>
                <w:color w:val="auto"/>
                <w:kern w:val="0"/>
                <w:sz w:val="26"/>
                <w:szCs w:val="26"/>
                <w:lang w:val="en-US" w:eastAsia="zh-CN"/>
              </w:rPr>
              <w:t>1.4.1</w:t>
            </w:r>
            <w:r>
              <w:rPr>
                <w:rFonts w:hint="default" w:ascii="Times New Roman" w:hAnsi="Times New Roman" w:cs="Times New Roman"/>
                <w:b/>
                <w:bCs/>
                <w:color w:val="auto"/>
                <w:sz w:val="26"/>
                <w:szCs w:val="26"/>
              </w:rPr>
              <w:t>与《中华人民共和国长江保护法》的符合性分析</w:t>
            </w:r>
          </w:p>
          <w:p w14:paraId="69DB773A">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cs="Times New Roman"/>
                <w:color w:val="auto"/>
                <w:sz w:val="26"/>
                <w:szCs w:val="26"/>
                <w:highlight w:val="none"/>
              </w:rPr>
            </w:pPr>
            <w:r>
              <w:rPr>
                <w:rFonts w:hint="default" w:ascii="Times New Roman" w:hAnsi="Times New Roman" w:eastAsia="宋体" w:cs="Times New Roman"/>
                <w:color w:val="auto"/>
                <w:sz w:val="26"/>
                <w:szCs w:val="26"/>
                <w:highlight w:val="none"/>
              </w:rPr>
              <w:t>根据《中华人民共和国长江保护法》第26条有关规定“</w:t>
            </w:r>
            <w:r>
              <w:rPr>
                <w:rFonts w:hint="default" w:ascii="Times New Roman" w:hAnsi="Times New Roman" w:cs="Times New Roman"/>
                <w:color w:val="auto"/>
                <w:sz w:val="26"/>
                <w:szCs w:val="26"/>
                <w:highlight w:val="none"/>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14:paraId="749B8D46">
            <w:pPr>
              <w:keepNext w:val="0"/>
              <w:keepLines w:val="0"/>
              <w:pageBreakBefore w:val="0"/>
              <w:widowControl/>
              <w:kinsoku/>
              <w:wordWrap/>
              <w:overflowPunct/>
              <w:topLinePunct w:val="0"/>
              <w:autoSpaceDE/>
              <w:autoSpaceDN/>
              <w:bidi w:val="0"/>
              <w:spacing w:line="460" w:lineRule="exact"/>
              <w:ind w:firstLine="520" w:firstLineChars="200"/>
              <w:jc w:val="left"/>
              <w:textAlignment w:val="auto"/>
              <w:rPr>
                <w:rFonts w:hint="default" w:ascii="Times New Roman" w:hAnsi="Times New Roman" w:cs="Times New Roman"/>
                <w:color w:val="auto"/>
                <w:kern w:val="0"/>
                <w:sz w:val="26"/>
                <w:szCs w:val="26"/>
              </w:rPr>
            </w:pPr>
            <w:r>
              <w:rPr>
                <w:rFonts w:hint="eastAsia" w:ascii="Times New Roman" w:hAnsi="Times New Roman" w:eastAsia="宋体" w:cs="Times New Roman"/>
                <w:color w:val="auto"/>
                <w:kern w:val="0"/>
                <w:sz w:val="26"/>
                <w:szCs w:val="26"/>
                <w:lang w:val="en-US" w:eastAsia="zh-CN"/>
              </w:rPr>
              <w:t>本</w:t>
            </w:r>
            <w:r>
              <w:rPr>
                <w:rFonts w:hint="default" w:ascii="Times New Roman" w:hAnsi="Times New Roman" w:eastAsia="宋体" w:cs="Times New Roman"/>
                <w:color w:val="auto"/>
                <w:kern w:val="0"/>
                <w:sz w:val="26"/>
                <w:szCs w:val="26"/>
              </w:rPr>
              <w:t>项目</w:t>
            </w:r>
            <w:r>
              <w:rPr>
                <w:rFonts w:hint="default" w:ascii="Times New Roman" w:hAnsi="Times New Roman" w:eastAsia="宋体" w:cs="Times New Roman"/>
                <w:color w:val="auto"/>
                <w:sz w:val="26"/>
                <w:szCs w:val="26"/>
                <w:lang w:val="en-US" w:eastAsia="zh-CN"/>
              </w:rPr>
              <w:t>位于西彭组团</w:t>
            </w:r>
            <w:r>
              <w:rPr>
                <w:rFonts w:hint="eastAsia" w:ascii="Times New Roman" w:hAnsi="Times New Roman" w:eastAsia="宋体" w:cs="Times New Roman"/>
                <w:color w:val="auto"/>
                <w:sz w:val="26"/>
                <w:szCs w:val="26"/>
                <w:lang w:val="en-US" w:eastAsia="zh-CN"/>
              </w:rPr>
              <w:t>B分区西南铝片区，属于有色金属合金制造及铸造行业</w:t>
            </w:r>
            <w:r>
              <w:rPr>
                <w:rFonts w:hint="eastAsia" w:ascii="Times New Roman" w:hAnsi="Times New Roman" w:eastAsia="宋体" w:cs="Times New Roman"/>
                <w:color w:val="auto"/>
                <w:kern w:val="0"/>
                <w:sz w:val="26"/>
                <w:szCs w:val="26"/>
                <w:lang w:eastAsia="zh-CN"/>
              </w:rPr>
              <w:t>。</w:t>
            </w:r>
            <w:r>
              <w:rPr>
                <w:rFonts w:hint="eastAsia" w:ascii="Times New Roman" w:hAnsi="Times New Roman" w:eastAsia="宋体" w:cs="Times New Roman"/>
                <w:color w:val="auto"/>
                <w:kern w:val="0"/>
                <w:sz w:val="26"/>
                <w:szCs w:val="26"/>
                <w:lang w:val="en-US" w:eastAsia="zh-CN"/>
              </w:rPr>
              <w:t>综上，本</w:t>
            </w:r>
            <w:r>
              <w:rPr>
                <w:rFonts w:hint="eastAsia" w:ascii="Times New Roman" w:hAnsi="Times New Roman" w:eastAsia="宋体" w:cs="Times New Roman"/>
                <w:color w:val="auto"/>
                <w:kern w:val="0"/>
                <w:sz w:val="26"/>
                <w:szCs w:val="26"/>
                <w:lang w:eastAsia="zh-CN"/>
              </w:rPr>
              <w:t>项目符合《中华人民共</w:t>
            </w:r>
            <w:r>
              <w:rPr>
                <w:rFonts w:hint="eastAsia" w:ascii="Times New Roman" w:hAnsi="Times New Roman" w:cs="Times New Roman"/>
                <w:color w:val="auto"/>
                <w:kern w:val="0"/>
                <w:sz w:val="26"/>
                <w:szCs w:val="26"/>
                <w:lang w:eastAsia="zh-CN"/>
              </w:rPr>
              <w:t>和国长江保护法》</w:t>
            </w:r>
            <w:r>
              <w:rPr>
                <w:rFonts w:hint="default" w:ascii="Times New Roman" w:hAnsi="Times New Roman" w:cs="Times New Roman"/>
                <w:color w:val="auto"/>
                <w:kern w:val="0"/>
                <w:sz w:val="26"/>
                <w:szCs w:val="26"/>
              </w:rPr>
              <w:t>。</w:t>
            </w:r>
          </w:p>
          <w:p w14:paraId="66E2FD95">
            <w:pPr>
              <w:keepNext w:val="0"/>
              <w:keepLines w:val="0"/>
              <w:pageBreakBefore w:val="0"/>
              <w:widowControl/>
              <w:kinsoku/>
              <w:wordWrap/>
              <w:overflowPunct/>
              <w:topLinePunct w:val="0"/>
              <w:autoSpaceDE/>
              <w:autoSpaceDN/>
              <w:bidi w:val="0"/>
              <w:spacing w:line="460" w:lineRule="exact"/>
              <w:jc w:val="left"/>
              <w:textAlignment w:val="auto"/>
              <w:rPr>
                <w:rFonts w:hint="eastAsia" w:ascii="Times New Roman" w:hAnsi="Times New Roman" w:cs="Times New Roman"/>
                <w:b/>
                <w:bCs/>
                <w:color w:val="auto"/>
                <w:kern w:val="0"/>
                <w:sz w:val="26"/>
                <w:szCs w:val="26"/>
                <w:lang w:val="en-US" w:eastAsia="zh-CN"/>
              </w:rPr>
            </w:pPr>
            <w:r>
              <w:rPr>
                <w:rFonts w:hint="eastAsia" w:ascii="Times New Roman" w:hAnsi="Times New Roman" w:cs="Times New Roman"/>
                <w:b/>
                <w:bCs/>
                <w:color w:val="auto"/>
                <w:kern w:val="0"/>
                <w:sz w:val="26"/>
                <w:szCs w:val="26"/>
                <w:lang w:val="en-US" w:eastAsia="zh-CN"/>
              </w:rPr>
              <w:t>1.4.2与《长江经济带发展负面清单指南（试行，2022 年版）》（长江办</w:t>
            </w:r>
            <w:r>
              <w:rPr>
                <w:rFonts w:hint="default" w:ascii="Times New Roman" w:hAnsi="Times New Roman" w:eastAsia="宋体" w:cs="Times New Roman"/>
                <w:b/>
                <w:bCs/>
                <w:color w:val="auto"/>
                <w:kern w:val="0"/>
                <w:sz w:val="26"/>
                <w:szCs w:val="26"/>
                <w:lang w:val="en-US" w:eastAsia="zh-CN"/>
              </w:rPr>
              <w:t>〔2022〕</w:t>
            </w:r>
            <w:r>
              <w:rPr>
                <w:rFonts w:hint="eastAsia" w:ascii="Times New Roman" w:hAnsi="Times New Roman" w:eastAsia="宋体" w:cs="Times New Roman"/>
                <w:b/>
                <w:bCs/>
                <w:color w:val="auto"/>
                <w:kern w:val="0"/>
                <w:sz w:val="26"/>
                <w:szCs w:val="26"/>
                <w:lang w:val="en-US" w:eastAsia="zh-CN"/>
              </w:rPr>
              <w:t>7号</w:t>
            </w:r>
            <w:r>
              <w:rPr>
                <w:rFonts w:hint="eastAsia" w:ascii="Times New Roman" w:hAnsi="Times New Roman" w:cs="Times New Roman"/>
                <w:b/>
                <w:bCs/>
                <w:color w:val="auto"/>
                <w:kern w:val="0"/>
                <w:sz w:val="26"/>
                <w:szCs w:val="26"/>
                <w:lang w:val="en-US" w:eastAsia="zh-CN"/>
              </w:rPr>
              <w:t>）</w:t>
            </w:r>
            <w:r>
              <w:rPr>
                <w:rFonts w:hint="eastAsia" w:ascii="Times New Roman" w:hAnsi="Times New Roman" w:eastAsia="宋体" w:cs="Times New Roman"/>
                <w:b/>
                <w:bCs/>
                <w:color w:val="auto"/>
                <w:kern w:val="0"/>
                <w:sz w:val="26"/>
                <w:szCs w:val="26"/>
                <w:lang w:val="en-US" w:eastAsia="zh-CN"/>
              </w:rPr>
              <w:t>的符</w:t>
            </w:r>
            <w:r>
              <w:rPr>
                <w:rFonts w:hint="eastAsia" w:ascii="Times New Roman" w:hAnsi="Times New Roman" w:cs="Times New Roman"/>
                <w:b/>
                <w:bCs/>
                <w:color w:val="auto"/>
                <w:kern w:val="0"/>
                <w:sz w:val="26"/>
                <w:szCs w:val="26"/>
                <w:lang w:val="en-US" w:eastAsia="zh-CN"/>
              </w:rPr>
              <w:t>合性分析</w:t>
            </w:r>
          </w:p>
          <w:p w14:paraId="35650441">
            <w:pPr>
              <w:widowControl/>
              <w:spacing w:line="460" w:lineRule="exact"/>
              <w:ind w:firstLine="520" w:firstLineChars="200"/>
              <w:jc w:val="left"/>
              <w:rPr>
                <w:rFonts w:hint="default" w:ascii="Times New Roman" w:hAnsi="Times New Roman" w:eastAsia="宋体" w:cs="Times New Roman"/>
                <w:color w:val="auto"/>
                <w:kern w:val="0"/>
                <w:sz w:val="26"/>
                <w:szCs w:val="26"/>
                <w:lang w:eastAsia="zh-CN"/>
              </w:rPr>
            </w:pPr>
            <w:r>
              <w:rPr>
                <w:rFonts w:hint="eastAsia" w:ascii="Times New Roman" w:hAnsi="Times New Roman" w:eastAsia="宋体" w:cs="Times New Roman"/>
                <w:color w:val="auto"/>
                <w:kern w:val="0"/>
                <w:sz w:val="26"/>
                <w:szCs w:val="26"/>
                <w:lang w:val="en-US" w:eastAsia="zh-CN"/>
              </w:rPr>
              <w:t>指南</w:t>
            </w:r>
            <w:r>
              <w:rPr>
                <w:rFonts w:hint="default" w:ascii="Times New Roman" w:hAnsi="Times New Roman" w:eastAsia="宋体" w:cs="Times New Roman"/>
                <w:color w:val="auto"/>
                <w:kern w:val="0"/>
                <w:sz w:val="26"/>
                <w:szCs w:val="26"/>
              </w:rPr>
              <w:t>中</w:t>
            </w:r>
            <w:r>
              <w:rPr>
                <w:rFonts w:hint="eastAsia" w:ascii="Times New Roman" w:hAnsi="Times New Roman" w:eastAsia="宋体" w:cs="Times New Roman"/>
                <w:color w:val="auto"/>
                <w:kern w:val="0"/>
                <w:sz w:val="26"/>
                <w:szCs w:val="26"/>
                <w:lang w:val="en-US" w:eastAsia="zh-CN"/>
              </w:rPr>
              <w:t>坚持“生态优先、绿色发展”的战略定位和“共抓大保护</w:t>
            </w:r>
            <w:r>
              <w:rPr>
                <w:rFonts w:hint="default" w:ascii="Times New Roman" w:hAnsi="Times New Roman" w:eastAsia="宋体" w:cs="Times New Roman"/>
                <w:color w:val="auto"/>
                <w:kern w:val="0"/>
                <w:sz w:val="26"/>
                <w:szCs w:val="26"/>
              </w:rPr>
              <w:t>、不搞大开发</w:t>
            </w:r>
            <w:r>
              <w:rPr>
                <w:rFonts w:hint="eastAsia" w:ascii="Times New Roman" w:hAnsi="Times New Roman" w:eastAsia="宋体" w:cs="Times New Roman"/>
                <w:color w:val="auto"/>
                <w:kern w:val="0"/>
                <w:sz w:val="26"/>
                <w:szCs w:val="26"/>
                <w:lang w:val="en-US" w:eastAsia="zh-CN"/>
              </w:rPr>
              <w:t>”的战略导向</w:t>
            </w:r>
            <w:r>
              <w:rPr>
                <w:rFonts w:hint="default" w:ascii="Times New Roman" w:hAnsi="Times New Roman" w:eastAsia="宋体" w:cs="Times New Roman"/>
                <w:color w:val="auto"/>
                <w:kern w:val="0"/>
                <w:sz w:val="26"/>
                <w:szCs w:val="26"/>
              </w:rPr>
              <w:t>，</w:t>
            </w:r>
            <w:r>
              <w:rPr>
                <w:rFonts w:hint="eastAsia" w:ascii="Times New Roman" w:hAnsi="Times New Roman" w:eastAsia="宋体" w:cs="Times New Roman"/>
                <w:color w:val="auto"/>
                <w:kern w:val="0"/>
                <w:sz w:val="26"/>
                <w:szCs w:val="26"/>
                <w:lang w:val="en-US" w:eastAsia="zh-CN"/>
              </w:rPr>
              <w:t>本</w:t>
            </w:r>
            <w:r>
              <w:rPr>
                <w:rFonts w:hint="eastAsia" w:ascii="Times New Roman" w:hAnsi="Times New Roman" w:eastAsia="宋体" w:cs="Times New Roman"/>
                <w:color w:val="auto"/>
                <w:kern w:val="0"/>
                <w:sz w:val="26"/>
                <w:szCs w:val="26"/>
                <w:lang w:eastAsia="zh-CN"/>
              </w:rPr>
              <w:t>项目</w:t>
            </w:r>
            <w:r>
              <w:rPr>
                <w:rFonts w:hint="default" w:ascii="Times New Roman" w:hAnsi="Times New Roman" w:eastAsia="宋体" w:cs="Times New Roman"/>
                <w:color w:val="auto"/>
                <w:kern w:val="0"/>
                <w:sz w:val="26"/>
                <w:szCs w:val="26"/>
                <w:lang w:eastAsia="zh-CN"/>
              </w:rPr>
              <w:t>与</w:t>
            </w:r>
            <w:r>
              <w:rPr>
                <w:rFonts w:hint="eastAsia" w:ascii="Times New Roman" w:hAnsi="Times New Roman" w:eastAsia="宋体" w:cs="Times New Roman"/>
                <w:color w:val="auto"/>
                <w:kern w:val="0"/>
                <w:sz w:val="26"/>
                <w:szCs w:val="26"/>
                <w:lang w:val="en-US" w:eastAsia="zh-CN"/>
              </w:rPr>
              <w:t>《长江经济带发展负面清单指南（试行，2022年版）》</w:t>
            </w:r>
            <w:r>
              <w:rPr>
                <w:rFonts w:hint="default" w:ascii="Times New Roman" w:hAnsi="Times New Roman" w:eastAsia="宋体" w:cs="Times New Roman"/>
                <w:color w:val="auto"/>
                <w:kern w:val="0"/>
                <w:sz w:val="26"/>
                <w:szCs w:val="26"/>
                <w:lang w:eastAsia="zh-CN"/>
              </w:rPr>
              <w:t>的符合性对比分析</w:t>
            </w:r>
            <w:r>
              <w:rPr>
                <w:rFonts w:hint="eastAsia" w:ascii="Times New Roman" w:hAnsi="Times New Roman" w:eastAsia="宋体" w:cs="Times New Roman"/>
                <w:color w:val="auto"/>
                <w:kern w:val="0"/>
                <w:sz w:val="26"/>
                <w:szCs w:val="26"/>
                <w:lang w:val="en-US" w:eastAsia="zh-CN"/>
              </w:rPr>
              <w:t>详见下表</w:t>
            </w:r>
            <w:r>
              <w:rPr>
                <w:rFonts w:hint="default" w:ascii="Times New Roman" w:hAnsi="Times New Roman" w:eastAsia="宋体" w:cs="Times New Roman"/>
                <w:color w:val="auto"/>
                <w:kern w:val="0"/>
                <w:sz w:val="26"/>
                <w:szCs w:val="26"/>
                <w:lang w:eastAsia="zh-CN"/>
              </w:rPr>
              <w:t>。</w:t>
            </w:r>
          </w:p>
          <w:p w14:paraId="01BC7199">
            <w:pPr>
              <w:autoSpaceDE w:val="0"/>
              <w:autoSpaceDN w:val="0"/>
              <w:adjustRightInd w:val="0"/>
              <w:snapToGrid w:val="0"/>
              <w:spacing w:line="460" w:lineRule="exact"/>
              <w:jc w:val="center"/>
              <w:rPr>
                <w:rFonts w:hint="default" w:ascii="Times New Roman" w:hAnsi="Times New Roman" w:eastAsia="宋体" w:cs="Times New Roman"/>
                <w:b/>
                <w:bCs/>
                <w:color w:val="auto"/>
                <w:kern w:val="0"/>
                <w:sz w:val="26"/>
                <w:szCs w:val="26"/>
              </w:rPr>
            </w:pPr>
            <w:r>
              <w:rPr>
                <w:rFonts w:hint="default" w:ascii="Times New Roman" w:hAnsi="Times New Roman" w:eastAsia="宋体" w:cs="Times New Roman"/>
                <w:b/>
                <w:bCs/>
                <w:color w:val="auto"/>
                <w:kern w:val="0"/>
                <w:sz w:val="26"/>
                <w:szCs w:val="26"/>
              </w:rPr>
              <w:t>表</w:t>
            </w:r>
            <w:r>
              <w:rPr>
                <w:rFonts w:hint="default" w:ascii="Times New Roman" w:hAnsi="Times New Roman" w:eastAsia="宋体" w:cs="Times New Roman"/>
                <w:b/>
                <w:bCs/>
                <w:color w:val="auto"/>
                <w:kern w:val="0"/>
                <w:sz w:val="26"/>
                <w:szCs w:val="26"/>
                <w:lang w:val="en-US" w:eastAsia="zh-CN"/>
              </w:rPr>
              <w:t>1.</w:t>
            </w:r>
            <w:r>
              <w:rPr>
                <w:rFonts w:hint="eastAsia" w:ascii="Times New Roman" w:hAnsi="Times New Roman" w:eastAsia="宋体" w:cs="Times New Roman"/>
                <w:b/>
                <w:bCs/>
                <w:color w:val="auto"/>
                <w:kern w:val="0"/>
                <w:sz w:val="26"/>
                <w:szCs w:val="26"/>
                <w:lang w:val="en-US" w:eastAsia="zh-CN"/>
              </w:rPr>
              <w:t>4</w:t>
            </w:r>
            <w:r>
              <w:rPr>
                <w:rFonts w:hint="default" w:ascii="Times New Roman" w:hAnsi="Times New Roman" w:eastAsia="宋体" w:cs="Times New Roman"/>
                <w:b/>
                <w:bCs/>
                <w:color w:val="auto"/>
                <w:kern w:val="0"/>
                <w:sz w:val="26"/>
                <w:szCs w:val="26"/>
                <w:lang w:val="en-US" w:eastAsia="zh-CN"/>
              </w:rPr>
              <w:t>-</w:t>
            </w:r>
            <w:r>
              <w:rPr>
                <w:rFonts w:hint="eastAsia" w:ascii="Times New Roman" w:hAnsi="Times New Roman" w:eastAsia="宋体" w:cs="Times New Roman"/>
                <w:b/>
                <w:bCs/>
                <w:color w:val="auto"/>
                <w:kern w:val="0"/>
                <w:sz w:val="26"/>
                <w:szCs w:val="26"/>
                <w:lang w:val="en-US" w:eastAsia="zh-CN"/>
              </w:rPr>
              <w:t xml:space="preserve">1  </w:t>
            </w:r>
            <w:r>
              <w:rPr>
                <w:rFonts w:hint="default" w:ascii="Times New Roman" w:hAnsi="Times New Roman" w:eastAsia="宋体" w:cs="Times New Roman"/>
                <w:b/>
                <w:bCs/>
                <w:color w:val="auto"/>
                <w:kern w:val="0"/>
                <w:sz w:val="26"/>
                <w:szCs w:val="26"/>
              </w:rPr>
              <w:t>与</w:t>
            </w:r>
            <w:r>
              <w:rPr>
                <w:rFonts w:hint="eastAsia" w:ascii="Times New Roman" w:hAnsi="Times New Roman" w:eastAsia="宋体" w:cs="Times New Roman"/>
                <w:b/>
                <w:bCs/>
                <w:color w:val="auto"/>
                <w:kern w:val="0"/>
                <w:sz w:val="26"/>
                <w:szCs w:val="26"/>
                <w:lang w:val="en-US" w:eastAsia="zh-CN"/>
              </w:rPr>
              <w:t>《长江经济带发展负面清单指南（试行，2022年版）》</w:t>
            </w:r>
            <w:r>
              <w:rPr>
                <w:rFonts w:hint="default" w:ascii="Times New Roman" w:hAnsi="Times New Roman" w:eastAsia="宋体" w:cs="Times New Roman"/>
                <w:b/>
                <w:bCs/>
                <w:color w:val="auto"/>
                <w:kern w:val="0"/>
                <w:sz w:val="26"/>
                <w:szCs w:val="26"/>
              </w:rPr>
              <w:t>符合性分析</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4"/>
              <w:gridCol w:w="3473"/>
              <w:gridCol w:w="3050"/>
              <w:gridCol w:w="679"/>
            </w:tblGrid>
            <w:tr w14:paraId="51D3C7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5" w:type="dxa"/>
                  <w:tcBorders>
                    <w:tl2br w:val="nil"/>
                    <w:tr2bl w:val="nil"/>
                  </w:tcBorders>
                  <w:noWrap w:val="0"/>
                  <w:vAlign w:val="center"/>
                </w:tcPr>
                <w:p w14:paraId="6305E235">
                  <w:pPr>
                    <w:adjustRightInd w:val="0"/>
                    <w:snapToGrid w:val="0"/>
                    <w:spacing w:line="240" w:lineRule="auto"/>
                    <w:ind w:firstLine="0" w:firstLineChars="0"/>
                    <w:jc w:val="center"/>
                    <w:rPr>
                      <w:rFonts w:hint="default" w:ascii="Times New Roman" w:hAnsi="Times New Roman" w:cs="Times New Roman"/>
                      <w:color w:val="auto"/>
                      <w:spacing w:val="-2"/>
                      <w:sz w:val="22"/>
                    </w:rPr>
                  </w:pPr>
                  <w:r>
                    <w:rPr>
                      <w:rFonts w:hint="default" w:ascii="Times New Roman" w:hAnsi="Times New Roman" w:eastAsia="宋体" w:cs="Times New Roman"/>
                      <w:snapToGrid w:val="0"/>
                      <w:color w:val="auto"/>
                      <w:kern w:val="0"/>
                      <w:sz w:val="22"/>
                      <w:szCs w:val="22"/>
                      <w:lang w:val="en-US" w:eastAsia="zh-CN"/>
                    </w:rPr>
                    <w:t>序号</w:t>
                  </w:r>
                </w:p>
              </w:tc>
              <w:tc>
                <w:tcPr>
                  <w:tcW w:w="3587" w:type="dxa"/>
                  <w:tcBorders>
                    <w:tl2br w:val="nil"/>
                    <w:tr2bl w:val="nil"/>
                  </w:tcBorders>
                  <w:noWrap w:val="0"/>
                  <w:vAlign w:val="center"/>
                </w:tcPr>
                <w:p w14:paraId="745AFECC">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重庆市长江经济带发展负面清单</w:t>
                  </w:r>
                </w:p>
              </w:tc>
              <w:tc>
                <w:tcPr>
                  <w:tcW w:w="3149" w:type="dxa"/>
                  <w:tcBorders>
                    <w:tl2br w:val="nil"/>
                    <w:tr2bl w:val="nil"/>
                  </w:tcBorders>
                  <w:noWrap w:val="0"/>
                  <w:vAlign w:val="center"/>
                </w:tcPr>
                <w:p w14:paraId="53A8FF83">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项目情况</w:t>
                  </w:r>
                </w:p>
              </w:tc>
              <w:tc>
                <w:tcPr>
                  <w:tcW w:w="694" w:type="dxa"/>
                  <w:tcBorders>
                    <w:tl2br w:val="nil"/>
                    <w:tr2bl w:val="nil"/>
                  </w:tcBorders>
                  <w:noWrap w:val="0"/>
                  <w:vAlign w:val="center"/>
                </w:tcPr>
                <w:p w14:paraId="3580C7C5">
                  <w:pPr>
                    <w:spacing w:line="300" w:lineRule="exact"/>
                    <w:jc w:val="center"/>
                    <w:rPr>
                      <w:rFonts w:hint="eastAsia" w:ascii="Times New Roman" w:hAnsi="Times New Roman" w:eastAsia="宋体" w:cs="Times New Roman"/>
                      <w:color w:val="auto"/>
                      <w:spacing w:val="-2"/>
                      <w:sz w:val="22"/>
                      <w:lang w:val="en-US" w:eastAsia="zh-CN"/>
                    </w:rPr>
                  </w:pPr>
                  <w:r>
                    <w:rPr>
                      <w:rFonts w:hint="default" w:ascii="Times New Roman" w:hAnsi="Times New Roman" w:cs="Times New Roman"/>
                      <w:color w:val="auto"/>
                      <w:spacing w:val="-2"/>
                      <w:sz w:val="22"/>
                    </w:rPr>
                    <w:t>符合</w:t>
                  </w:r>
                  <w:r>
                    <w:rPr>
                      <w:rFonts w:hint="eastAsia" w:ascii="Times New Roman" w:hAnsi="Times New Roman" w:cs="Times New Roman"/>
                      <w:color w:val="auto"/>
                      <w:spacing w:val="-2"/>
                      <w:sz w:val="22"/>
                      <w:lang w:val="en-US" w:eastAsia="zh-CN"/>
                    </w:rPr>
                    <w:t>性</w:t>
                  </w:r>
                </w:p>
              </w:tc>
            </w:tr>
            <w:tr w14:paraId="4CCF4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5" w:type="dxa"/>
                  <w:tcBorders>
                    <w:tl2br w:val="nil"/>
                    <w:tr2bl w:val="nil"/>
                  </w:tcBorders>
                  <w:noWrap w:val="0"/>
                  <w:vAlign w:val="center"/>
                </w:tcPr>
                <w:p w14:paraId="150C1E9E">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1</w:t>
                  </w:r>
                </w:p>
              </w:tc>
              <w:tc>
                <w:tcPr>
                  <w:tcW w:w="3587" w:type="dxa"/>
                  <w:tcBorders>
                    <w:tl2br w:val="nil"/>
                    <w:tr2bl w:val="nil"/>
                  </w:tcBorders>
                  <w:noWrap w:val="0"/>
                  <w:vAlign w:val="center"/>
                </w:tcPr>
                <w:p w14:paraId="321758E2">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禁止建设不符合全国和省级港口布局规划以及港口总体</w:t>
                  </w:r>
                  <w:r>
                    <w:rPr>
                      <w:rFonts w:hint="eastAsia" w:ascii="Times New Roman" w:hAnsi="Times New Roman" w:cs="Times New Roman"/>
                      <w:color w:val="auto"/>
                      <w:spacing w:val="-2"/>
                      <w:sz w:val="22"/>
                      <w:lang w:val="en-US" w:eastAsia="zh-CN"/>
                    </w:rPr>
                    <w:t>规划</w:t>
                  </w:r>
                  <w:r>
                    <w:rPr>
                      <w:rFonts w:hint="default" w:ascii="Times New Roman" w:hAnsi="Times New Roman" w:cs="Times New Roman"/>
                      <w:color w:val="auto"/>
                      <w:spacing w:val="-2"/>
                      <w:sz w:val="22"/>
                    </w:rPr>
                    <w:t>的码头项目，禁止建设不符合《长江干线过江通道布局规划》的过长江通道项目</w:t>
                  </w:r>
                </w:p>
              </w:tc>
              <w:tc>
                <w:tcPr>
                  <w:tcW w:w="3149" w:type="dxa"/>
                  <w:tcBorders>
                    <w:tl2br w:val="nil"/>
                    <w:tr2bl w:val="nil"/>
                  </w:tcBorders>
                  <w:noWrap w:val="0"/>
                  <w:vAlign w:val="center"/>
                </w:tcPr>
                <w:p w14:paraId="0065F1AB">
                  <w:pPr>
                    <w:spacing w:line="300" w:lineRule="exact"/>
                    <w:jc w:val="center"/>
                    <w:rPr>
                      <w:rFonts w:hint="default" w:ascii="Times New Roman" w:hAnsi="Times New Roman" w:cs="Times New Roman"/>
                      <w:color w:val="auto"/>
                      <w:spacing w:val="-2"/>
                      <w:sz w:val="22"/>
                    </w:rPr>
                  </w:pPr>
                  <w:r>
                    <w:rPr>
                      <w:rFonts w:hint="eastAsia" w:ascii="Times New Roman" w:hAnsi="Times New Roman" w:cs="Times New Roman"/>
                      <w:color w:val="auto"/>
                      <w:spacing w:val="-2"/>
                      <w:sz w:val="22"/>
                      <w:lang w:val="en-US" w:eastAsia="zh-CN"/>
                    </w:rPr>
                    <w:t>本</w:t>
                  </w:r>
                  <w:r>
                    <w:rPr>
                      <w:rFonts w:hint="default" w:ascii="Times New Roman" w:hAnsi="Times New Roman" w:cs="Times New Roman"/>
                      <w:color w:val="auto"/>
                      <w:spacing w:val="-2"/>
                      <w:sz w:val="22"/>
                    </w:rPr>
                    <w:t>项目不属于码头项目，也不属于过长江通道项目</w:t>
                  </w:r>
                </w:p>
              </w:tc>
              <w:tc>
                <w:tcPr>
                  <w:tcW w:w="694" w:type="dxa"/>
                  <w:tcBorders>
                    <w:tl2br w:val="nil"/>
                    <w:tr2bl w:val="nil"/>
                  </w:tcBorders>
                  <w:noWrap w:val="0"/>
                  <w:vAlign w:val="center"/>
                </w:tcPr>
                <w:p w14:paraId="5E24E78A">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符合</w:t>
                  </w:r>
                </w:p>
              </w:tc>
            </w:tr>
            <w:tr w14:paraId="7097E5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5" w:type="dxa"/>
                  <w:tcBorders>
                    <w:tl2br w:val="nil"/>
                    <w:tr2bl w:val="nil"/>
                  </w:tcBorders>
                  <w:noWrap w:val="0"/>
                  <w:vAlign w:val="center"/>
                </w:tcPr>
                <w:p w14:paraId="22B85F85">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2</w:t>
                  </w:r>
                </w:p>
              </w:tc>
              <w:tc>
                <w:tcPr>
                  <w:tcW w:w="3587" w:type="dxa"/>
                  <w:tcBorders>
                    <w:tl2br w:val="nil"/>
                    <w:tr2bl w:val="nil"/>
                  </w:tcBorders>
                  <w:noWrap w:val="0"/>
                  <w:vAlign w:val="center"/>
                </w:tcPr>
                <w:p w14:paraId="05B9306B">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禁止在自然保护区核心区、缓冲区的岸线和河段范围内投资建设旅游和生产经营项目。禁止在风景名胜区核心景区的岸线和河段范围内投资建设与风景名胜资源保护无关的项目</w:t>
                  </w:r>
                </w:p>
              </w:tc>
              <w:tc>
                <w:tcPr>
                  <w:tcW w:w="3149" w:type="dxa"/>
                  <w:tcBorders>
                    <w:tl2br w:val="nil"/>
                    <w:tr2bl w:val="nil"/>
                  </w:tcBorders>
                  <w:noWrap w:val="0"/>
                  <w:vAlign w:val="center"/>
                </w:tcPr>
                <w:p w14:paraId="57C84D8A">
                  <w:pPr>
                    <w:spacing w:line="300" w:lineRule="exact"/>
                    <w:jc w:val="center"/>
                    <w:rPr>
                      <w:rFonts w:hint="default" w:ascii="Times New Roman" w:hAnsi="Times New Roman" w:cs="Times New Roman"/>
                      <w:color w:val="auto"/>
                      <w:spacing w:val="-2"/>
                      <w:sz w:val="22"/>
                    </w:rPr>
                  </w:pPr>
                  <w:r>
                    <w:rPr>
                      <w:rFonts w:hint="eastAsia" w:ascii="Times New Roman" w:hAnsi="Times New Roman" w:eastAsia="宋体" w:cs="Times New Roman"/>
                      <w:color w:val="auto"/>
                      <w:spacing w:val="-2"/>
                      <w:sz w:val="22"/>
                      <w:lang w:val="en-US" w:eastAsia="zh-CN"/>
                    </w:rPr>
                    <w:t>本</w:t>
                  </w:r>
                  <w:r>
                    <w:rPr>
                      <w:rFonts w:hint="default" w:ascii="Times New Roman" w:hAnsi="Times New Roman" w:eastAsia="宋体" w:cs="Times New Roman"/>
                      <w:color w:val="auto"/>
                      <w:spacing w:val="-2"/>
                      <w:sz w:val="22"/>
                    </w:rPr>
                    <w:t>项目</w:t>
                  </w:r>
                  <w:r>
                    <w:rPr>
                      <w:rFonts w:hint="eastAsia" w:ascii="Times New Roman" w:hAnsi="Times New Roman" w:eastAsia="宋体" w:cs="Times New Roman"/>
                      <w:color w:val="auto"/>
                      <w:spacing w:val="-2"/>
                      <w:sz w:val="22"/>
                      <w:lang w:val="en-US" w:eastAsia="zh-CN"/>
                    </w:rPr>
                    <w:t>位于西彭工业园区</w:t>
                  </w:r>
                  <w:r>
                    <w:rPr>
                      <w:rFonts w:hint="default" w:ascii="Times New Roman" w:hAnsi="Times New Roman" w:eastAsia="宋体" w:cs="Times New Roman"/>
                      <w:color w:val="auto"/>
                      <w:spacing w:val="-2"/>
                      <w:sz w:val="22"/>
                    </w:rPr>
                    <w:t>，不涉及自然保护区、风景名胜区等</w:t>
                  </w:r>
                </w:p>
              </w:tc>
              <w:tc>
                <w:tcPr>
                  <w:tcW w:w="694" w:type="dxa"/>
                  <w:tcBorders>
                    <w:tl2br w:val="nil"/>
                    <w:tr2bl w:val="nil"/>
                  </w:tcBorders>
                  <w:noWrap w:val="0"/>
                  <w:vAlign w:val="center"/>
                </w:tcPr>
                <w:p w14:paraId="6B2AEB97">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符合</w:t>
                  </w:r>
                </w:p>
              </w:tc>
            </w:tr>
            <w:tr w14:paraId="12E607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5" w:type="dxa"/>
                  <w:tcBorders>
                    <w:tl2br w:val="nil"/>
                    <w:tr2bl w:val="nil"/>
                  </w:tcBorders>
                  <w:noWrap w:val="0"/>
                  <w:vAlign w:val="center"/>
                </w:tcPr>
                <w:p w14:paraId="441426FE">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3</w:t>
                  </w:r>
                </w:p>
              </w:tc>
              <w:tc>
                <w:tcPr>
                  <w:tcW w:w="3587" w:type="dxa"/>
                  <w:tcBorders>
                    <w:tl2br w:val="nil"/>
                    <w:tr2bl w:val="nil"/>
                  </w:tcBorders>
                  <w:noWrap w:val="0"/>
                  <w:vAlign w:val="center"/>
                </w:tcPr>
                <w:p w14:paraId="441DD0AE">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3149" w:type="dxa"/>
                  <w:tcBorders>
                    <w:tl2br w:val="nil"/>
                    <w:tr2bl w:val="nil"/>
                  </w:tcBorders>
                  <w:noWrap w:val="0"/>
                  <w:vAlign w:val="center"/>
                </w:tcPr>
                <w:p w14:paraId="7B709BAA">
                  <w:pPr>
                    <w:spacing w:line="300" w:lineRule="exact"/>
                    <w:jc w:val="center"/>
                    <w:rPr>
                      <w:rFonts w:hint="default" w:ascii="Times New Roman" w:hAnsi="Times New Roman" w:cs="Times New Roman"/>
                      <w:color w:val="auto"/>
                      <w:spacing w:val="-2"/>
                      <w:sz w:val="22"/>
                    </w:rPr>
                  </w:pPr>
                  <w:r>
                    <w:rPr>
                      <w:rFonts w:hint="eastAsia" w:ascii="Times New Roman" w:hAnsi="Times New Roman" w:cs="Times New Roman"/>
                      <w:color w:val="auto"/>
                      <w:spacing w:val="-2"/>
                      <w:sz w:val="22"/>
                      <w:lang w:val="en-US" w:eastAsia="zh-CN"/>
                    </w:rPr>
                    <w:t>本</w:t>
                  </w:r>
                  <w:r>
                    <w:rPr>
                      <w:rFonts w:hint="default" w:ascii="Times New Roman" w:hAnsi="Times New Roman" w:cs="Times New Roman"/>
                      <w:color w:val="auto"/>
                      <w:spacing w:val="-2"/>
                      <w:sz w:val="22"/>
                    </w:rPr>
                    <w:t>项目不涉及饮用水源保护区</w:t>
                  </w:r>
                </w:p>
              </w:tc>
              <w:tc>
                <w:tcPr>
                  <w:tcW w:w="694" w:type="dxa"/>
                  <w:tcBorders>
                    <w:tl2br w:val="nil"/>
                    <w:tr2bl w:val="nil"/>
                  </w:tcBorders>
                  <w:noWrap w:val="0"/>
                  <w:vAlign w:val="center"/>
                </w:tcPr>
                <w:p w14:paraId="71BAF439">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符合</w:t>
                  </w:r>
                </w:p>
              </w:tc>
            </w:tr>
            <w:tr w14:paraId="2E82F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5" w:type="dxa"/>
                  <w:tcBorders>
                    <w:tl2br w:val="nil"/>
                    <w:tr2bl w:val="nil"/>
                  </w:tcBorders>
                  <w:noWrap w:val="0"/>
                  <w:vAlign w:val="center"/>
                </w:tcPr>
                <w:p w14:paraId="538A18AB">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4</w:t>
                  </w:r>
                </w:p>
              </w:tc>
              <w:tc>
                <w:tcPr>
                  <w:tcW w:w="3587" w:type="dxa"/>
                  <w:tcBorders>
                    <w:tl2br w:val="nil"/>
                    <w:tr2bl w:val="nil"/>
                  </w:tcBorders>
                  <w:noWrap w:val="0"/>
                  <w:vAlign w:val="center"/>
                </w:tcPr>
                <w:p w14:paraId="45FC0188">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禁止在水产种质资源保护区的岸线和河段范围内新建</w:t>
                  </w:r>
                  <w:r>
                    <w:rPr>
                      <w:rFonts w:hint="eastAsia" w:ascii="Times New Roman" w:hAnsi="Times New Roman" w:cs="Times New Roman"/>
                      <w:color w:val="auto"/>
                      <w:spacing w:val="-2"/>
                      <w:sz w:val="22"/>
                      <w:lang w:val="en-US" w:eastAsia="zh-CN"/>
                    </w:rPr>
                    <w:t>围</w:t>
                  </w:r>
                  <w:r>
                    <w:rPr>
                      <w:rFonts w:hint="default" w:ascii="Times New Roman" w:hAnsi="Times New Roman" w:cs="Times New Roman"/>
                      <w:color w:val="auto"/>
                      <w:spacing w:val="-2"/>
                      <w:sz w:val="22"/>
                    </w:rPr>
                    <w:t>湖造田、围海造地或围填海等投资建设项目。禁止在国家湿地公园的岸线和河段范围内挖沙、采矿，以及任何不符合主体功能定位的投资建设项目</w:t>
                  </w:r>
                </w:p>
              </w:tc>
              <w:tc>
                <w:tcPr>
                  <w:tcW w:w="3149" w:type="dxa"/>
                  <w:tcBorders>
                    <w:tl2br w:val="nil"/>
                    <w:tr2bl w:val="nil"/>
                  </w:tcBorders>
                  <w:noWrap w:val="0"/>
                  <w:vAlign w:val="center"/>
                </w:tcPr>
                <w:p w14:paraId="0EF2233F">
                  <w:pPr>
                    <w:spacing w:line="300" w:lineRule="exact"/>
                    <w:jc w:val="center"/>
                    <w:rPr>
                      <w:rFonts w:hint="default" w:ascii="Times New Roman" w:hAnsi="Times New Roman" w:eastAsia="宋体" w:cs="Times New Roman"/>
                      <w:color w:val="auto"/>
                      <w:spacing w:val="-2"/>
                      <w:sz w:val="22"/>
                      <w:lang w:val="en-US" w:eastAsia="zh-CN"/>
                    </w:rPr>
                  </w:pPr>
                  <w:r>
                    <w:rPr>
                      <w:rFonts w:hint="eastAsia" w:ascii="Times New Roman" w:hAnsi="Times New Roman" w:cs="Times New Roman"/>
                      <w:color w:val="auto"/>
                      <w:spacing w:val="-2"/>
                      <w:sz w:val="22"/>
                      <w:lang w:val="en-US" w:eastAsia="zh-CN"/>
                    </w:rPr>
                    <w:t>本</w:t>
                  </w:r>
                  <w:r>
                    <w:rPr>
                      <w:rFonts w:hint="default" w:ascii="Times New Roman" w:hAnsi="Times New Roman" w:cs="Times New Roman"/>
                      <w:color w:val="auto"/>
                      <w:spacing w:val="-2"/>
                      <w:sz w:val="22"/>
                    </w:rPr>
                    <w:t>项目不涉及水产种质资源保护区与国家湿地公园</w:t>
                  </w:r>
                  <w:r>
                    <w:rPr>
                      <w:rFonts w:hint="eastAsia" w:ascii="Times New Roman" w:hAnsi="Times New Roman" w:cs="Times New Roman"/>
                      <w:color w:val="auto"/>
                      <w:spacing w:val="-2"/>
                      <w:sz w:val="22"/>
                      <w:lang w:eastAsia="zh-CN"/>
                    </w:rPr>
                    <w:t>，</w:t>
                  </w:r>
                  <w:r>
                    <w:rPr>
                      <w:rFonts w:hint="eastAsia" w:ascii="Times New Roman" w:hAnsi="Times New Roman" w:cs="Times New Roman"/>
                      <w:color w:val="auto"/>
                      <w:spacing w:val="-2"/>
                      <w:sz w:val="22"/>
                      <w:lang w:val="en-US" w:eastAsia="zh-CN"/>
                    </w:rPr>
                    <w:t>不属于</w:t>
                  </w:r>
                  <w:r>
                    <w:rPr>
                      <w:rFonts w:hint="default" w:ascii="Times New Roman" w:hAnsi="Times New Roman" w:cs="Times New Roman"/>
                      <w:color w:val="auto"/>
                      <w:spacing w:val="-2"/>
                      <w:sz w:val="22"/>
                    </w:rPr>
                    <w:t>围湖造田、围海造地或围填海等投资建设项目</w:t>
                  </w:r>
                </w:p>
              </w:tc>
              <w:tc>
                <w:tcPr>
                  <w:tcW w:w="694" w:type="dxa"/>
                  <w:tcBorders>
                    <w:tl2br w:val="nil"/>
                    <w:tr2bl w:val="nil"/>
                  </w:tcBorders>
                  <w:noWrap w:val="0"/>
                  <w:vAlign w:val="center"/>
                </w:tcPr>
                <w:p w14:paraId="4304C581">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符合</w:t>
                  </w:r>
                </w:p>
              </w:tc>
            </w:tr>
            <w:tr w14:paraId="4C53D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5" w:type="dxa"/>
                  <w:tcBorders>
                    <w:tl2br w:val="nil"/>
                    <w:tr2bl w:val="nil"/>
                  </w:tcBorders>
                  <w:noWrap w:val="0"/>
                  <w:vAlign w:val="center"/>
                </w:tcPr>
                <w:p w14:paraId="6C64CC7F">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5</w:t>
                  </w:r>
                </w:p>
              </w:tc>
              <w:tc>
                <w:tcPr>
                  <w:tcW w:w="3587" w:type="dxa"/>
                  <w:tcBorders>
                    <w:tl2br w:val="nil"/>
                    <w:tr2bl w:val="nil"/>
                  </w:tcBorders>
                  <w:noWrap w:val="0"/>
                  <w:vAlign w:val="center"/>
                </w:tcPr>
                <w:p w14:paraId="4A6B92EC">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3149" w:type="dxa"/>
                  <w:tcBorders>
                    <w:tl2br w:val="nil"/>
                    <w:tr2bl w:val="nil"/>
                  </w:tcBorders>
                  <w:noWrap w:val="0"/>
                  <w:vAlign w:val="center"/>
                </w:tcPr>
                <w:p w14:paraId="20DC1C1B">
                  <w:pPr>
                    <w:spacing w:line="300" w:lineRule="exact"/>
                    <w:jc w:val="center"/>
                    <w:rPr>
                      <w:rFonts w:hint="default" w:ascii="Times New Roman" w:hAnsi="Times New Roman" w:eastAsia="宋体" w:cs="Times New Roman"/>
                      <w:color w:val="auto"/>
                      <w:spacing w:val="-2"/>
                      <w:sz w:val="22"/>
                      <w:lang w:val="en-US" w:eastAsia="zh-CN"/>
                    </w:rPr>
                  </w:pPr>
                  <w:r>
                    <w:rPr>
                      <w:rFonts w:hint="eastAsia" w:ascii="Times New Roman" w:hAnsi="Times New Roman" w:cs="Times New Roman"/>
                      <w:color w:val="auto"/>
                      <w:spacing w:val="-2"/>
                      <w:sz w:val="22"/>
                      <w:lang w:val="en-US" w:eastAsia="zh-CN"/>
                    </w:rPr>
                    <w:t>本</w:t>
                  </w:r>
                  <w:r>
                    <w:rPr>
                      <w:rFonts w:hint="default" w:ascii="Times New Roman" w:hAnsi="Times New Roman" w:cs="Times New Roman"/>
                      <w:color w:val="auto"/>
                      <w:spacing w:val="-2"/>
                      <w:sz w:val="22"/>
                    </w:rPr>
                    <w:t>项目不涉及任何岸线保护区</w:t>
                  </w:r>
                  <w:r>
                    <w:rPr>
                      <w:rFonts w:hint="eastAsia" w:ascii="Times New Roman" w:hAnsi="Times New Roman" w:cs="Times New Roman"/>
                      <w:color w:val="auto"/>
                      <w:spacing w:val="-2"/>
                      <w:sz w:val="22"/>
                      <w:lang w:val="en-US" w:eastAsia="zh-CN"/>
                    </w:rPr>
                    <w:t>及岸线保留区，也不涉及河段保护区及保留区</w:t>
                  </w:r>
                </w:p>
              </w:tc>
              <w:tc>
                <w:tcPr>
                  <w:tcW w:w="694" w:type="dxa"/>
                  <w:tcBorders>
                    <w:tl2br w:val="nil"/>
                    <w:tr2bl w:val="nil"/>
                  </w:tcBorders>
                  <w:noWrap w:val="0"/>
                  <w:vAlign w:val="center"/>
                </w:tcPr>
                <w:p w14:paraId="1CA09043">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符合</w:t>
                  </w:r>
                </w:p>
              </w:tc>
            </w:tr>
            <w:tr w14:paraId="05A227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5" w:type="dxa"/>
                  <w:tcBorders>
                    <w:tl2br w:val="nil"/>
                    <w:tr2bl w:val="nil"/>
                  </w:tcBorders>
                  <w:noWrap w:val="0"/>
                  <w:vAlign w:val="center"/>
                </w:tcPr>
                <w:p w14:paraId="3213ED9A">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6</w:t>
                  </w:r>
                </w:p>
              </w:tc>
              <w:tc>
                <w:tcPr>
                  <w:tcW w:w="3587" w:type="dxa"/>
                  <w:tcBorders>
                    <w:tl2br w:val="nil"/>
                    <w:tr2bl w:val="nil"/>
                  </w:tcBorders>
                  <w:noWrap w:val="0"/>
                  <w:vAlign w:val="center"/>
                </w:tcPr>
                <w:p w14:paraId="6C2AFD59">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禁止未经许可在长江干支流及湖泊新设、改设或扩大排污口</w:t>
                  </w:r>
                </w:p>
              </w:tc>
              <w:tc>
                <w:tcPr>
                  <w:tcW w:w="3149" w:type="dxa"/>
                  <w:tcBorders>
                    <w:tl2br w:val="nil"/>
                    <w:tr2bl w:val="nil"/>
                  </w:tcBorders>
                  <w:noWrap w:val="0"/>
                  <w:vAlign w:val="center"/>
                </w:tcPr>
                <w:p w14:paraId="76DAEC61">
                  <w:pPr>
                    <w:spacing w:line="300" w:lineRule="exact"/>
                    <w:jc w:val="center"/>
                    <w:rPr>
                      <w:rFonts w:hint="eastAsia" w:ascii="Times New Roman" w:hAnsi="Times New Roman" w:eastAsia="宋体" w:cs="Times New Roman"/>
                      <w:color w:val="auto"/>
                      <w:spacing w:val="-2"/>
                      <w:sz w:val="22"/>
                      <w:lang w:val="en-US" w:eastAsia="zh-CN"/>
                    </w:rPr>
                  </w:pPr>
                  <w:r>
                    <w:rPr>
                      <w:rFonts w:hint="eastAsia" w:ascii="Times New Roman" w:hAnsi="Times New Roman" w:cs="Times New Roman"/>
                      <w:color w:val="auto"/>
                      <w:spacing w:val="-2"/>
                      <w:sz w:val="22"/>
                      <w:lang w:val="en-US" w:eastAsia="zh-CN"/>
                    </w:rPr>
                    <w:t>本项目</w:t>
                  </w:r>
                  <w:r>
                    <w:rPr>
                      <w:rFonts w:hint="default" w:ascii="Times New Roman" w:hAnsi="Times New Roman" w:cs="Times New Roman"/>
                      <w:color w:val="auto"/>
                      <w:spacing w:val="-2"/>
                      <w:sz w:val="22"/>
                    </w:rPr>
                    <w:t>未在长江干支流及湖泊新设、改设或扩大排污口</w:t>
                  </w:r>
                </w:p>
              </w:tc>
              <w:tc>
                <w:tcPr>
                  <w:tcW w:w="694" w:type="dxa"/>
                  <w:tcBorders>
                    <w:tl2br w:val="nil"/>
                    <w:tr2bl w:val="nil"/>
                  </w:tcBorders>
                  <w:noWrap w:val="0"/>
                  <w:vAlign w:val="center"/>
                </w:tcPr>
                <w:p w14:paraId="252A7DA7">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符合</w:t>
                  </w:r>
                </w:p>
              </w:tc>
            </w:tr>
            <w:tr w14:paraId="41AED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5" w:type="dxa"/>
                  <w:tcBorders>
                    <w:tl2br w:val="nil"/>
                    <w:tr2bl w:val="nil"/>
                  </w:tcBorders>
                  <w:noWrap w:val="0"/>
                  <w:vAlign w:val="center"/>
                </w:tcPr>
                <w:p w14:paraId="31425EA7">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7</w:t>
                  </w:r>
                </w:p>
              </w:tc>
              <w:tc>
                <w:tcPr>
                  <w:tcW w:w="3587" w:type="dxa"/>
                  <w:tcBorders>
                    <w:tl2br w:val="nil"/>
                    <w:tr2bl w:val="nil"/>
                  </w:tcBorders>
                  <w:noWrap w:val="0"/>
                  <w:vAlign w:val="center"/>
                </w:tcPr>
                <w:p w14:paraId="1F92C942">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禁止在“一江一口两湖七河”和332个水生生物保护区开展生产性捕捞</w:t>
                  </w:r>
                </w:p>
              </w:tc>
              <w:tc>
                <w:tcPr>
                  <w:tcW w:w="3149" w:type="dxa"/>
                  <w:tcBorders>
                    <w:tl2br w:val="nil"/>
                    <w:tr2bl w:val="nil"/>
                  </w:tcBorders>
                  <w:noWrap w:val="0"/>
                  <w:vAlign w:val="center"/>
                </w:tcPr>
                <w:p w14:paraId="5E4C20F0">
                  <w:pPr>
                    <w:spacing w:line="300" w:lineRule="exact"/>
                    <w:jc w:val="center"/>
                    <w:rPr>
                      <w:rFonts w:hint="default" w:ascii="Times New Roman" w:hAnsi="Times New Roman" w:eastAsia="宋体" w:cs="Times New Roman"/>
                      <w:color w:val="auto"/>
                      <w:spacing w:val="-2"/>
                      <w:sz w:val="22"/>
                      <w:lang w:val="en-US" w:eastAsia="zh-CN"/>
                    </w:rPr>
                  </w:pPr>
                  <w:r>
                    <w:rPr>
                      <w:rFonts w:hint="eastAsia" w:ascii="Times New Roman" w:hAnsi="Times New Roman" w:cs="Times New Roman"/>
                      <w:color w:val="auto"/>
                      <w:spacing w:val="-2"/>
                      <w:sz w:val="22"/>
                      <w:lang w:val="en-US" w:eastAsia="zh-CN"/>
                    </w:rPr>
                    <w:t>本项目不涉及生产性捕捞</w:t>
                  </w:r>
                </w:p>
              </w:tc>
              <w:tc>
                <w:tcPr>
                  <w:tcW w:w="694" w:type="dxa"/>
                  <w:tcBorders>
                    <w:tl2br w:val="nil"/>
                    <w:tr2bl w:val="nil"/>
                  </w:tcBorders>
                  <w:noWrap w:val="0"/>
                  <w:vAlign w:val="center"/>
                </w:tcPr>
                <w:p w14:paraId="40FF03F0">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符合</w:t>
                  </w:r>
                </w:p>
              </w:tc>
            </w:tr>
            <w:tr w14:paraId="098A58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5" w:type="dxa"/>
                  <w:tcBorders>
                    <w:tl2br w:val="nil"/>
                    <w:tr2bl w:val="nil"/>
                  </w:tcBorders>
                  <w:noWrap w:val="0"/>
                  <w:vAlign w:val="center"/>
                </w:tcPr>
                <w:p w14:paraId="50E85507">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8</w:t>
                  </w:r>
                </w:p>
              </w:tc>
              <w:tc>
                <w:tcPr>
                  <w:tcW w:w="3587" w:type="dxa"/>
                  <w:tcBorders>
                    <w:tl2br w:val="nil"/>
                    <w:tr2bl w:val="nil"/>
                  </w:tcBorders>
                  <w:noWrap w:val="0"/>
                  <w:vAlign w:val="center"/>
                </w:tcPr>
                <w:p w14:paraId="5FBC3026">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3149" w:type="dxa"/>
                  <w:tcBorders>
                    <w:tl2br w:val="nil"/>
                    <w:tr2bl w:val="nil"/>
                  </w:tcBorders>
                  <w:noWrap w:val="0"/>
                  <w:vAlign w:val="center"/>
                </w:tcPr>
                <w:p w14:paraId="3CAFE062">
                  <w:pPr>
                    <w:spacing w:line="300" w:lineRule="exact"/>
                    <w:jc w:val="center"/>
                    <w:rPr>
                      <w:rFonts w:hint="default" w:ascii="Times New Roman" w:hAnsi="Times New Roman" w:cs="Times New Roman"/>
                      <w:color w:val="auto"/>
                      <w:spacing w:val="-2"/>
                      <w:sz w:val="22"/>
                    </w:rPr>
                  </w:pPr>
                  <w:r>
                    <w:rPr>
                      <w:rFonts w:hint="eastAsia" w:ascii="Times New Roman" w:hAnsi="Times New Roman" w:eastAsia="宋体" w:cs="Times New Roman"/>
                      <w:color w:val="auto"/>
                      <w:spacing w:val="-2"/>
                      <w:sz w:val="22"/>
                      <w:lang w:val="en-US" w:eastAsia="zh-CN"/>
                    </w:rPr>
                    <w:t>本</w:t>
                  </w:r>
                  <w:r>
                    <w:rPr>
                      <w:rFonts w:hint="default" w:ascii="Times New Roman" w:hAnsi="Times New Roman" w:eastAsia="宋体" w:cs="Times New Roman"/>
                      <w:color w:val="auto"/>
                      <w:spacing w:val="-2"/>
                      <w:sz w:val="22"/>
                    </w:rPr>
                    <w:t>项目</w:t>
                  </w:r>
                  <w:r>
                    <w:rPr>
                      <w:rFonts w:hint="eastAsia" w:ascii="Times New Roman" w:hAnsi="Times New Roman" w:eastAsia="宋体" w:cs="Times New Roman"/>
                      <w:color w:val="auto"/>
                      <w:spacing w:val="-2"/>
                      <w:sz w:val="22"/>
                      <w:lang w:val="en-US" w:eastAsia="zh-CN"/>
                    </w:rPr>
                    <w:t>位于西彭工业园区</w:t>
                  </w:r>
                  <w:r>
                    <w:rPr>
                      <w:rFonts w:hint="default" w:ascii="Times New Roman" w:hAnsi="Times New Roman" w:cs="Times New Roman"/>
                      <w:color w:val="auto"/>
                      <w:spacing w:val="-2"/>
                      <w:sz w:val="22"/>
                    </w:rPr>
                    <w:t>，不属于尾矿库、冶炼渣库和磷石膏库项目</w:t>
                  </w:r>
                </w:p>
              </w:tc>
              <w:tc>
                <w:tcPr>
                  <w:tcW w:w="694" w:type="dxa"/>
                  <w:tcBorders>
                    <w:tl2br w:val="nil"/>
                    <w:tr2bl w:val="nil"/>
                  </w:tcBorders>
                  <w:noWrap w:val="0"/>
                  <w:vAlign w:val="center"/>
                </w:tcPr>
                <w:p w14:paraId="7C1B36CE">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符合</w:t>
                  </w:r>
                </w:p>
              </w:tc>
            </w:tr>
            <w:tr w14:paraId="12119E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5" w:type="dxa"/>
                  <w:tcBorders>
                    <w:tl2br w:val="nil"/>
                    <w:tr2bl w:val="nil"/>
                  </w:tcBorders>
                  <w:noWrap w:val="0"/>
                  <w:vAlign w:val="center"/>
                </w:tcPr>
                <w:p w14:paraId="57B7CC74">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9</w:t>
                  </w:r>
                </w:p>
              </w:tc>
              <w:tc>
                <w:tcPr>
                  <w:tcW w:w="3587" w:type="dxa"/>
                  <w:tcBorders>
                    <w:tl2br w:val="nil"/>
                    <w:tr2bl w:val="nil"/>
                  </w:tcBorders>
                  <w:noWrap w:val="0"/>
                  <w:vAlign w:val="center"/>
                </w:tcPr>
                <w:p w14:paraId="6C0812BD">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禁止在合规园区外新建、扩建钢铁、石化、化工、焦化、建材、有色、制浆造纸等高污染项目</w:t>
                  </w:r>
                </w:p>
              </w:tc>
              <w:tc>
                <w:tcPr>
                  <w:tcW w:w="3149" w:type="dxa"/>
                  <w:tcBorders>
                    <w:tl2br w:val="nil"/>
                    <w:tr2bl w:val="nil"/>
                  </w:tcBorders>
                  <w:noWrap w:val="0"/>
                  <w:vAlign w:val="center"/>
                </w:tcPr>
                <w:p w14:paraId="42709A03">
                  <w:pPr>
                    <w:spacing w:line="300" w:lineRule="exact"/>
                    <w:jc w:val="center"/>
                    <w:rPr>
                      <w:rFonts w:hint="default" w:ascii="Times New Roman" w:hAnsi="Times New Roman" w:cs="Times New Roman"/>
                      <w:color w:val="auto"/>
                      <w:spacing w:val="-2"/>
                      <w:sz w:val="22"/>
                      <w:lang w:val="en-US"/>
                    </w:rPr>
                  </w:pPr>
                  <w:r>
                    <w:rPr>
                      <w:rFonts w:hint="eastAsia" w:ascii="Times New Roman" w:hAnsi="Times New Roman" w:cs="Times New Roman"/>
                      <w:color w:val="auto"/>
                      <w:spacing w:val="-2"/>
                      <w:sz w:val="22"/>
                      <w:lang w:val="en-US" w:eastAsia="zh-CN"/>
                    </w:rPr>
                    <w:t>本项目属于有色金属合金制造及铸造，位于西彭工业园区，属于合规园区</w:t>
                  </w:r>
                </w:p>
              </w:tc>
              <w:tc>
                <w:tcPr>
                  <w:tcW w:w="694" w:type="dxa"/>
                  <w:tcBorders>
                    <w:tl2br w:val="nil"/>
                    <w:tr2bl w:val="nil"/>
                  </w:tcBorders>
                  <w:noWrap w:val="0"/>
                  <w:vAlign w:val="center"/>
                </w:tcPr>
                <w:p w14:paraId="78CCCC6E">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符合</w:t>
                  </w:r>
                </w:p>
              </w:tc>
            </w:tr>
            <w:tr w14:paraId="661F9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5" w:type="dxa"/>
                  <w:tcBorders>
                    <w:tl2br w:val="nil"/>
                    <w:tr2bl w:val="nil"/>
                  </w:tcBorders>
                  <w:noWrap w:val="0"/>
                  <w:vAlign w:val="center"/>
                </w:tcPr>
                <w:p w14:paraId="1170F6D1">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10</w:t>
                  </w:r>
                </w:p>
              </w:tc>
              <w:tc>
                <w:tcPr>
                  <w:tcW w:w="3587" w:type="dxa"/>
                  <w:tcBorders>
                    <w:tl2br w:val="nil"/>
                    <w:tr2bl w:val="nil"/>
                  </w:tcBorders>
                  <w:noWrap w:val="0"/>
                  <w:vAlign w:val="center"/>
                </w:tcPr>
                <w:p w14:paraId="1F49B5F4">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禁止新建、扩建不符合国家石化、现代煤化工等产业布局规划的项目</w:t>
                  </w:r>
                </w:p>
              </w:tc>
              <w:tc>
                <w:tcPr>
                  <w:tcW w:w="3149" w:type="dxa"/>
                  <w:tcBorders>
                    <w:tl2br w:val="nil"/>
                    <w:tr2bl w:val="nil"/>
                  </w:tcBorders>
                  <w:noWrap w:val="0"/>
                  <w:vAlign w:val="center"/>
                </w:tcPr>
                <w:p w14:paraId="5D946F70">
                  <w:pPr>
                    <w:spacing w:line="300" w:lineRule="exact"/>
                    <w:jc w:val="center"/>
                    <w:rPr>
                      <w:rFonts w:hint="default" w:ascii="Times New Roman" w:hAnsi="Times New Roman" w:cs="Times New Roman"/>
                      <w:color w:val="auto"/>
                      <w:spacing w:val="-2"/>
                      <w:sz w:val="22"/>
                    </w:rPr>
                  </w:pPr>
                  <w:r>
                    <w:rPr>
                      <w:rFonts w:hint="eastAsia" w:ascii="Times New Roman" w:hAnsi="Times New Roman" w:cs="Times New Roman"/>
                      <w:color w:val="auto"/>
                      <w:spacing w:val="-2"/>
                      <w:sz w:val="22"/>
                      <w:lang w:val="en-US" w:eastAsia="zh-CN"/>
                    </w:rPr>
                    <w:t>本</w:t>
                  </w:r>
                  <w:r>
                    <w:rPr>
                      <w:rFonts w:hint="default" w:ascii="Times New Roman" w:hAnsi="Times New Roman" w:cs="Times New Roman"/>
                      <w:color w:val="auto"/>
                      <w:spacing w:val="-2"/>
                      <w:sz w:val="22"/>
                    </w:rPr>
                    <w:t>项目不属于国家石化、现代煤化工等产业布局规划的项目</w:t>
                  </w:r>
                </w:p>
              </w:tc>
              <w:tc>
                <w:tcPr>
                  <w:tcW w:w="694" w:type="dxa"/>
                  <w:tcBorders>
                    <w:tl2br w:val="nil"/>
                    <w:tr2bl w:val="nil"/>
                  </w:tcBorders>
                  <w:noWrap w:val="0"/>
                  <w:vAlign w:val="center"/>
                </w:tcPr>
                <w:p w14:paraId="616A713F">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符合</w:t>
                  </w:r>
                </w:p>
              </w:tc>
            </w:tr>
            <w:tr w14:paraId="40275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5" w:type="dxa"/>
                  <w:tcBorders>
                    <w:tl2br w:val="nil"/>
                    <w:tr2bl w:val="nil"/>
                  </w:tcBorders>
                  <w:noWrap w:val="0"/>
                  <w:vAlign w:val="center"/>
                </w:tcPr>
                <w:p w14:paraId="3B42F473">
                  <w:pPr>
                    <w:spacing w:line="300" w:lineRule="exact"/>
                    <w:jc w:val="center"/>
                    <w:rPr>
                      <w:rFonts w:hint="default" w:ascii="Times New Roman" w:hAnsi="Times New Roman" w:eastAsia="宋体" w:cs="Times New Roman"/>
                      <w:color w:val="auto"/>
                      <w:spacing w:val="-2"/>
                      <w:sz w:val="22"/>
                      <w:lang w:val="en-US" w:eastAsia="zh-CN"/>
                    </w:rPr>
                  </w:pPr>
                  <w:r>
                    <w:rPr>
                      <w:rFonts w:hint="eastAsia" w:ascii="Times New Roman" w:hAnsi="Times New Roman" w:cs="Times New Roman"/>
                      <w:color w:val="auto"/>
                      <w:spacing w:val="-2"/>
                      <w:sz w:val="22"/>
                      <w:lang w:val="en-US" w:eastAsia="zh-CN"/>
                    </w:rPr>
                    <w:t>11</w:t>
                  </w:r>
                </w:p>
              </w:tc>
              <w:tc>
                <w:tcPr>
                  <w:tcW w:w="3587" w:type="dxa"/>
                  <w:tcBorders>
                    <w:tl2br w:val="nil"/>
                    <w:tr2bl w:val="nil"/>
                  </w:tcBorders>
                  <w:noWrap w:val="0"/>
                  <w:vAlign w:val="center"/>
                </w:tcPr>
                <w:p w14:paraId="55080C74">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禁止新建、扩建法律法规和相关政策明令禁止的落后产能项目。禁止新建、扩建不符合国家产能置换要求的严重过剩产能行业的项目。禁止新建、扩建不符合要求的高耗能高排放项目</w:t>
                  </w:r>
                </w:p>
              </w:tc>
              <w:tc>
                <w:tcPr>
                  <w:tcW w:w="3149" w:type="dxa"/>
                  <w:tcBorders>
                    <w:tl2br w:val="nil"/>
                    <w:tr2bl w:val="nil"/>
                  </w:tcBorders>
                  <w:noWrap w:val="0"/>
                  <w:vAlign w:val="center"/>
                </w:tcPr>
                <w:p w14:paraId="0732B906">
                  <w:pPr>
                    <w:spacing w:line="300" w:lineRule="exact"/>
                    <w:jc w:val="center"/>
                    <w:rPr>
                      <w:rFonts w:hint="default" w:ascii="Times New Roman" w:hAnsi="Times New Roman" w:eastAsia="宋体" w:cs="Times New Roman"/>
                      <w:color w:val="auto"/>
                      <w:spacing w:val="-2"/>
                      <w:sz w:val="22"/>
                      <w:lang w:val="en-US" w:eastAsia="zh-CN"/>
                    </w:rPr>
                  </w:pPr>
                  <w:r>
                    <w:rPr>
                      <w:rFonts w:hint="eastAsia" w:ascii="Times New Roman" w:hAnsi="Times New Roman" w:cs="Times New Roman"/>
                      <w:color w:val="auto"/>
                      <w:spacing w:val="-2"/>
                      <w:sz w:val="22"/>
                      <w:lang w:val="en-US" w:eastAsia="zh-CN"/>
                    </w:rPr>
                    <w:t>本</w:t>
                  </w:r>
                  <w:r>
                    <w:rPr>
                      <w:rFonts w:hint="default" w:ascii="Times New Roman" w:hAnsi="Times New Roman" w:cs="Times New Roman"/>
                      <w:color w:val="auto"/>
                      <w:spacing w:val="-2"/>
                      <w:sz w:val="22"/>
                    </w:rPr>
                    <w:t>项目不属于法律法规和相关政策</w:t>
                  </w:r>
                  <w:r>
                    <w:rPr>
                      <w:rFonts w:hint="eastAsia" w:ascii="Times New Roman" w:hAnsi="Times New Roman" w:cs="Times New Roman"/>
                      <w:color w:val="auto"/>
                      <w:spacing w:val="-2"/>
                      <w:sz w:val="22"/>
                      <w:lang w:val="en-US" w:eastAsia="zh-CN"/>
                    </w:rPr>
                    <w:t>明</w:t>
                  </w:r>
                  <w:r>
                    <w:rPr>
                      <w:rFonts w:hint="default" w:ascii="Times New Roman" w:hAnsi="Times New Roman" w:cs="Times New Roman"/>
                      <w:color w:val="auto"/>
                      <w:spacing w:val="-2"/>
                      <w:sz w:val="22"/>
                    </w:rPr>
                    <w:t>令禁止的落后产能项目</w:t>
                  </w:r>
                  <w:r>
                    <w:rPr>
                      <w:rFonts w:hint="eastAsia" w:ascii="Times New Roman" w:hAnsi="Times New Roman" w:cs="Times New Roman"/>
                      <w:color w:val="auto"/>
                      <w:spacing w:val="-2"/>
                      <w:sz w:val="22"/>
                      <w:lang w:eastAsia="zh-CN"/>
                    </w:rPr>
                    <w:t>；</w:t>
                  </w:r>
                  <w:r>
                    <w:rPr>
                      <w:rFonts w:hint="default" w:ascii="Times New Roman" w:hAnsi="Times New Roman" w:cs="Times New Roman"/>
                      <w:color w:val="auto"/>
                      <w:spacing w:val="-2"/>
                      <w:sz w:val="22"/>
                    </w:rPr>
                    <w:t>不属于国家产能置换要求的严重过剩产能行业的项目</w:t>
                  </w:r>
                  <w:r>
                    <w:rPr>
                      <w:rFonts w:hint="eastAsia" w:ascii="Times New Roman" w:hAnsi="Times New Roman" w:cs="Times New Roman"/>
                      <w:color w:val="auto"/>
                      <w:spacing w:val="-2"/>
                      <w:sz w:val="22"/>
                      <w:lang w:eastAsia="zh-CN"/>
                    </w:rPr>
                    <w:t>；</w:t>
                  </w:r>
                  <w:r>
                    <w:rPr>
                      <w:rFonts w:hint="eastAsia" w:ascii="Times New Roman" w:hAnsi="Times New Roman" w:cs="Times New Roman"/>
                      <w:color w:val="auto"/>
                      <w:spacing w:val="-2"/>
                      <w:sz w:val="22"/>
                      <w:lang w:val="en-US" w:eastAsia="zh-CN"/>
                    </w:rPr>
                    <w:t>本项目</w:t>
                  </w:r>
                  <w:r>
                    <w:rPr>
                      <w:rFonts w:hint="eastAsia" w:ascii="Times New Roman" w:hAnsi="Times New Roman" w:eastAsia="宋体" w:cs="Times New Roman"/>
                      <w:snapToGrid w:val="0"/>
                      <w:color w:val="auto"/>
                      <w:kern w:val="0"/>
                      <w:sz w:val="22"/>
                      <w:szCs w:val="22"/>
                      <w:lang w:val="en-US" w:eastAsia="zh-CN"/>
                    </w:rPr>
                    <w:t>不属于高耗能高排放项目</w:t>
                  </w:r>
                </w:p>
              </w:tc>
              <w:tc>
                <w:tcPr>
                  <w:tcW w:w="694" w:type="dxa"/>
                  <w:tcBorders>
                    <w:tl2br w:val="nil"/>
                    <w:tr2bl w:val="nil"/>
                  </w:tcBorders>
                  <w:noWrap w:val="0"/>
                  <w:vAlign w:val="center"/>
                </w:tcPr>
                <w:p w14:paraId="5FAB0048">
                  <w:pPr>
                    <w:spacing w:line="300" w:lineRule="exact"/>
                    <w:jc w:val="center"/>
                    <w:rPr>
                      <w:rFonts w:hint="eastAsia" w:ascii="Times New Roman" w:hAnsi="Times New Roman" w:eastAsia="宋体" w:cs="Times New Roman"/>
                      <w:color w:val="auto"/>
                      <w:spacing w:val="-2"/>
                      <w:sz w:val="22"/>
                      <w:lang w:val="en-US" w:eastAsia="zh-CN"/>
                    </w:rPr>
                  </w:pPr>
                  <w:r>
                    <w:rPr>
                      <w:rFonts w:hint="eastAsia" w:ascii="Times New Roman" w:hAnsi="Times New Roman" w:cs="Times New Roman"/>
                      <w:color w:val="auto"/>
                      <w:spacing w:val="-2"/>
                      <w:sz w:val="22"/>
                      <w:lang w:val="en-US" w:eastAsia="zh-CN"/>
                    </w:rPr>
                    <w:t>符合</w:t>
                  </w:r>
                </w:p>
              </w:tc>
            </w:tr>
            <w:tr w14:paraId="11F2A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35" w:type="dxa"/>
                  <w:tcBorders>
                    <w:tl2br w:val="nil"/>
                    <w:tr2bl w:val="nil"/>
                  </w:tcBorders>
                  <w:noWrap w:val="0"/>
                  <w:vAlign w:val="center"/>
                </w:tcPr>
                <w:p w14:paraId="5C3D36A8">
                  <w:pPr>
                    <w:spacing w:line="300" w:lineRule="exact"/>
                    <w:jc w:val="center"/>
                    <w:rPr>
                      <w:rFonts w:hint="default" w:ascii="Times New Roman" w:hAnsi="Times New Roman" w:eastAsia="宋体" w:cs="Times New Roman"/>
                      <w:color w:val="auto"/>
                      <w:spacing w:val="-2"/>
                      <w:sz w:val="22"/>
                      <w:lang w:val="en-US" w:eastAsia="zh-CN"/>
                    </w:rPr>
                  </w:pPr>
                  <w:r>
                    <w:rPr>
                      <w:rFonts w:hint="eastAsia" w:ascii="Times New Roman" w:hAnsi="Times New Roman" w:cs="Times New Roman"/>
                      <w:color w:val="auto"/>
                      <w:spacing w:val="-2"/>
                      <w:sz w:val="22"/>
                      <w:lang w:val="en-US" w:eastAsia="zh-CN"/>
                    </w:rPr>
                    <w:t>12</w:t>
                  </w:r>
                </w:p>
              </w:tc>
              <w:tc>
                <w:tcPr>
                  <w:tcW w:w="3587" w:type="dxa"/>
                  <w:tcBorders>
                    <w:tl2br w:val="nil"/>
                    <w:tr2bl w:val="nil"/>
                  </w:tcBorders>
                  <w:noWrap w:val="0"/>
                  <w:vAlign w:val="center"/>
                </w:tcPr>
                <w:p w14:paraId="170B4579">
                  <w:pPr>
                    <w:spacing w:line="300" w:lineRule="exact"/>
                    <w:jc w:val="center"/>
                    <w:rPr>
                      <w:rFonts w:hint="default" w:ascii="Times New Roman" w:hAnsi="Times New Roman" w:cs="Times New Roman"/>
                      <w:color w:val="auto"/>
                      <w:spacing w:val="-2"/>
                      <w:sz w:val="22"/>
                    </w:rPr>
                  </w:pPr>
                  <w:r>
                    <w:rPr>
                      <w:rFonts w:hint="default" w:ascii="Times New Roman" w:hAnsi="Times New Roman" w:cs="Times New Roman"/>
                      <w:color w:val="auto"/>
                      <w:spacing w:val="-2"/>
                      <w:sz w:val="22"/>
                    </w:rPr>
                    <w:t>法律法规及相关政策文件有更加严格规定的从其规定</w:t>
                  </w:r>
                </w:p>
              </w:tc>
              <w:tc>
                <w:tcPr>
                  <w:tcW w:w="3149" w:type="dxa"/>
                  <w:tcBorders>
                    <w:tl2br w:val="nil"/>
                    <w:tr2bl w:val="nil"/>
                  </w:tcBorders>
                  <w:noWrap w:val="0"/>
                  <w:vAlign w:val="center"/>
                </w:tcPr>
                <w:p w14:paraId="6E90FF75">
                  <w:pPr>
                    <w:spacing w:line="300" w:lineRule="exact"/>
                    <w:jc w:val="center"/>
                    <w:rPr>
                      <w:rFonts w:hint="default" w:ascii="Times New Roman" w:hAnsi="Times New Roman" w:cs="Times New Roman"/>
                      <w:color w:val="auto"/>
                      <w:spacing w:val="-2"/>
                      <w:sz w:val="22"/>
                      <w:lang w:val="en-US" w:eastAsia="zh-CN"/>
                    </w:rPr>
                  </w:pPr>
                  <w:r>
                    <w:rPr>
                      <w:rFonts w:hint="eastAsia" w:ascii="Times New Roman" w:hAnsi="Times New Roman" w:cs="Times New Roman"/>
                      <w:color w:val="auto"/>
                      <w:spacing w:val="-2"/>
                      <w:sz w:val="22"/>
                      <w:lang w:val="en-US" w:eastAsia="zh-CN"/>
                    </w:rPr>
                    <w:t>/</w:t>
                  </w:r>
                </w:p>
              </w:tc>
              <w:tc>
                <w:tcPr>
                  <w:tcW w:w="694" w:type="dxa"/>
                  <w:tcBorders>
                    <w:tl2br w:val="nil"/>
                    <w:tr2bl w:val="nil"/>
                  </w:tcBorders>
                  <w:noWrap w:val="0"/>
                  <w:vAlign w:val="center"/>
                </w:tcPr>
                <w:p w14:paraId="3AD02B98">
                  <w:pPr>
                    <w:spacing w:line="300" w:lineRule="exact"/>
                    <w:jc w:val="center"/>
                    <w:rPr>
                      <w:rFonts w:hint="eastAsia" w:ascii="Times New Roman" w:hAnsi="Times New Roman" w:eastAsia="宋体" w:cs="Times New Roman"/>
                      <w:color w:val="auto"/>
                      <w:spacing w:val="-2"/>
                      <w:sz w:val="22"/>
                      <w:lang w:val="en-US" w:eastAsia="zh-CN"/>
                    </w:rPr>
                  </w:pPr>
                  <w:r>
                    <w:rPr>
                      <w:rFonts w:hint="eastAsia" w:ascii="Times New Roman" w:hAnsi="Times New Roman" w:cs="Times New Roman"/>
                      <w:color w:val="auto"/>
                      <w:spacing w:val="-2"/>
                      <w:sz w:val="22"/>
                      <w:lang w:val="en-US" w:eastAsia="zh-CN"/>
                    </w:rPr>
                    <w:t>/</w:t>
                  </w:r>
                </w:p>
              </w:tc>
            </w:tr>
          </w:tbl>
          <w:p w14:paraId="7EB689A0">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jc w:val="both"/>
              <w:textAlignment w:val="auto"/>
              <w:rPr>
                <w:rFonts w:hint="eastAsia" w:ascii="Times New Roman" w:hAnsi="Times New Roman" w:eastAsia="宋体" w:cs="Times New Roman"/>
                <w:color w:val="auto"/>
                <w:sz w:val="26"/>
                <w:szCs w:val="26"/>
                <w:lang w:val="en-US" w:eastAsia="zh-CN"/>
              </w:rPr>
            </w:pPr>
          </w:p>
          <w:p w14:paraId="5C18AB79">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综上分析，本项目符合《长江经济带发展负面清单指南（试行，2022年版）》（长江办</w:t>
            </w:r>
            <w:r>
              <w:rPr>
                <w:rFonts w:hint="default" w:ascii="Times New Roman" w:hAnsi="Times New Roman" w:eastAsia="宋体" w:cs="Times New Roman"/>
                <w:color w:val="auto"/>
                <w:sz w:val="26"/>
                <w:szCs w:val="26"/>
                <w:lang w:val="en-US" w:eastAsia="zh-CN"/>
              </w:rPr>
              <w:t>〔2022〕</w:t>
            </w:r>
            <w:r>
              <w:rPr>
                <w:rFonts w:hint="eastAsia" w:ascii="Times New Roman" w:hAnsi="Times New Roman" w:eastAsia="宋体" w:cs="Times New Roman"/>
                <w:color w:val="auto"/>
                <w:sz w:val="26"/>
                <w:szCs w:val="26"/>
                <w:lang w:val="en-US" w:eastAsia="zh-CN"/>
              </w:rPr>
              <w:t>7号）文件规定</w:t>
            </w:r>
            <w:r>
              <w:rPr>
                <w:rFonts w:hint="default" w:ascii="Times New Roman" w:hAnsi="Times New Roman" w:eastAsia="宋体" w:cs="Times New Roman"/>
                <w:color w:val="auto"/>
                <w:sz w:val="26"/>
                <w:szCs w:val="26"/>
                <w:lang w:val="en-US" w:eastAsia="zh-CN"/>
              </w:rPr>
              <w:t>。</w:t>
            </w:r>
          </w:p>
          <w:p w14:paraId="3650B428">
            <w:pPr>
              <w:keepNext w:val="0"/>
              <w:keepLines w:val="0"/>
              <w:pageBreakBefore w:val="0"/>
              <w:widowControl/>
              <w:kinsoku/>
              <w:wordWrap/>
              <w:overflowPunct/>
              <w:topLinePunct w:val="0"/>
              <w:autoSpaceDE/>
              <w:autoSpaceDN/>
              <w:bidi w:val="0"/>
              <w:spacing w:line="460" w:lineRule="exact"/>
              <w:jc w:val="left"/>
              <w:textAlignment w:val="auto"/>
              <w:rPr>
                <w:rFonts w:hint="eastAsia" w:ascii="Times New Roman" w:hAnsi="Times New Roman" w:eastAsia="宋体" w:cs="Times New Roman"/>
                <w:b/>
                <w:bCs/>
                <w:color w:val="auto"/>
                <w:sz w:val="26"/>
                <w:szCs w:val="26"/>
                <w:lang w:val="en-US" w:eastAsia="zh-CN"/>
              </w:rPr>
            </w:pPr>
            <w:r>
              <w:rPr>
                <w:rFonts w:hint="eastAsia" w:ascii="Times New Roman" w:hAnsi="Times New Roman" w:cs="Times New Roman"/>
                <w:b/>
                <w:bCs/>
                <w:color w:val="auto"/>
                <w:kern w:val="0"/>
                <w:sz w:val="26"/>
                <w:szCs w:val="26"/>
                <w:lang w:val="en-US" w:eastAsia="zh-CN"/>
              </w:rPr>
              <w:t>1.4.</w:t>
            </w:r>
            <w:r>
              <w:rPr>
                <w:rFonts w:hint="eastAsia" w:ascii="Times New Roman" w:hAnsi="Times New Roman" w:eastAsia="宋体" w:cs="Times New Roman"/>
                <w:b/>
                <w:bCs/>
                <w:color w:val="auto"/>
                <w:sz w:val="26"/>
                <w:szCs w:val="26"/>
                <w:lang w:val="en-US" w:eastAsia="zh-CN"/>
              </w:rPr>
              <w:t>3与四川省推动长江经济带发展领导小组办公室重庆市推动长江经济带发展领导小组办公室关于印发《四川省、重庆市长江经济带发展负面清单实施细则（试行，2022年版）》的通知（</w:t>
            </w:r>
            <w:r>
              <w:rPr>
                <w:rFonts w:hint="default" w:ascii="Times New Roman" w:hAnsi="Times New Roman" w:eastAsia="宋体" w:cs="Times New Roman"/>
                <w:b/>
                <w:bCs/>
                <w:color w:val="auto"/>
                <w:sz w:val="26"/>
                <w:szCs w:val="26"/>
                <w:lang w:val="en-US" w:eastAsia="zh-CN"/>
              </w:rPr>
              <w:t>川长江办</w:t>
            </w:r>
            <w:r>
              <w:rPr>
                <w:rFonts w:hint="default" w:ascii="Times New Roman" w:hAnsi="Times New Roman" w:cs="Times New Roman"/>
                <w:b/>
                <w:bCs/>
                <w:color w:val="auto"/>
                <w:sz w:val="26"/>
                <w:szCs w:val="26"/>
                <w:vertAlign w:val="baseline"/>
              </w:rPr>
              <w:t>〔</w:t>
            </w:r>
            <w:r>
              <w:rPr>
                <w:rFonts w:hint="default" w:ascii="Times New Roman" w:hAnsi="Times New Roman" w:eastAsia="宋体" w:cs="Times New Roman"/>
                <w:b/>
                <w:bCs/>
                <w:color w:val="auto"/>
                <w:sz w:val="26"/>
                <w:szCs w:val="26"/>
                <w:lang w:val="en-US" w:eastAsia="zh-CN"/>
              </w:rPr>
              <w:t>2022</w:t>
            </w:r>
            <w:r>
              <w:rPr>
                <w:rFonts w:hint="default" w:ascii="Times New Roman" w:hAnsi="Times New Roman" w:cs="Times New Roman"/>
                <w:b/>
                <w:bCs/>
                <w:color w:val="auto"/>
                <w:sz w:val="26"/>
                <w:szCs w:val="26"/>
                <w:vertAlign w:val="baseline"/>
              </w:rPr>
              <w:t>〕</w:t>
            </w:r>
            <w:r>
              <w:rPr>
                <w:rFonts w:hint="default" w:ascii="Times New Roman" w:hAnsi="Times New Roman" w:eastAsia="宋体" w:cs="Times New Roman"/>
                <w:b/>
                <w:bCs/>
                <w:color w:val="auto"/>
                <w:sz w:val="26"/>
                <w:szCs w:val="26"/>
                <w:lang w:val="en-US" w:eastAsia="zh-CN"/>
              </w:rPr>
              <w:t>17</w:t>
            </w:r>
            <w:r>
              <w:rPr>
                <w:rFonts w:hint="eastAsia" w:ascii="Times New Roman" w:hAnsi="Times New Roman" w:eastAsia="宋体" w:cs="Times New Roman"/>
                <w:b/>
                <w:bCs/>
                <w:color w:val="auto"/>
                <w:sz w:val="26"/>
                <w:szCs w:val="26"/>
                <w:lang w:val="en-US" w:eastAsia="zh-CN"/>
              </w:rPr>
              <w:t>号）的符合性分析</w:t>
            </w:r>
          </w:p>
          <w:p w14:paraId="06405DF8">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本项目与川长江办〔2022〕17号的符合性对比分析详见下表。</w:t>
            </w:r>
          </w:p>
          <w:p w14:paraId="329C63AA">
            <w:pPr>
              <w:autoSpaceDE w:val="0"/>
              <w:autoSpaceDN w:val="0"/>
              <w:adjustRightInd w:val="0"/>
              <w:snapToGrid w:val="0"/>
              <w:spacing w:line="460" w:lineRule="exact"/>
              <w:jc w:val="center"/>
              <w:rPr>
                <w:rFonts w:hint="default" w:ascii="Times New Roman" w:hAnsi="Times New Roman" w:eastAsia="宋体" w:cs="Times New Roman"/>
                <w:b/>
                <w:bCs/>
                <w:color w:val="auto"/>
                <w:kern w:val="0"/>
                <w:sz w:val="26"/>
                <w:szCs w:val="26"/>
                <w:lang w:val="en-US" w:eastAsia="zh-CN"/>
              </w:rPr>
            </w:pPr>
            <w:r>
              <w:rPr>
                <w:rFonts w:hint="default" w:ascii="Times New Roman" w:hAnsi="Times New Roman" w:eastAsia="宋体" w:cs="Times New Roman"/>
                <w:b/>
                <w:bCs/>
                <w:color w:val="auto"/>
                <w:kern w:val="0"/>
                <w:sz w:val="26"/>
                <w:szCs w:val="26"/>
                <w:lang w:val="en-US" w:eastAsia="zh-CN"/>
              </w:rPr>
              <w:t>表</w:t>
            </w:r>
            <w:r>
              <w:rPr>
                <w:rFonts w:hint="eastAsia" w:ascii="Times New Roman" w:hAnsi="Times New Roman" w:eastAsia="宋体" w:cs="Times New Roman"/>
                <w:b/>
                <w:bCs/>
                <w:color w:val="auto"/>
                <w:kern w:val="0"/>
                <w:sz w:val="26"/>
                <w:szCs w:val="26"/>
                <w:lang w:val="en-US" w:eastAsia="zh-CN"/>
              </w:rPr>
              <w:t>1.4-2</w:t>
            </w:r>
            <w:r>
              <w:rPr>
                <w:rFonts w:hint="default" w:ascii="Times New Roman" w:hAnsi="Times New Roman" w:eastAsia="宋体" w:cs="Times New Roman"/>
                <w:b/>
                <w:bCs/>
                <w:color w:val="auto"/>
                <w:kern w:val="0"/>
                <w:sz w:val="26"/>
                <w:szCs w:val="26"/>
                <w:lang w:val="en-US" w:eastAsia="zh-CN"/>
              </w:rPr>
              <w:t xml:space="preserve">  与川长江办〔2022〕17号文符合性分析</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91"/>
              <w:gridCol w:w="2497"/>
              <w:gridCol w:w="638"/>
            </w:tblGrid>
            <w:tr w14:paraId="367F4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2FEFC016">
                  <w:pPr>
                    <w:spacing w:line="300" w:lineRule="exact"/>
                    <w:jc w:val="center"/>
                    <w:rPr>
                      <w:rFonts w:hint="default" w:ascii="Times New Roman" w:hAnsi="Times New Roman" w:eastAsia="宋体" w:cs="Times New Roman"/>
                      <w:color w:val="auto"/>
                      <w:spacing w:val="-2"/>
                      <w:sz w:val="22"/>
                    </w:rPr>
                  </w:pPr>
                  <w:r>
                    <w:rPr>
                      <w:rFonts w:hint="default" w:ascii="Times New Roman" w:hAnsi="Times New Roman" w:eastAsia="宋体" w:cs="Times New Roman"/>
                      <w:color w:val="auto"/>
                      <w:spacing w:val="-2"/>
                      <w:sz w:val="22"/>
                    </w:rPr>
                    <w:t>《</w:t>
                  </w:r>
                  <w:r>
                    <w:rPr>
                      <w:rFonts w:hint="default" w:ascii="Times New Roman" w:hAnsi="Times New Roman" w:eastAsia="宋体" w:cs="Times New Roman"/>
                      <w:color w:val="auto"/>
                      <w:spacing w:val="-2"/>
                      <w:sz w:val="22"/>
                      <w:lang w:val="en-US" w:eastAsia="zh-CN"/>
                    </w:rPr>
                    <w:t>川长江办〔2022〕17号</w:t>
                  </w:r>
                  <w:r>
                    <w:rPr>
                      <w:rFonts w:hint="default" w:ascii="Times New Roman" w:hAnsi="Times New Roman" w:eastAsia="宋体" w:cs="Times New Roman"/>
                      <w:color w:val="auto"/>
                      <w:spacing w:val="-2"/>
                      <w:sz w:val="22"/>
                    </w:rPr>
                    <w:t>》摘录</w:t>
                  </w:r>
                </w:p>
              </w:tc>
              <w:tc>
                <w:tcPr>
                  <w:tcW w:w="2580" w:type="dxa"/>
                  <w:tcBorders>
                    <w:tl2br w:val="nil"/>
                    <w:tr2bl w:val="nil"/>
                  </w:tcBorders>
                  <w:noWrap w:val="0"/>
                  <w:vAlign w:val="center"/>
                </w:tcPr>
                <w:p w14:paraId="6CC9AC57">
                  <w:pPr>
                    <w:spacing w:line="300" w:lineRule="exact"/>
                    <w:jc w:val="center"/>
                    <w:rPr>
                      <w:rFonts w:hint="default" w:ascii="Times New Roman" w:hAnsi="Times New Roman" w:eastAsia="宋体" w:cs="Times New Roman"/>
                      <w:color w:val="auto"/>
                      <w:spacing w:val="-2"/>
                      <w:sz w:val="22"/>
                    </w:rPr>
                  </w:pPr>
                  <w:r>
                    <w:rPr>
                      <w:rFonts w:hint="default" w:ascii="Times New Roman" w:hAnsi="Times New Roman" w:eastAsia="宋体" w:cs="Times New Roman"/>
                      <w:color w:val="auto"/>
                      <w:spacing w:val="-2"/>
                      <w:sz w:val="22"/>
                    </w:rPr>
                    <w:t>项目情况</w:t>
                  </w:r>
                </w:p>
              </w:tc>
              <w:tc>
                <w:tcPr>
                  <w:tcW w:w="653" w:type="dxa"/>
                  <w:tcBorders>
                    <w:tl2br w:val="nil"/>
                    <w:tr2bl w:val="nil"/>
                  </w:tcBorders>
                  <w:noWrap w:val="0"/>
                  <w:vAlign w:val="center"/>
                </w:tcPr>
                <w:p w14:paraId="5ECF99E8">
                  <w:pPr>
                    <w:spacing w:line="300" w:lineRule="exact"/>
                    <w:jc w:val="center"/>
                    <w:rPr>
                      <w:rFonts w:hint="default" w:ascii="Times New Roman" w:hAnsi="Times New Roman" w:eastAsia="宋体" w:cs="Times New Roman"/>
                      <w:color w:val="auto"/>
                      <w:spacing w:val="-2"/>
                      <w:sz w:val="22"/>
                    </w:rPr>
                  </w:pPr>
                  <w:r>
                    <w:rPr>
                      <w:rFonts w:hint="default" w:ascii="Times New Roman" w:hAnsi="Times New Roman" w:eastAsia="宋体" w:cs="Times New Roman"/>
                      <w:color w:val="auto"/>
                      <w:spacing w:val="-2"/>
                      <w:sz w:val="22"/>
                    </w:rPr>
                    <w:t>符合性</w:t>
                  </w:r>
                </w:p>
              </w:tc>
            </w:tr>
            <w:tr w14:paraId="1DD54A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6E3ECC5B">
                  <w:pPr>
                    <w:spacing w:line="300" w:lineRule="exact"/>
                    <w:jc w:val="both"/>
                    <w:rPr>
                      <w:rFonts w:hint="default" w:ascii="Times New Roman" w:hAnsi="Times New Roman" w:eastAsia="宋体" w:cs="Times New Roman"/>
                      <w:color w:val="auto"/>
                      <w:spacing w:val="-2"/>
                      <w:sz w:val="22"/>
                    </w:rPr>
                  </w:pPr>
                  <w:r>
                    <w:rPr>
                      <w:rFonts w:hint="default" w:ascii="Times New Roman" w:hAnsi="Times New Roman" w:eastAsia="宋体" w:cs="Times New Roman"/>
                      <w:color w:val="auto"/>
                      <w:spacing w:val="-2"/>
                      <w:sz w:val="22"/>
                      <w:lang w:val="en-US" w:eastAsia="zh-CN"/>
                    </w:rPr>
                    <w:t>禁止新建、改建和扩建不符合全国港口布局规划</w:t>
                  </w:r>
                  <w:r>
                    <w:rPr>
                      <w:rFonts w:hint="eastAsia" w:ascii="Times New Roman" w:hAnsi="Times New Roman" w:eastAsia="宋体" w:cs="Times New Roman"/>
                      <w:color w:val="auto"/>
                      <w:spacing w:val="-2"/>
                      <w:sz w:val="22"/>
                      <w:lang w:val="en-US" w:eastAsia="zh-CN"/>
                    </w:rPr>
                    <w:t>，</w:t>
                  </w:r>
                  <w:r>
                    <w:rPr>
                      <w:rFonts w:hint="default" w:ascii="Times New Roman" w:hAnsi="Times New Roman" w:eastAsia="宋体" w:cs="Times New Roman"/>
                      <w:color w:val="auto"/>
                      <w:spacing w:val="-2"/>
                      <w:sz w:val="22"/>
                      <w:lang w:val="en-US" w:eastAsia="zh-CN"/>
                    </w:rPr>
                    <w:t>以及《四川省内河水运发展规划》《泸州—宜宾—乐山港口群布局规划》《重庆港总体规划（2035年）》等省级港口布局规划及市级港口总体规划的码头项目</w:t>
                  </w:r>
                </w:p>
              </w:tc>
              <w:tc>
                <w:tcPr>
                  <w:tcW w:w="2580" w:type="dxa"/>
                  <w:tcBorders>
                    <w:tl2br w:val="nil"/>
                    <w:tr2bl w:val="nil"/>
                  </w:tcBorders>
                  <w:noWrap w:val="0"/>
                  <w:vAlign w:val="center"/>
                </w:tcPr>
                <w:p w14:paraId="5240F856">
                  <w:pPr>
                    <w:spacing w:line="300" w:lineRule="exact"/>
                    <w:jc w:val="both"/>
                    <w:rPr>
                      <w:rFonts w:hint="default" w:ascii="Times New Roman" w:hAnsi="Times New Roman" w:eastAsia="宋体" w:cs="Times New Roman"/>
                      <w:color w:val="auto"/>
                      <w:spacing w:val="-2"/>
                      <w:sz w:val="22"/>
                    </w:rPr>
                  </w:pPr>
                  <w:r>
                    <w:rPr>
                      <w:rFonts w:hint="eastAsia" w:ascii="Times New Roman" w:hAnsi="Times New Roman" w:eastAsia="宋体" w:cs="Times New Roman"/>
                      <w:color w:val="auto"/>
                      <w:spacing w:val="-2"/>
                      <w:sz w:val="22"/>
                      <w:lang w:val="en-US" w:eastAsia="zh-CN"/>
                    </w:rPr>
                    <w:t>本</w:t>
                  </w:r>
                  <w:r>
                    <w:rPr>
                      <w:rFonts w:hint="default" w:ascii="Times New Roman" w:hAnsi="Times New Roman" w:eastAsia="宋体" w:cs="Times New Roman"/>
                      <w:color w:val="auto"/>
                      <w:spacing w:val="-2"/>
                      <w:sz w:val="22"/>
                    </w:rPr>
                    <w:t>项目</w:t>
                  </w:r>
                  <w:r>
                    <w:rPr>
                      <w:rFonts w:hint="eastAsia" w:ascii="Times New Roman" w:hAnsi="Times New Roman" w:eastAsia="宋体" w:cs="Times New Roman"/>
                      <w:color w:val="auto"/>
                      <w:spacing w:val="-2"/>
                      <w:sz w:val="22"/>
                      <w:lang w:eastAsia="zh-CN"/>
                    </w:rPr>
                    <w:t>不属于港口布局及码头建设项目</w:t>
                  </w:r>
                </w:p>
              </w:tc>
              <w:tc>
                <w:tcPr>
                  <w:tcW w:w="653" w:type="dxa"/>
                  <w:tcBorders>
                    <w:tl2br w:val="nil"/>
                    <w:tr2bl w:val="nil"/>
                  </w:tcBorders>
                  <w:noWrap w:val="0"/>
                  <w:vAlign w:val="center"/>
                </w:tcPr>
                <w:p w14:paraId="6AAEE729">
                  <w:pPr>
                    <w:spacing w:line="300" w:lineRule="exact"/>
                    <w:jc w:val="both"/>
                    <w:rPr>
                      <w:rFonts w:hint="default" w:ascii="Times New Roman" w:hAnsi="Times New Roman" w:eastAsia="宋体" w:cs="Times New Roman"/>
                      <w:color w:val="auto"/>
                      <w:spacing w:val="-2"/>
                      <w:sz w:val="22"/>
                    </w:rPr>
                  </w:pPr>
                  <w:r>
                    <w:rPr>
                      <w:rFonts w:hint="default" w:ascii="Times New Roman" w:hAnsi="Times New Roman" w:eastAsia="宋体" w:cs="Times New Roman"/>
                      <w:color w:val="auto"/>
                      <w:spacing w:val="-2"/>
                      <w:sz w:val="22"/>
                    </w:rPr>
                    <w:t>符合</w:t>
                  </w:r>
                </w:p>
              </w:tc>
            </w:tr>
            <w:tr w14:paraId="0DD0F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1B8C2039">
                  <w:pPr>
                    <w:spacing w:line="300" w:lineRule="exact"/>
                    <w:jc w:val="both"/>
                    <w:rPr>
                      <w:rFonts w:hint="default" w:ascii="Times New Roman" w:hAnsi="Times New Roman" w:eastAsia="宋体" w:cs="Times New Roman"/>
                      <w:color w:val="auto"/>
                      <w:spacing w:val="-2"/>
                      <w:sz w:val="22"/>
                    </w:rPr>
                  </w:pPr>
                  <w:r>
                    <w:rPr>
                      <w:rFonts w:hint="default" w:ascii="Times New Roman" w:hAnsi="Times New Roman" w:eastAsia="宋体" w:cs="Times New Roman"/>
                      <w:color w:val="auto"/>
                      <w:spacing w:val="-2"/>
                      <w:sz w:val="22"/>
                      <w:lang w:val="en-US" w:eastAsia="zh-CN"/>
                    </w:rPr>
                    <w:t>禁止新建、改建和扩建不符合《长江干线过江通道布局规划（2020-2035年）》的过长江通道项目（含桥梁、隧道），国家发展改革委同意过长江通道线位调整的除外</w:t>
                  </w:r>
                </w:p>
              </w:tc>
              <w:tc>
                <w:tcPr>
                  <w:tcW w:w="2580" w:type="dxa"/>
                  <w:tcBorders>
                    <w:tl2br w:val="nil"/>
                    <w:tr2bl w:val="nil"/>
                  </w:tcBorders>
                  <w:noWrap w:val="0"/>
                  <w:vAlign w:val="center"/>
                </w:tcPr>
                <w:p w14:paraId="7E243F8B">
                  <w:pPr>
                    <w:spacing w:line="300" w:lineRule="exact"/>
                    <w:jc w:val="both"/>
                    <w:rPr>
                      <w:rFonts w:hint="default" w:ascii="Times New Roman" w:hAnsi="Times New Roman" w:eastAsia="宋体" w:cs="Times New Roman"/>
                      <w:color w:val="auto"/>
                      <w:spacing w:val="-2"/>
                      <w:sz w:val="22"/>
                      <w:lang w:eastAsia="zh-CN"/>
                    </w:rPr>
                  </w:pPr>
                  <w:r>
                    <w:rPr>
                      <w:rFonts w:hint="eastAsia" w:ascii="Times New Roman" w:hAnsi="Times New Roman" w:eastAsia="宋体" w:cs="Times New Roman"/>
                      <w:color w:val="auto"/>
                      <w:spacing w:val="-2"/>
                      <w:sz w:val="22"/>
                      <w:lang w:val="en-US" w:eastAsia="zh-CN"/>
                    </w:rPr>
                    <w:t>本</w:t>
                  </w:r>
                  <w:r>
                    <w:rPr>
                      <w:rFonts w:hint="default" w:ascii="Times New Roman" w:hAnsi="Times New Roman" w:eastAsia="宋体" w:cs="Times New Roman"/>
                      <w:color w:val="auto"/>
                      <w:spacing w:val="-2"/>
                      <w:sz w:val="22"/>
                    </w:rPr>
                    <w:t>项目</w:t>
                  </w:r>
                  <w:r>
                    <w:rPr>
                      <w:rFonts w:hint="eastAsia" w:ascii="Times New Roman" w:hAnsi="Times New Roman" w:eastAsia="宋体" w:cs="Times New Roman"/>
                      <w:color w:val="auto"/>
                      <w:spacing w:val="-2"/>
                      <w:sz w:val="22"/>
                      <w:lang w:eastAsia="zh-CN"/>
                    </w:rPr>
                    <w:t>不属于</w:t>
                  </w:r>
                  <w:r>
                    <w:rPr>
                      <w:rFonts w:hint="default" w:ascii="Times New Roman" w:hAnsi="Times New Roman" w:eastAsia="宋体" w:cs="Times New Roman"/>
                      <w:color w:val="auto"/>
                      <w:spacing w:val="-2"/>
                      <w:sz w:val="22"/>
                      <w:lang w:val="en-US" w:eastAsia="zh-CN"/>
                    </w:rPr>
                    <w:t>过长江通道项目</w:t>
                  </w:r>
                </w:p>
              </w:tc>
              <w:tc>
                <w:tcPr>
                  <w:tcW w:w="653" w:type="dxa"/>
                  <w:tcBorders>
                    <w:tl2br w:val="nil"/>
                    <w:tr2bl w:val="nil"/>
                  </w:tcBorders>
                  <w:noWrap w:val="0"/>
                  <w:vAlign w:val="center"/>
                </w:tcPr>
                <w:p w14:paraId="66C30514">
                  <w:pPr>
                    <w:spacing w:line="300" w:lineRule="exact"/>
                    <w:jc w:val="both"/>
                    <w:rPr>
                      <w:rFonts w:hint="default" w:ascii="Times New Roman" w:hAnsi="Times New Roman" w:eastAsia="宋体" w:cs="Times New Roman"/>
                      <w:color w:val="auto"/>
                      <w:spacing w:val="-2"/>
                      <w:sz w:val="22"/>
                    </w:rPr>
                  </w:pPr>
                  <w:r>
                    <w:rPr>
                      <w:rFonts w:hint="default" w:ascii="Times New Roman" w:hAnsi="Times New Roman" w:eastAsia="宋体" w:cs="Times New Roman"/>
                      <w:color w:val="auto"/>
                      <w:spacing w:val="-2"/>
                      <w:sz w:val="22"/>
                    </w:rPr>
                    <w:t>符合</w:t>
                  </w:r>
                </w:p>
              </w:tc>
            </w:tr>
            <w:tr w14:paraId="2C5F7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0FB520D1">
                  <w:pPr>
                    <w:spacing w:line="300" w:lineRule="exact"/>
                    <w:jc w:val="both"/>
                    <w:rPr>
                      <w:rFonts w:hint="default" w:ascii="Times New Roman" w:hAnsi="Times New Roman" w:eastAsia="宋体" w:cs="Times New Roman"/>
                      <w:color w:val="auto"/>
                      <w:spacing w:val="-2"/>
                      <w:sz w:val="22"/>
                    </w:rPr>
                  </w:pPr>
                  <w:r>
                    <w:rPr>
                      <w:rFonts w:hint="default" w:ascii="Times New Roman" w:hAnsi="Times New Roman" w:eastAsia="宋体" w:cs="Times New Roman"/>
                      <w:color w:val="auto"/>
                      <w:spacing w:val="-2"/>
                      <w:sz w:val="22"/>
                      <w:lang w:val="en-US" w:eastAsia="zh-CN"/>
                    </w:rPr>
                    <w:t>禁止在自然保护区核心区、缓冲区的岸线和河段范围内投资建设旅游和生产经营项目。自然保护区的内部未分区的，依照核心区和缓冲区的规定管控</w:t>
                  </w:r>
                </w:p>
              </w:tc>
              <w:tc>
                <w:tcPr>
                  <w:tcW w:w="2580" w:type="dxa"/>
                  <w:tcBorders>
                    <w:tl2br w:val="nil"/>
                    <w:tr2bl w:val="nil"/>
                  </w:tcBorders>
                  <w:noWrap w:val="0"/>
                  <w:vAlign w:val="center"/>
                </w:tcPr>
                <w:p w14:paraId="490F2976">
                  <w:pPr>
                    <w:spacing w:line="300" w:lineRule="exact"/>
                    <w:jc w:val="both"/>
                    <w:rPr>
                      <w:rFonts w:hint="default" w:ascii="Times New Roman" w:hAnsi="Times New Roman" w:eastAsia="宋体" w:cs="Times New Roman"/>
                      <w:color w:val="auto"/>
                      <w:spacing w:val="-2"/>
                      <w:sz w:val="22"/>
                      <w:lang w:eastAsia="zh-CN"/>
                    </w:rPr>
                  </w:pPr>
                  <w:r>
                    <w:rPr>
                      <w:rFonts w:hint="eastAsia" w:ascii="Times New Roman" w:hAnsi="Times New Roman" w:eastAsia="宋体" w:cs="Times New Roman"/>
                      <w:color w:val="auto"/>
                      <w:spacing w:val="-2"/>
                      <w:sz w:val="22"/>
                      <w:lang w:val="en-US" w:eastAsia="zh-CN"/>
                    </w:rPr>
                    <w:t>本</w:t>
                  </w:r>
                  <w:r>
                    <w:rPr>
                      <w:rFonts w:hint="eastAsia" w:ascii="Times New Roman" w:hAnsi="Times New Roman" w:eastAsia="宋体" w:cs="Times New Roman"/>
                      <w:color w:val="auto"/>
                      <w:spacing w:val="-2"/>
                      <w:sz w:val="22"/>
                      <w:lang w:eastAsia="zh-CN"/>
                    </w:rPr>
                    <w:t>项目选址于</w:t>
                  </w:r>
                  <w:r>
                    <w:rPr>
                      <w:rFonts w:hint="eastAsia" w:ascii="Times New Roman" w:hAnsi="Times New Roman" w:eastAsia="宋体" w:cs="Times New Roman"/>
                      <w:color w:val="auto"/>
                      <w:spacing w:val="-2"/>
                      <w:sz w:val="22"/>
                      <w:lang w:val="en-US" w:eastAsia="zh-CN"/>
                    </w:rPr>
                    <w:t>西彭工业园区</w:t>
                  </w:r>
                  <w:r>
                    <w:rPr>
                      <w:rFonts w:hint="eastAsia" w:ascii="Times New Roman" w:hAnsi="Times New Roman" w:eastAsia="宋体" w:cs="Times New Roman"/>
                      <w:color w:val="auto"/>
                      <w:spacing w:val="-2"/>
                      <w:sz w:val="22"/>
                      <w:lang w:eastAsia="zh-CN"/>
                    </w:rPr>
                    <w:t>，</w:t>
                  </w:r>
                  <w:r>
                    <w:rPr>
                      <w:rFonts w:hint="default" w:ascii="Times New Roman" w:hAnsi="Times New Roman" w:eastAsia="宋体" w:cs="Times New Roman"/>
                      <w:color w:val="auto"/>
                      <w:spacing w:val="-2"/>
                      <w:sz w:val="22"/>
                    </w:rPr>
                    <w:t>不涉及</w:t>
                  </w:r>
                  <w:r>
                    <w:rPr>
                      <w:rFonts w:hint="eastAsia" w:ascii="Times New Roman" w:hAnsi="Times New Roman" w:eastAsia="宋体" w:cs="Times New Roman"/>
                      <w:color w:val="auto"/>
                      <w:spacing w:val="-2"/>
                      <w:sz w:val="22"/>
                      <w:lang w:eastAsia="zh-CN"/>
                    </w:rPr>
                    <w:t>自然保护区</w:t>
                  </w:r>
                </w:p>
              </w:tc>
              <w:tc>
                <w:tcPr>
                  <w:tcW w:w="653" w:type="dxa"/>
                  <w:tcBorders>
                    <w:tl2br w:val="nil"/>
                    <w:tr2bl w:val="nil"/>
                  </w:tcBorders>
                  <w:noWrap w:val="0"/>
                  <w:vAlign w:val="center"/>
                </w:tcPr>
                <w:p w14:paraId="647ECBD9">
                  <w:pPr>
                    <w:spacing w:line="300" w:lineRule="exact"/>
                    <w:jc w:val="both"/>
                    <w:rPr>
                      <w:rFonts w:hint="default" w:ascii="Times New Roman" w:hAnsi="Times New Roman" w:eastAsia="宋体" w:cs="Times New Roman"/>
                      <w:color w:val="auto"/>
                      <w:spacing w:val="-2"/>
                      <w:sz w:val="22"/>
                    </w:rPr>
                  </w:pPr>
                  <w:r>
                    <w:rPr>
                      <w:rFonts w:hint="default" w:ascii="Times New Roman" w:hAnsi="Times New Roman" w:eastAsia="宋体" w:cs="Times New Roman"/>
                      <w:color w:val="auto"/>
                      <w:spacing w:val="-2"/>
                      <w:sz w:val="22"/>
                    </w:rPr>
                    <w:t>符合</w:t>
                  </w:r>
                </w:p>
              </w:tc>
            </w:tr>
            <w:tr w14:paraId="40ACE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5DBEE1D9">
                  <w:pPr>
                    <w:spacing w:line="300" w:lineRule="exact"/>
                    <w:jc w:val="both"/>
                    <w:rPr>
                      <w:rFonts w:hint="default" w:ascii="Times New Roman" w:hAnsi="Times New Roman" w:eastAsia="宋体" w:cs="Times New Roman"/>
                      <w:color w:val="auto"/>
                      <w:spacing w:val="-2"/>
                      <w:sz w:val="22"/>
                    </w:rPr>
                  </w:pPr>
                  <w:r>
                    <w:rPr>
                      <w:rFonts w:hint="default" w:ascii="Times New Roman" w:hAnsi="Times New Roman" w:eastAsia="宋体" w:cs="Times New Roman"/>
                      <w:color w:val="auto"/>
                      <w:spacing w:val="-2"/>
                      <w:sz w:val="22"/>
                      <w:lang w:eastAsia="zh-CN"/>
                    </w:rPr>
                    <w:t>禁止</w:t>
                  </w:r>
                  <w:r>
                    <w:rPr>
                      <w:rFonts w:hint="default" w:ascii="Times New Roman" w:hAnsi="Times New Roman" w:eastAsia="宋体" w:cs="Times New Roman"/>
                      <w:color w:val="auto"/>
                      <w:spacing w:val="-2"/>
                      <w:sz w:val="22"/>
                      <w:lang w:val="en-US" w:eastAsia="zh-CN"/>
                    </w:rPr>
                    <w:t>违反风景名胜区规划，在风景名胜区内设立各类开发区。在风景名胜区核心景区的岸线和河段范围内建设宾馆、招待所、培训中心、疗养院以及与风景名胜</w:t>
                  </w:r>
                  <w:r>
                    <w:rPr>
                      <w:rFonts w:hint="eastAsia"/>
                      <w:color w:val="auto"/>
                      <w:lang w:val="en-US" w:eastAsia="zh-CN"/>
                    </w:rPr>
                    <w:t>区</w:t>
                  </w:r>
                  <w:r>
                    <w:rPr>
                      <w:rFonts w:hint="default" w:ascii="Times New Roman" w:hAnsi="Times New Roman" w:eastAsia="宋体" w:cs="Times New Roman"/>
                      <w:color w:val="auto"/>
                      <w:spacing w:val="-2"/>
                      <w:sz w:val="22"/>
                      <w:lang w:val="en-US" w:eastAsia="zh-CN"/>
                    </w:rPr>
                    <w:t>资源保护无关的项目</w:t>
                  </w:r>
                </w:p>
              </w:tc>
              <w:tc>
                <w:tcPr>
                  <w:tcW w:w="2580" w:type="dxa"/>
                  <w:tcBorders>
                    <w:tl2br w:val="nil"/>
                    <w:tr2bl w:val="nil"/>
                  </w:tcBorders>
                  <w:noWrap w:val="0"/>
                  <w:vAlign w:val="center"/>
                </w:tcPr>
                <w:p w14:paraId="451C125B">
                  <w:pPr>
                    <w:spacing w:line="300" w:lineRule="exact"/>
                    <w:jc w:val="both"/>
                    <w:rPr>
                      <w:rFonts w:hint="default" w:ascii="Times New Roman" w:hAnsi="Times New Roman" w:eastAsia="宋体" w:cs="Times New Roman"/>
                      <w:color w:val="auto"/>
                      <w:spacing w:val="-2"/>
                      <w:sz w:val="22"/>
                    </w:rPr>
                  </w:pPr>
                  <w:r>
                    <w:rPr>
                      <w:rFonts w:hint="eastAsia" w:ascii="Times New Roman" w:hAnsi="Times New Roman" w:eastAsia="宋体" w:cs="Times New Roman"/>
                      <w:color w:val="auto"/>
                      <w:spacing w:val="-2"/>
                      <w:sz w:val="22"/>
                      <w:lang w:val="en-US" w:eastAsia="zh-CN"/>
                    </w:rPr>
                    <w:t>本</w:t>
                  </w:r>
                  <w:r>
                    <w:rPr>
                      <w:rFonts w:hint="eastAsia" w:ascii="Times New Roman" w:hAnsi="Times New Roman" w:eastAsia="宋体" w:cs="Times New Roman"/>
                      <w:color w:val="auto"/>
                      <w:spacing w:val="-2"/>
                      <w:sz w:val="22"/>
                      <w:lang w:eastAsia="zh-CN"/>
                    </w:rPr>
                    <w:t>项目</w:t>
                  </w:r>
                  <w:r>
                    <w:rPr>
                      <w:rFonts w:hint="default" w:ascii="Times New Roman" w:hAnsi="Times New Roman" w:eastAsia="宋体" w:cs="Times New Roman"/>
                      <w:color w:val="auto"/>
                      <w:spacing w:val="-2"/>
                      <w:sz w:val="22"/>
                    </w:rPr>
                    <w:t>不涉及</w:t>
                  </w:r>
                  <w:r>
                    <w:rPr>
                      <w:rFonts w:hint="default" w:ascii="Times New Roman" w:hAnsi="Times New Roman" w:eastAsia="宋体" w:cs="Times New Roman"/>
                      <w:color w:val="auto"/>
                      <w:spacing w:val="-2"/>
                      <w:sz w:val="22"/>
                      <w:lang w:val="en-US" w:eastAsia="zh-CN"/>
                    </w:rPr>
                    <w:t>风景名胜区</w:t>
                  </w:r>
                </w:p>
              </w:tc>
              <w:tc>
                <w:tcPr>
                  <w:tcW w:w="653" w:type="dxa"/>
                  <w:tcBorders>
                    <w:tl2br w:val="nil"/>
                    <w:tr2bl w:val="nil"/>
                  </w:tcBorders>
                  <w:noWrap w:val="0"/>
                  <w:vAlign w:val="center"/>
                </w:tcPr>
                <w:p w14:paraId="091FFAC2">
                  <w:pPr>
                    <w:spacing w:line="300" w:lineRule="exact"/>
                    <w:jc w:val="both"/>
                    <w:rPr>
                      <w:rFonts w:hint="default" w:ascii="Times New Roman" w:hAnsi="Times New Roman" w:eastAsia="宋体" w:cs="Times New Roman"/>
                      <w:color w:val="auto"/>
                      <w:spacing w:val="-2"/>
                      <w:sz w:val="22"/>
                    </w:rPr>
                  </w:pPr>
                  <w:r>
                    <w:rPr>
                      <w:rFonts w:hint="default" w:ascii="Times New Roman" w:hAnsi="Times New Roman" w:eastAsia="宋体" w:cs="Times New Roman"/>
                      <w:color w:val="auto"/>
                      <w:spacing w:val="-2"/>
                      <w:sz w:val="22"/>
                    </w:rPr>
                    <w:t>符合</w:t>
                  </w:r>
                </w:p>
              </w:tc>
            </w:tr>
            <w:tr w14:paraId="6B97DA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2613128A">
                  <w:pPr>
                    <w:spacing w:line="300" w:lineRule="exact"/>
                    <w:jc w:val="both"/>
                    <w:rPr>
                      <w:rFonts w:hint="default" w:ascii="Times New Roman" w:hAnsi="Times New Roman" w:eastAsia="宋体" w:cs="Times New Roman"/>
                      <w:color w:val="auto"/>
                      <w:spacing w:val="-2"/>
                      <w:sz w:val="22"/>
                    </w:rPr>
                  </w:pPr>
                  <w:r>
                    <w:rPr>
                      <w:rFonts w:hint="default" w:ascii="Times New Roman" w:hAnsi="Times New Roman" w:eastAsia="宋体" w:cs="Times New Roman"/>
                      <w:color w:val="auto"/>
                      <w:spacing w:val="-2"/>
                      <w:sz w:val="22"/>
                      <w:lang w:val="en-US" w:eastAsia="zh-CN"/>
                    </w:rPr>
                    <w:t>禁止在饮用水水源准保护区的岸线和河段范围内新建、扩建对水体污染严重的建设项目， 禁止改建增加排污量的建设项目</w:t>
                  </w:r>
                </w:p>
              </w:tc>
              <w:tc>
                <w:tcPr>
                  <w:tcW w:w="2580" w:type="dxa"/>
                  <w:tcBorders>
                    <w:tl2br w:val="nil"/>
                    <w:tr2bl w:val="nil"/>
                  </w:tcBorders>
                  <w:noWrap w:val="0"/>
                  <w:vAlign w:val="center"/>
                </w:tcPr>
                <w:p w14:paraId="7555E90D">
                  <w:pPr>
                    <w:spacing w:line="300" w:lineRule="exact"/>
                    <w:jc w:val="both"/>
                    <w:rPr>
                      <w:rFonts w:hint="default" w:ascii="Times New Roman" w:hAnsi="Times New Roman" w:eastAsia="宋体" w:cs="Times New Roman"/>
                      <w:color w:val="auto"/>
                      <w:spacing w:val="-2"/>
                      <w:sz w:val="22"/>
                      <w:lang w:eastAsia="zh-CN"/>
                    </w:rPr>
                  </w:pPr>
                  <w:r>
                    <w:rPr>
                      <w:rFonts w:hint="eastAsia" w:ascii="Times New Roman" w:hAnsi="Times New Roman" w:eastAsia="宋体" w:cs="Times New Roman"/>
                      <w:color w:val="auto"/>
                      <w:spacing w:val="-2"/>
                      <w:sz w:val="22"/>
                      <w:lang w:val="en-US" w:eastAsia="zh-CN"/>
                    </w:rPr>
                    <w:t>本</w:t>
                  </w:r>
                  <w:r>
                    <w:rPr>
                      <w:rFonts w:hint="eastAsia" w:ascii="Times New Roman" w:hAnsi="Times New Roman" w:eastAsia="宋体" w:cs="Times New Roman"/>
                      <w:color w:val="auto"/>
                      <w:spacing w:val="-2"/>
                      <w:sz w:val="22"/>
                      <w:lang w:eastAsia="zh-CN"/>
                    </w:rPr>
                    <w:t>项目</w:t>
                  </w:r>
                  <w:r>
                    <w:rPr>
                      <w:rFonts w:hint="eastAsia" w:ascii="Times New Roman" w:hAnsi="Times New Roman" w:eastAsia="宋体" w:cs="Times New Roman"/>
                      <w:color w:val="auto"/>
                      <w:spacing w:val="-2"/>
                      <w:sz w:val="22"/>
                      <w:lang w:val="en-US" w:eastAsia="zh-CN"/>
                    </w:rPr>
                    <w:t>不</w:t>
                  </w:r>
                  <w:r>
                    <w:rPr>
                      <w:rFonts w:hint="default" w:ascii="Times New Roman" w:hAnsi="Times New Roman" w:eastAsia="宋体" w:cs="Times New Roman"/>
                      <w:color w:val="auto"/>
                      <w:spacing w:val="-2"/>
                      <w:sz w:val="22"/>
                    </w:rPr>
                    <w:t>涉及</w:t>
                  </w:r>
                  <w:r>
                    <w:rPr>
                      <w:rFonts w:hint="default" w:ascii="Times New Roman" w:hAnsi="Times New Roman" w:eastAsia="宋体" w:cs="Times New Roman"/>
                      <w:color w:val="auto"/>
                      <w:spacing w:val="-2"/>
                      <w:sz w:val="22"/>
                      <w:lang w:val="en-US" w:eastAsia="zh-CN"/>
                    </w:rPr>
                    <w:t>饮用水水源准保护区</w:t>
                  </w:r>
                </w:p>
              </w:tc>
              <w:tc>
                <w:tcPr>
                  <w:tcW w:w="653" w:type="dxa"/>
                  <w:tcBorders>
                    <w:tl2br w:val="nil"/>
                    <w:tr2bl w:val="nil"/>
                  </w:tcBorders>
                  <w:noWrap w:val="0"/>
                  <w:vAlign w:val="center"/>
                </w:tcPr>
                <w:p w14:paraId="683E614C">
                  <w:pPr>
                    <w:spacing w:line="300" w:lineRule="exact"/>
                    <w:jc w:val="both"/>
                    <w:rPr>
                      <w:rFonts w:hint="default" w:ascii="Times New Roman" w:hAnsi="Times New Roman" w:eastAsia="宋体" w:cs="Times New Roman"/>
                      <w:color w:val="auto"/>
                      <w:spacing w:val="-2"/>
                      <w:sz w:val="22"/>
                    </w:rPr>
                  </w:pPr>
                  <w:r>
                    <w:rPr>
                      <w:rFonts w:hint="default" w:ascii="Times New Roman" w:hAnsi="Times New Roman" w:eastAsia="宋体" w:cs="Times New Roman"/>
                      <w:color w:val="auto"/>
                      <w:spacing w:val="-2"/>
                      <w:sz w:val="22"/>
                    </w:rPr>
                    <w:t>符合</w:t>
                  </w:r>
                </w:p>
              </w:tc>
            </w:tr>
            <w:tr w14:paraId="29EB91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510F867A">
                  <w:pPr>
                    <w:spacing w:line="300" w:lineRule="exact"/>
                    <w:jc w:val="both"/>
                    <w:rPr>
                      <w:rFonts w:hint="default" w:ascii="Times New Roman" w:hAnsi="Times New Roman" w:eastAsia="宋体" w:cs="Times New Roman"/>
                      <w:color w:val="auto"/>
                      <w:spacing w:val="-2"/>
                      <w:sz w:val="22"/>
                    </w:rPr>
                  </w:pPr>
                  <w:r>
                    <w:rPr>
                      <w:rFonts w:hint="default" w:ascii="Times New Roman" w:hAnsi="Times New Roman" w:eastAsia="宋体" w:cs="Times New Roman"/>
                      <w:color w:val="auto"/>
                      <w:spacing w:val="-2"/>
                      <w:sz w:val="22"/>
                      <w:lang w:val="en-US" w:eastAsia="zh-CN"/>
                    </w:rPr>
                    <w:t>饮用水水源二级保护区的岸线和河段范围内，除遵守准保护区规定外，禁止新建、改建、扩建排放污染物的投资建设项目；禁止从事对水体有污染的水产养殖等活动</w:t>
                  </w:r>
                </w:p>
              </w:tc>
              <w:tc>
                <w:tcPr>
                  <w:tcW w:w="2580" w:type="dxa"/>
                  <w:tcBorders>
                    <w:tl2br w:val="nil"/>
                    <w:tr2bl w:val="nil"/>
                  </w:tcBorders>
                  <w:noWrap w:val="0"/>
                  <w:vAlign w:val="center"/>
                </w:tcPr>
                <w:p w14:paraId="024A3EC3">
                  <w:pPr>
                    <w:spacing w:line="300" w:lineRule="exact"/>
                    <w:jc w:val="both"/>
                    <w:rPr>
                      <w:rFonts w:hint="default" w:ascii="Times New Roman" w:hAnsi="Times New Roman" w:eastAsia="宋体" w:cs="Times New Roman"/>
                      <w:color w:val="auto"/>
                      <w:spacing w:val="-2"/>
                      <w:sz w:val="22"/>
                    </w:rPr>
                  </w:pPr>
                  <w:r>
                    <w:rPr>
                      <w:rFonts w:hint="eastAsia" w:ascii="Times New Roman" w:hAnsi="Times New Roman" w:eastAsia="宋体" w:cs="Times New Roman"/>
                      <w:color w:val="auto"/>
                      <w:spacing w:val="-2"/>
                      <w:sz w:val="22"/>
                      <w:lang w:val="en-US" w:eastAsia="zh-CN"/>
                    </w:rPr>
                    <w:t>本</w:t>
                  </w:r>
                  <w:r>
                    <w:rPr>
                      <w:rFonts w:hint="eastAsia" w:ascii="Times New Roman" w:hAnsi="Times New Roman" w:eastAsia="宋体" w:cs="Times New Roman"/>
                      <w:color w:val="auto"/>
                      <w:spacing w:val="-2"/>
                      <w:sz w:val="22"/>
                      <w:lang w:eastAsia="zh-CN"/>
                    </w:rPr>
                    <w:t>项目</w:t>
                  </w:r>
                  <w:r>
                    <w:rPr>
                      <w:rFonts w:hint="default" w:ascii="Times New Roman" w:hAnsi="Times New Roman" w:eastAsia="宋体" w:cs="Times New Roman"/>
                      <w:color w:val="auto"/>
                      <w:spacing w:val="-2"/>
                      <w:sz w:val="22"/>
                    </w:rPr>
                    <w:t>不涉及</w:t>
                  </w:r>
                  <w:r>
                    <w:rPr>
                      <w:rFonts w:hint="default" w:ascii="Times New Roman" w:hAnsi="Times New Roman" w:eastAsia="宋体" w:cs="Times New Roman"/>
                      <w:color w:val="auto"/>
                      <w:spacing w:val="-2"/>
                      <w:sz w:val="22"/>
                      <w:lang w:val="en-US" w:eastAsia="zh-CN"/>
                    </w:rPr>
                    <w:t>饮用水水源二级保护区</w:t>
                  </w:r>
                  <w:r>
                    <w:rPr>
                      <w:rFonts w:hint="eastAsia" w:ascii="Times New Roman" w:hAnsi="Times New Roman" w:eastAsia="宋体" w:cs="Times New Roman"/>
                      <w:color w:val="auto"/>
                      <w:spacing w:val="-2"/>
                      <w:sz w:val="22"/>
                      <w:lang w:val="en-US" w:eastAsia="zh-CN"/>
                    </w:rPr>
                    <w:t>，不属于</w:t>
                  </w:r>
                  <w:r>
                    <w:rPr>
                      <w:rFonts w:hint="default" w:ascii="Times New Roman" w:hAnsi="Times New Roman" w:eastAsia="宋体" w:cs="Times New Roman"/>
                      <w:color w:val="auto"/>
                      <w:spacing w:val="-2"/>
                      <w:sz w:val="22"/>
                      <w:lang w:val="en-US" w:eastAsia="zh-CN"/>
                    </w:rPr>
                    <w:t>水产养殖</w:t>
                  </w:r>
                  <w:r>
                    <w:rPr>
                      <w:rFonts w:hint="eastAsia" w:ascii="Times New Roman" w:hAnsi="Times New Roman" w:eastAsia="宋体" w:cs="Times New Roman"/>
                      <w:color w:val="auto"/>
                      <w:spacing w:val="-2"/>
                      <w:sz w:val="22"/>
                      <w:lang w:val="en-US" w:eastAsia="zh-CN"/>
                    </w:rPr>
                    <w:t>业</w:t>
                  </w:r>
                </w:p>
              </w:tc>
              <w:tc>
                <w:tcPr>
                  <w:tcW w:w="653" w:type="dxa"/>
                  <w:tcBorders>
                    <w:tl2br w:val="nil"/>
                    <w:tr2bl w:val="nil"/>
                  </w:tcBorders>
                  <w:noWrap w:val="0"/>
                  <w:vAlign w:val="center"/>
                </w:tcPr>
                <w:p w14:paraId="164B5175">
                  <w:pPr>
                    <w:spacing w:line="300" w:lineRule="exact"/>
                    <w:jc w:val="both"/>
                    <w:rPr>
                      <w:rFonts w:hint="default" w:ascii="Times New Roman" w:hAnsi="Times New Roman" w:eastAsia="宋体" w:cs="Times New Roman"/>
                      <w:color w:val="auto"/>
                      <w:spacing w:val="-2"/>
                      <w:sz w:val="22"/>
                    </w:rPr>
                  </w:pPr>
                  <w:r>
                    <w:rPr>
                      <w:rFonts w:hint="default" w:ascii="Times New Roman" w:hAnsi="Times New Roman" w:eastAsia="宋体" w:cs="Times New Roman"/>
                      <w:color w:val="auto"/>
                      <w:spacing w:val="-2"/>
                      <w:sz w:val="22"/>
                    </w:rPr>
                    <w:t>符合</w:t>
                  </w:r>
                </w:p>
              </w:tc>
            </w:tr>
            <w:tr w14:paraId="60B849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042D4E85">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2580" w:type="dxa"/>
                  <w:tcBorders>
                    <w:tl2br w:val="nil"/>
                    <w:tr2bl w:val="nil"/>
                  </w:tcBorders>
                  <w:noWrap w:val="0"/>
                  <w:vAlign w:val="center"/>
                </w:tcPr>
                <w:p w14:paraId="48306A8B">
                  <w:pPr>
                    <w:spacing w:line="300" w:lineRule="exact"/>
                    <w:jc w:val="both"/>
                    <w:rPr>
                      <w:rFonts w:hint="default" w:ascii="Times New Roman" w:hAnsi="Times New Roman" w:eastAsia="宋体" w:cs="Times New Roman"/>
                      <w:color w:val="auto"/>
                      <w:spacing w:val="-2"/>
                      <w:sz w:val="22"/>
                    </w:rPr>
                  </w:pPr>
                  <w:r>
                    <w:rPr>
                      <w:rFonts w:hint="eastAsia" w:ascii="Times New Roman" w:hAnsi="Times New Roman" w:eastAsia="宋体" w:cs="Times New Roman"/>
                      <w:color w:val="auto"/>
                      <w:spacing w:val="-2"/>
                      <w:sz w:val="22"/>
                      <w:lang w:val="en-US" w:eastAsia="zh-CN"/>
                    </w:rPr>
                    <w:t>本</w:t>
                  </w:r>
                  <w:r>
                    <w:rPr>
                      <w:rFonts w:hint="eastAsia" w:ascii="Times New Roman" w:hAnsi="Times New Roman" w:eastAsia="宋体" w:cs="Times New Roman"/>
                      <w:color w:val="auto"/>
                      <w:spacing w:val="-2"/>
                      <w:sz w:val="22"/>
                      <w:lang w:eastAsia="zh-CN"/>
                    </w:rPr>
                    <w:t>项目</w:t>
                  </w:r>
                  <w:r>
                    <w:rPr>
                      <w:rFonts w:hint="default" w:ascii="Times New Roman" w:hAnsi="Times New Roman" w:eastAsia="宋体" w:cs="Times New Roman"/>
                      <w:color w:val="auto"/>
                      <w:spacing w:val="-2"/>
                      <w:sz w:val="22"/>
                    </w:rPr>
                    <w:t>不涉及</w:t>
                  </w:r>
                  <w:r>
                    <w:rPr>
                      <w:rFonts w:hint="default" w:ascii="Times New Roman" w:hAnsi="Times New Roman" w:eastAsia="宋体" w:cs="Times New Roman"/>
                      <w:color w:val="auto"/>
                      <w:spacing w:val="-2"/>
                      <w:sz w:val="22"/>
                      <w:lang w:val="en-US" w:eastAsia="zh-CN"/>
                    </w:rPr>
                    <w:t>饮用水水源二级保护区</w:t>
                  </w:r>
                  <w:r>
                    <w:rPr>
                      <w:rFonts w:hint="eastAsia" w:ascii="Times New Roman" w:hAnsi="Times New Roman" w:eastAsia="宋体" w:cs="Times New Roman"/>
                      <w:color w:val="auto"/>
                      <w:spacing w:val="-2"/>
                      <w:sz w:val="22"/>
                      <w:lang w:val="en-US" w:eastAsia="zh-CN"/>
                    </w:rPr>
                    <w:t>，不属于</w:t>
                  </w:r>
                  <w:r>
                    <w:rPr>
                      <w:rFonts w:hint="default" w:ascii="Times New Roman" w:hAnsi="Times New Roman" w:eastAsia="宋体" w:cs="Times New Roman"/>
                      <w:color w:val="auto"/>
                      <w:spacing w:val="-2"/>
                      <w:sz w:val="22"/>
                      <w:lang w:val="en-US" w:eastAsia="zh-CN"/>
                    </w:rPr>
                    <w:t>网箱养殖、畜禽养殖、旅游</w:t>
                  </w:r>
                  <w:r>
                    <w:rPr>
                      <w:rFonts w:hint="eastAsia" w:ascii="Times New Roman" w:hAnsi="Times New Roman" w:eastAsia="宋体" w:cs="Times New Roman"/>
                      <w:color w:val="auto"/>
                      <w:spacing w:val="-2"/>
                      <w:sz w:val="22"/>
                      <w:lang w:val="en-US" w:eastAsia="zh-CN"/>
                    </w:rPr>
                    <w:t>等项目</w:t>
                  </w:r>
                </w:p>
              </w:tc>
              <w:tc>
                <w:tcPr>
                  <w:tcW w:w="653" w:type="dxa"/>
                  <w:tcBorders>
                    <w:tl2br w:val="nil"/>
                    <w:tr2bl w:val="nil"/>
                  </w:tcBorders>
                  <w:noWrap w:val="0"/>
                  <w:vAlign w:val="center"/>
                </w:tcPr>
                <w:p w14:paraId="50073115">
                  <w:pPr>
                    <w:spacing w:line="300" w:lineRule="exact"/>
                    <w:jc w:val="both"/>
                    <w:rPr>
                      <w:rFonts w:hint="default" w:ascii="Times New Roman" w:hAnsi="Times New Roman" w:eastAsia="宋体" w:cs="Times New Roman"/>
                      <w:color w:val="auto"/>
                      <w:spacing w:val="-2"/>
                      <w:sz w:val="22"/>
                    </w:rPr>
                  </w:pPr>
                  <w:r>
                    <w:rPr>
                      <w:rFonts w:hint="default" w:ascii="Times New Roman" w:hAnsi="Times New Roman" w:eastAsia="宋体" w:cs="Times New Roman"/>
                      <w:color w:val="auto"/>
                      <w:spacing w:val="-2"/>
                      <w:sz w:val="22"/>
                    </w:rPr>
                    <w:t>符合</w:t>
                  </w:r>
                </w:p>
              </w:tc>
            </w:tr>
            <w:tr w14:paraId="7F8924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38B225A7">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禁止在水产种质资源保护区岸线和河段范围内新建围湖造田、围湖造地或挖沙采石等投资建设项目</w:t>
                  </w:r>
                </w:p>
              </w:tc>
              <w:tc>
                <w:tcPr>
                  <w:tcW w:w="2580" w:type="dxa"/>
                  <w:tcBorders>
                    <w:tl2br w:val="nil"/>
                    <w:tr2bl w:val="nil"/>
                  </w:tcBorders>
                  <w:noWrap w:val="0"/>
                  <w:vAlign w:val="center"/>
                </w:tcPr>
                <w:p w14:paraId="4E3F37D0">
                  <w:pPr>
                    <w:spacing w:line="300" w:lineRule="exact"/>
                    <w:jc w:val="both"/>
                    <w:rPr>
                      <w:rFonts w:hint="eastAsia" w:ascii="Times New Roman" w:hAnsi="Times New Roman" w:eastAsia="宋体" w:cs="Times New Roman"/>
                      <w:color w:val="auto"/>
                      <w:spacing w:val="-2"/>
                      <w:sz w:val="22"/>
                      <w:lang w:eastAsia="zh-CN"/>
                    </w:rPr>
                  </w:pPr>
                  <w:r>
                    <w:rPr>
                      <w:rFonts w:hint="eastAsia" w:ascii="Times New Roman" w:hAnsi="Times New Roman" w:eastAsia="宋体" w:cs="Times New Roman"/>
                      <w:color w:val="auto"/>
                      <w:spacing w:val="-2"/>
                      <w:sz w:val="22"/>
                      <w:lang w:val="en-US" w:eastAsia="zh-CN"/>
                    </w:rPr>
                    <w:t>本</w:t>
                  </w:r>
                  <w:r>
                    <w:rPr>
                      <w:rFonts w:hint="eastAsia"/>
                      <w:color w:val="auto"/>
                      <w:lang w:val="en-US" w:eastAsia="zh-CN"/>
                    </w:rPr>
                    <w:t>项</w:t>
                  </w:r>
                  <w:r>
                    <w:rPr>
                      <w:rFonts w:hint="eastAsia" w:ascii="Times New Roman" w:hAnsi="Times New Roman" w:eastAsia="宋体" w:cs="Times New Roman"/>
                      <w:color w:val="auto"/>
                      <w:spacing w:val="-2"/>
                      <w:sz w:val="22"/>
                      <w:lang w:eastAsia="zh-CN"/>
                    </w:rPr>
                    <w:t>目</w:t>
                  </w:r>
                  <w:r>
                    <w:rPr>
                      <w:rFonts w:hint="default" w:ascii="Times New Roman" w:hAnsi="Times New Roman" w:eastAsia="宋体" w:cs="Times New Roman"/>
                      <w:color w:val="auto"/>
                      <w:spacing w:val="-2"/>
                      <w:sz w:val="22"/>
                    </w:rPr>
                    <w:t>不涉及</w:t>
                  </w:r>
                  <w:r>
                    <w:rPr>
                      <w:rFonts w:hint="default" w:ascii="Times New Roman" w:hAnsi="Times New Roman" w:eastAsia="宋体" w:cs="Times New Roman"/>
                      <w:color w:val="auto"/>
                      <w:spacing w:val="-2"/>
                      <w:sz w:val="22"/>
                      <w:lang w:val="en-US" w:eastAsia="zh-CN"/>
                    </w:rPr>
                    <w:t>水产种质资源保护区</w:t>
                  </w:r>
                  <w:r>
                    <w:rPr>
                      <w:rFonts w:hint="eastAsia" w:ascii="Times New Roman" w:hAnsi="Times New Roman" w:eastAsia="宋体" w:cs="Times New Roman"/>
                      <w:color w:val="auto"/>
                      <w:spacing w:val="-2"/>
                      <w:sz w:val="22"/>
                      <w:lang w:eastAsia="zh-CN"/>
                    </w:rPr>
                    <w:t>。不属于</w:t>
                  </w:r>
                  <w:r>
                    <w:rPr>
                      <w:rFonts w:hint="default" w:ascii="Times New Roman" w:hAnsi="Times New Roman" w:eastAsia="宋体" w:cs="Times New Roman"/>
                      <w:color w:val="auto"/>
                      <w:spacing w:val="-2"/>
                      <w:sz w:val="22"/>
                      <w:lang w:val="en-US" w:eastAsia="zh-CN"/>
                    </w:rPr>
                    <w:t>围湖造田、围湖造地或挖沙采石</w:t>
                  </w:r>
                  <w:r>
                    <w:rPr>
                      <w:rFonts w:hint="eastAsia" w:ascii="Times New Roman" w:hAnsi="Times New Roman" w:eastAsia="宋体" w:cs="Times New Roman"/>
                      <w:color w:val="auto"/>
                      <w:spacing w:val="-2"/>
                      <w:sz w:val="22"/>
                      <w:lang w:val="en-US" w:eastAsia="zh-CN"/>
                    </w:rPr>
                    <w:t>等项目</w:t>
                  </w:r>
                </w:p>
              </w:tc>
              <w:tc>
                <w:tcPr>
                  <w:tcW w:w="653" w:type="dxa"/>
                  <w:tcBorders>
                    <w:tl2br w:val="nil"/>
                    <w:tr2bl w:val="nil"/>
                  </w:tcBorders>
                  <w:noWrap w:val="0"/>
                  <w:vAlign w:val="center"/>
                </w:tcPr>
                <w:p w14:paraId="4A194926">
                  <w:pPr>
                    <w:spacing w:line="300" w:lineRule="exact"/>
                    <w:jc w:val="both"/>
                    <w:rPr>
                      <w:rFonts w:hint="eastAsia" w:ascii="Times New Roman" w:hAnsi="Times New Roman" w:eastAsia="宋体" w:cs="Times New Roman"/>
                      <w:color w:val="auto"/>
                      <w:spacing w:val="-2"/>
                      <w:sz w:val="22"/>
                      <w:lang w:eastAsia="zh-CN"/>
                    </w:rPr>
                  </w:pPr>
                  <w:r>
                    <w:rPr>
                      <w:rFonts w:hint="eastAsia" w:ascii="Times New Roman" w:hAnsi="Times New Roman" w:eastAsia="宋体" w:cs="Times New Roman"/>
                      <w:color w:val="auto"/>
                      <w:spacing w:val="-2"/>
                      <w:sz w:val="22"/>
                      <w:lang w:eastAsia="zh-CN"/>
                    </w:rPr>
                    <w:t>符合</w:t>
                  </w:r>
                </w:p>
              </w:tc>
            </w:tr>
            <w:tr w14:paraId="7F042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5CFE024D">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eastAsia" w:ascii="Times New Roman" w:hAnsi="Times New Roman" w:eastAsia="宋体" w:cs="Times New Roman"/>
                      <w:color w:val="auto"/>
                      <w:spacing w:val="-2"/>
                      <w:sz w:val="22"/>
                      <w:lang w:val="en-US" w:eastAsia="zh-CN"/>
                    </w:rPr>
                    <w:t>回</w:t>
                  </w:r>
                  <w:r>
                    <w:rPr>
                      <w:rFonts w:hint="default" w:ascii="Times New Roman" w:hAnsi="Times New Roman" w:eastAsia="宋体" w:cs="Times New Roman"/>
                      <w:color w:val="auto"/>
                      <w:spacing w:val="-2"/>
                      <w:sz w:val="22"/>
                      <w:lang w:val="en-US" w:eastAsia="zh-CN"/>
                    </w:rPr>
                    <w:t>游通道</w:t>
                  </w:r>
                </w:p>
              </w:tc>
              <w:tc>
                <w:tcPr>
                  <w:tcW w:w="2580" w:type="dxa"/>
                  <w:tcBorders>
                    <w:tl2br w:val="nil"/>
                    <w:tr2bl w:val="nil"/>
                  </w:tcBorders>
                  <w:noWrap w:val="0"/>
                  <w:vAlign w:val="center"/>
                </w:tcPr>
                <w:p w14:paraId="7F097D77">
                  <w:pPr>
                    <w:spacing w:line="300" w:lineRule="exact"/>
                    <w:jc w:val="both"/>
                    <w:rPr>
                      <w:rFonts w:hint="default" w:ascii="Times New Roman" w:hAnsi="Times New Roman" w:eastAsia="宋体" w:cs="Times New Roman"/>
                      <w:color w:val="auto"/>
                      <w:spacing w:val="-2"/>
                      <w:sz w:val="22"/>
                    </w:rPr>
                  </w:pPr>
                  <w:r>
                    <w:rPr>
                      <w:rFonts w:hint="eastAsia" w:ascii="Times New Roman" w:hAnsi="Times New Roman" w:eastAsia="宋体" w:cs="Times New Roman"/>
                      <w:color w:val="auto"/>
                      <w:spacing w:val="-2"/>
                      <w:sz w:val="22"/>
                      <w:lang w:val="en-US" w:eastAsia="zh-CN"/>
                    </w:rPr>
                    <w:t>本</w:t>
                  </w:r>
                  <w:r>
                    <w:rPr>
                      <w:rFonts w:hint="eastAsia" w:ascii="Times New Roman" w:hAnsi="Times New Roman" w:eastAsia="宋体" w:cs="Times New Roman"/>
                      <w:color w:val="auto"/>
                      <w:spacing w:val="-2"/>
                      <w:sz w:val="22"/>
                      <w:lang w:eastAsia="zh-CN"/>
                    </w:rPr>
                    <w:t>项目</w:t>
                  </w:r>
                  <w:r>
                    <w:rPr>
                      <w:rFonts w:hint="default" w:ascii="Times New Roman" w:hAnsi="Times New Roman" w:eastAsia="宋体" w:cs="Times New Roman"/>
                      <w:color w:val="auto"/>
                      <w:spacing w:val="-2"/>
                      <w:sz w:val="22"/>
                    </w:rPr>
                    <w:t>不涉及</w:t>
                  </w:r>
                  <w:r>
                    <w:rPr>
                      <w:rFonts w:hint="default" w:ascii="Times New Roman" w:hAnsi="Times New Roman" w:eastAsia="宋体" w:cs="Times New Roman"/>
                      <w:color w:val="auto"/>
                      <w:spacing w:val="-2"/>
                      <w:sz w:val="22"/>
                      <w:lang w:val="en-US" w:eastAsia="zh-CN"/>
                    </w:rPr>
                    <w:t>国家湿地公园</w:t>
                  </w:r>
                  <w:r>
                    <w:rPr>
                      <w:rFonts w:hint="eastAsia" w:ascii="Times New Roman" w:hAnsi="Times New Roman" w:eastAsia="宋体" w:cs="Times New Roman"/>
                      <w:color w:val="auto"/>
                      <w:spacing w:val="-2"/>
                      <w:sz w:val="22"/>
                      <w:lang w:eastAsia="zh-CN"/>
                    </w:rPr>
                    <w:t>。项目不属于</w:t>
                  </w:r>
                  <w:r>
                    <w:rPr>
                      <w:rFonts w:hint="default" w:ascii="Times New Roman" w:hAnsi="Times New Roman" w:eastAsia="宋体" w:cs="Times New Roman"/>
                      <w:color w:val="auto"/>
                      <w:spacing w:val="-2"/>
                      <w:sz w:val="22"/>
                      <w:lang w:val="en-US" w:eastAsia="zh-CN"/>
                    </w:rPr>
                    <w:t>排干湿地</w:t>
                  </w:r>
                  <w:r>
                    <w:rPr>
                      <w:rFonts w:hint="eastAsia" w:ascii="Times New Roman" w:hAnsi="Times New Roman" w:eastAsia="宋体" w:cs="Times New Roman"/>
                      <w:color w:val="auto"/>
                      <w:spacing w:val="-2"/>
                      <w:sz w:val="22"/>
                      <w:lang w:val="en-US" w:eastAsia="zh-CN"/>
                    </w:rPr>
                    <w:t>、</w:t>
                  </w:r>
                  <w:r>
                    <w:rPr>
                      <w:rFonts w:hint="default" w:ascii="Times New Roman" w:hAnsi="Times New Roman" w:eastAsia="宋体" w:cs="Times New Roman"/>
                      <w:color w:val="auto"/>
                      <w:spacing w:val="-2"/>
                      <w:sz w:val="22"/>
                      <w:lang w:val="en-US" w:eastAsia="zh-CN"/>
                    </w:rPr>
                    <w:t>挖沙、采矿</w:t>
                  </w:r>
                  <w:r>
                    <w:rPr>
                      <w:rFonts w:hint="eastAsia" w:ascii="Times New Roman" w:hAnsi="Times New Roman" w:eastAsia="宋体" w:cs="Times New Roman"/>
                      <w:color w:val="auto"/>
                      <w:spacing w:val="-2"/>
                      <w:sz w:val="22"/>
                      <w:lang w:val="en-US" w:eastAsia="zh-CN"/>
                    </w:rPr>
                    <w:t>等项目</w:t>
                  </w:r>
                </w:p>
              </w:tc>
              <w:tc>
                <w:tcPr>
                  <w:tcW w:w="653" w:type="dxa"/>
                  <w:tcBorders>
                    <w:tl2br w:val="nil"/>
                    <w:tr2bl w:val="nil"/>
                  </w:tcBorders>
                  <w:noWrap w:val="0"/>
                  <w:vAlign w:val="center"/>
                </w:tcPr>
                <w:p w14:paraId="730BCC3A">
                  <w:pPr>
                    <w:spacing w:line="300" w:lineRule="exact"/>
                    <w:jc w:val="both"/>
                    <w:rPr>
                      <w:rFonts w:hint="eastAsia" w:ascii="Times New Roman" w:hAnsi="Times New Roman" w:eastAsia="宋体" w:cs="Times New Roman"/>
                      <w:color w:val="auto"/>
                      <w:spacing w:val="-2"/>
                      <w:sz w:val="22"/>
                      <w:lang w:eastAsia="zh-CN"/>
                    </w:rPr>
                  </w:pPr>
                  <w:r>
                    <w:rPr>
                      <w:rFonts w:hint="eastAsia" w:ascii="Times New Roman" w:hAnsi="Times New Roman" w:eastAsia="宋体" w:cs="Times New Roman"/>
                      <w:color w:val="auto"/>
                      <w:spacing w:val="-2"/>
                      <w:sz w:val="22"/>
                      <w:lang w:eastAsia="zh-CN"/>
                    </w:rPr>
                    <w:t>符合</w:t>
                  </w:r>
                </w:p>
              </w:tc>
            </w:tr>
            <w:tr w14:paraId="4E45D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68C4C6FC">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禁止违法利用、占用长江流域河湖岸线。禁止在 《长江岸线保护和开发利用总体规划》划定的岸线保护区和岸线保留区内投资建设除事关公共安全及公众利益的防洪护岸、河道治理、供水、生态环境保护、航道整治、国家重要基础设施以外的项目</w:t>
                  </w:r>
                </w:p>
              </w:tc>
              <w:tc>
                <w:tcPr>
                  <w:tcW w:w="2580" w:type="dxa"/>
                  <w:tcBorders>
                    <w:tl2br w:val="nil"/>
                    <w:tr2bl w:val="nil"/>
                  </w:tcBorders>
                  <w:noWrap w:val="0"/>
                  <w:vAlign w:val="center"/>
                </w:tcPr>
                <w:p w14:paraId="256B1DD7">
                  <w:pPr>
                    <w:spacing w:line="300" w:lineRule="exact"/>
                    <w:jc w:val="both"/>
                    <w:rPr>
                      <w:rFonts w:hint="default" w:ascii="Times New Roman" w:hAnsi="Times New Roman" w:eastAsia="宋体" w:cs="Times New Roman"/>
                      <w:color w:val="auto"/>
                      <w:spacing w:val="-2"/>
                      <w:sz w:val="22"/>
                    </w:rPr>
                  </w:pPr>
                  <w:r>
                    <w:rPr>
                      <w:rFonts w:hint="eastAsia" w:ascii="Times New Roman" w:hAnsi="Times New Roman" w:eastAsia="宋体" w:cs="Times New Roman"/>
                      <w:color w:val="auto"/>
                      <w:spacing w:val="-2"/>
                      <w:sz w:val="22"/>
                      <w:lang w:val="en-US" w:eastAsia="zh-CN"/>
                    </w:rPr>
                    <w:t>本</w:t>
                  </w:r>
                  <w:r>
                    <w:rPr>
                      <w:rFonts w:hint="eastAsia" w:ascii="Times New Roman" w:hAnsi="Times New Roman" w:eastAsia="宋体" w:cs="Times New Roman"/>
                      <w:color w:val="auto"/>
                      <w:spacing w:val="-2"/>
                      <w:sz w:val="22"/>
                      <w:lang w:eastAsia="zh-CN"/>
                    </w:rPr>
                    <w:t>项目</w:t>
                  </w:r>
                  <w:r>
                    <w:rPr>
                      <w:rFonts w:hint="default" w:ascii="Times New Roman" w:hAnsi="Times New Roman" w:eastAsia="宋体" w:cs="Times New Roman"/>
                      <w:color w:val="auto"/>
                      <w:spacing w:val="-2"/>
                      <w:sz w:val="22"/>
                    </w:rPr>
                    <w:t>不</w:t>
                  </w:r>
                  <w:r>
                    <w:rPr>
                      <w:rFonts w:hint="default" w:ascii="Times New Roman" w:hAnsi="Times New Roman" w:eastAsia="宋体" w:cs="Times New Roman"/>
                      <w:color w:val="auto"/>
                      <w:spacing w:val="-2"/>
                      <w:sz w:val="22"/>
                      <w:lang w:val="en-US" w:eastAsia="zh-CN"/>
                    </w:rPr>
                    <w:t>违法利用、占用长江流域河湖岸线</w:t>
                  </w:r>
                </w:p>
              </w:tc>
              <w:tc>
                <w:tcPr>
                  <w:tcW w:w="653" w:type="dxa"/>
                  <w:tcBorders>
                    <w:tl2br w:val="nil"/>
                    <w:tr2bl w:val="nil"/>
                  </w:tcBorders>
                  <w:noWrap w:val="0"/>
                  <w:vAlign w:val="center"/>
                </w:tcPr>
                <w:p w14:paraId="614A887D">
                  <w:pPr>
                    <w:spacing w:line="300" w:lineRule="exact"/>
                    <w:jc w:val="both"/>
                    <w:rPr>
                      <w:rFonts w:hint="eastAsia" w:ascii="Times New Roman" w:hAnsi="Times New Roman" w:eastAsia="宋体" w:cs="Times New Roman"/>
                      <w:color w:val="auto"/>
                      <w:spacing w:val="-2"/>
                      <w:sz w:val="22"/>
                      <w:lang w:eastAsia="zh-CN"/>
                    </w:rPr>
                  </w:pPr>
                  <w:r>
                    <w:rPr>
                      <w:rFonts w:hint="eastAsia" w:ascii="Times New Roman" w:hAnsi="Times New Roman" w:eastAsia="宋体" w:cs="Times New Roman"/>
                      <w:color w:val="auto"/>
                      <w:spacing w:val="-2"/>
                      <w:sz w:val="22"/>
                      <w:lang w:eastAsia="zh-CN"/>
                    </w:rPr>
                    <w:t>符合</w:t>
                  </w:r>
                </w:p>
              </w:tc>
            </w:tr>
            <w:tr w14:paraId="71EDE2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578BC647">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禁止在《全国重要江河湖泊水功能区划》划定的河段及湖泊保护区、保留区内投资建设不利于水资源及自然生态保护的项目</w:t>
                  </w:r>
                </w:p>
              </w:tc>
              <w:tc>
                <w:tcPr>
                  <w:tcW w:w="2580" w:type="dxa"/>
                  <w:tcBorders>
                    <w:tl2br w:val="nil"/>
                    <w:tr2bl w:val="nil"/>
                  </w:tcBorders>
                  <w:noWrap w:val="0"/>
                  <w:vAlign w:val="center"/>
                </w:tcPr>
                <w:p w14:paraId="2A7849CE">
                  <w:pPr>
                    <w:spacing w:line="300" w:lineRule="exact"/>
                    <w:jc w:val="both"/>
                    <w:rPr>
                      <w:rFonts w:hint="default" w:ascii="Times New Roman" w:hAnsi="Times New Roman" w:eastAsia="宋体" w:cs="Times New Roman"/>
                      <w:color w:val="auto"/>
                      <w:spacing w:val="-2"/>
                      <w:sz w:val="22"/>
                    </w:rPr>
                  </w:pPr>
                  <w:r>
                    <w:rPr>
                      <w:rFonts w:hint="eastAsia" w:ascii="Times New Roman" w:hAnsi="Times New Roman" w:eastAsia="宋体" w:cs="Times New Roman"/>
                      <w:color w:val="auto"/>
                      <w:spacing w:val="-2"/>
                      <w:sz w:val="22"/>
                      <w:lang w:val="en-US" w:eastAsia="zh-CN"/>
                    </w:rPr>
                    <w:t>本</w:t>
                  </w:r>
                  <w:r>
                    <w:rPr>
                      <w:rFonts w:hint="eastAsia" w:ascii="Times New Roman" w:hAnsi="Times New Roman" w:eastAsia="宋体" w:cs="Times New Roman"/>
                      <w:color w:val="auto"/>
                      <w:spacing w:val="-2"/>
                      <w:sz w:val="22"/>
                      <w:lang w:eastAsia="zh-CN"/>
                    </w:rPr>
                    <w:t>项目</w:t>
                  </w:r>
                  <w:r>
                    <w:rPr>
                      <w:rFonts w:hint="default" w:ascii="Times New Roman" w:hAnsi="Times New Roman" w:eastAsia="宋体" w:cs="Times New Roman"/>
                      <w:color w:val="auto"/>
                      <w:spacing w:val="-2"/>
                      <w:sz w:val="22"/>
                    </w:rPr>
                    <w:t>不</w:t>
                  </w:r>
                  <w:r>
                    <w:rPr>
                      <w:rFonts w:hint="eastAsia" w:ascii="Times New Roman" w:hAnsi="Times New Roman" w:eastAsia="宋体" w:cs="Times New Roman"/>
                      <w:color w:val="auto"/>
                      <w:spacing w:val="-2"/>
                      <w:sz w:val="22"/>
                      <w:lang w:eastAsia="zh-CN"/>
                    </w:rPr>
                    <w:t>涉及</w:t>
                  </w:r>
                  <w:r>
                    <w:rPr>
                      <w:rFonts w:hint="default" w:ascii="Times New Roman" w:hAnsi="Times New Roman" w:eastAsia="宋体" w:cs="Times New Roman"/>
                      <w:color w:val="auto"/>
                      <w:spacing w:val="-2"/>
                      <w:sz w:val="22"/>
                      <w:lang w:val="en-US" w:eastAsia="zh-CN"/>
                    </w:rPr>
                    <w:t>湖泊保护区、保留区</w:t>
                  </w:r>
                </w:p>
              </w:tc>
              <w:tc>
                <w:tcPr>
                  <w:tcW w:w="653" w:type="dxa"/>
                  <w:tcBorders>
                    <w:tl2br w:val="nil"/>
                    <w:tr2bl w:val="nil"/>
                  </w:tcBorders>
                  <w:noWrap w:val="0"/>
                  <w:vAlign w:val="center"/>
                </w:tcPr>
                <w:p w14:paraId="6B1EEFA7">
                  <w:pPr>
                    <w:spacing w:line="300" w:lineRule="exact"/>
                    <w:jc w:val="both"/>
                    <w:rPr>
                      <w:rFonts w:hint="eastAsia" w:ascii="Times New Roman" w:hAnsi="Times New Roman" w:eastAsia="宋体" w:cs="Times New Roman"/>
                      <w:color w:val="auto"/>
                      <w:spacing w:val="-2"/>
                      <w:sz w:val="22"/>
                      <w:lang w:eastAsia="zh-CN"/>
                    </w:rPr>
                  </w:pPr>
                  <w:r>
                    <w:rPr>
                      <w:rFonts w:hint="eastAsia" w:ascii="Times New Roman" w:hAnsi="Times New Roman" w:eastAsia="宋体" w:cs="Times New Roman"/>
                      <w:color w:val="auto"/>
                      <w:spacing w:val="-2"/>
                      <w:sz w:val="22"/>
                      <w:lang w:eastAsia="zh-CN"/>
                    </w:rPr>
                    <w:t>符合</w:t>
                  </w:r>
                </w:p>
              </w:tc>
            </w:tr>
            <w:tr w14:paraId="19F04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7212BD5D">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禁止在长江流域江河、湖泊新设、改设或者扩大排污口，经有管辖权的生态环境主管部门或者长江流域生态环境监督管理机构同意的除外。</w:t>
                  </w:r>
                </w:p>
              </w:tc>
              <w:tc>
                <w:tcPr>
                  <w:tcW w:w="2580" w:type="dxa"/>
                  <w:tcBorders>
                    <w:tl2br w:val="nil"/>
                    <w:tr2bl w:val="nil"/>
                  </w:tcBorders>
                  <w:noWrap w:val="0"/>
                  <w:vAlign w:val="center"/>
                </w:tcPr>
                <w:p w14:paraId="52D95C7C">
                  <w:pPr>
                    <w:adjustRightInd w:val="0"/>
                    <w:snapToGrid w:val="0"/>
                    <w:jc w:val="left"/>
                    <w:rPr>
                      <w:rFonts w:hint="default" w:ascii="Times New Roman" w:hAnsi="Times New Roman" w:eastAsia="宋体" w:cs="Times New Roman"/>
                      <w:color w:val="auto"/>
                      <w:spacing w:val="-2"/>
                      <w:sz w:val="22"/>
                    </w:rPr>
                  </w:pPr>
                  <w:r>
                    <w:rPr>
                      <w:rFonts w:hint="eastAsia" w:ascii="Times New Roman" w:hAnsi="Times New Roman" w:eastAsia="宋体" w:cs="Times New Roman"/>
                      <w:color w:val="auto"/>
                      <w:spacing w:val="-2"/>
                      <w:sz w:val="22"/>
                      <w:lang w:val="en-US" w:eastAsia="zh-CN"/>
                    </w:rPr>
                    <w:t>本</w:t>
                  </w:r>
                  <w:r>
                    <w:rPr>
                      <w:rFonts w:hint="eastAsia" w:ascii="Times New Roman" w:hAnsi="Times New Roman" w:eastAsia="宋体" w:cs="Times New Roman"/>
                      <w:color w:val="auto"/>
                      <w:spacing w:val="-2"/>
                      <w:sz w:val="22"/>
                      <w:lang w:eastAsia="zh-CN"/>
                    </w:rPr>
                    <w:t>项目</w:t>
                  </w:r>
                  <w:r>
                    <w:rPr>
                      <w:rFonts w:hint="eastAsia" w:ascii="Times New Roman" w:hAnsi="Times New Roman" w:eastAsia="宋体" w:cs="Times New Roman"/>
                      <w:color w:val="auto"/>
                      <w:spacing w:val="-2"/>
                      <w:sz w:val="22"/>
                      <w:lang w:val="en-US" w:eastAsia="zh-CN"/>
                    </w:rPr>
                    <w:t>不位于长江流域，</w:t>
                  </w:r>
                  <w:r>
                    <w:rPr>
                      <w:rFonts w:hint="default" w:ascii="Times New Roman" w:hAnsi="Times New Roman" w:eastAsia="宋体" w:cs="Times New Roman"/>
                      <w:color w:val="auto"/>
                      <w:spacing w:val="-2"/>
                      <w:sz w:val="22"/>
                    </w:rPr>
                    <w:t>不</w:t>
                  </w:r>
                  <w:r>
                    <w:rPr>
                      <w:rFonts w:hint="eastAsia" w:ascii="Times New Roman" w:hAnsi="Times New Roman" w:eastAsia="宋体" w:cs="Times New Roman"/>
                      <w:color w:val="auto"/>
                      <w:spacing w:val="-2"/>
                      <w:sz w:val="22"/>
                      <w:lang w:eastAsia="zh-CN"/>
                    </w:rPr>
                    <w:t>涉及</w:t>
                  </w:r>
                  <w:r>
                    <w:rPr>
                      <w:rFonts w:hint="eastAsia" w:ascii="Times New Roman" w:hAnsi="Times New Roman" w:eastAsia="宋体" w:cs="Times New Roman"/>
                      <w:color w:val="auto"/>
                      <w:spacing w:val="-2"/>
                      <w:sz w:val="22"/>
                      <w:lang w:val="en-US" w:eastAsia="zh-CN"/>
                    </w:rPr>
                    <w:t>长江流域范围</w:t>
                  </w:r>
                  <w:r>
                    <w:rPr>
                      <w:rFonts w:hint="eastAsia" w:ascii="Times New Roman" w:hAnsi="Times New Roman" w:eastAsia="宋体" w:cs="Times New Roman"/>
                      <w:color w:val="auto"/>
                      <w:spacing w:val="-2"/>
                      <w:sz w:val="22"/>
                      <w:lang w:eastAsia="zh-CN"/>
                    </w:rPr>
                    <w:t>新改扩建排污口</w:t>
                  </w:r>
                </w:p>
              </w:tc>
              <w:tc>
                <w:tcPr>
                  <w:tcW w:w="653" w:type="dxa"/>
                  <w:tcBorders>
                    <w:tl2br w:val="nil"/>
                    <w:tr2bl w:val="nil"/>
                  </w:tcBorders>
                  <w:noWrap w:val="0"/>
                  <w:vAlign w:val="center"/>
                </w:tcPr>
                <w:p w14:paraId="3C68734E">
                  <w:pPr>
                    <w:spacing w:line="300" w:lineRule="exact"/>
                    <w:jc w:val="both"/>
                    <w:rPr>
                      <w:rFonts w:hint="eastAsia" w:ascii="Times New Roman" w:hAnsi="Times New Roman" w:eastAsia="宋体" w:cs="Times New Roman"/>
                      <w:color w:val="auto"/>
                      <w:spacing w:val="-2"/>
                      <w:sz w:val="22"/>
                      <w:lang w:eastAsia="zh-CN"/>
                    </w:rPr>
                  </w:pPr>
                  <w:r>
                    <w:rPr>
                      <w:rFonts w:hint="eastAsia" w:ascii="Times New Roman" w:hAnsi="Times New Roman" w:eastAsia="宋体" w:cs="Times New Roman"/>
                      <w:color w:val="auto"/>
                      <w:spacing w:val="-2"/>
                      <w:sz w:val="22"/>
                      <w:lang w:eastAsia="zh-CN"/>
                    </w:rPr>
                    <w:t>符合</w:t>
                  </w:r>
                </w:p>
              </w:tc>
            </w:tr>
            <w:tr w14:paraId="72B73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6CFA8A90">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禁止在长江干流、大渡河、峨江、赤水河、沱江、嘉陵江、乌江、汉江和51个（四川省45个、重庆市6个）水生生物保护区开展生产性捕捞</w:t>
                  </w:r>
                </w:p>
              </w:tc>
              <w:tc>
                <w:tcPr>
                  <w:tcW w:w="2580" w:type="dxa"/>
                  <w:tcBorders>
                    <w:tl2br w:val="nil"/>
                    <w:tr2bl w:val="nil"/>
                  </w:tcBorders>
                  <w:noWrap w:val="0"/>
                  <w:vAlign w:val="center"/>
                </w:tcPr>
                <w:p w14:paraId="48DF0E88">
                  <w:pPr>
                    <w:spacing w:line="300" w:lineRule="exact"/>
                    <w:jc w:val="both"/>
                    <w:rPr>
                      <w:rFonts w:hint="default" w:ascii="Times New Roman" w:hAnsi="Times New Roman" w:eastAsia="宋体" w:cs="Times New Roman"/>
                      <w:color w:val="auto"/>
                      <w:spacing w:val="-2"/>
                      <w:sz w:val="22"/>
                    </w:rPr>
                  </w:pPr>
                  <w:r>
                    <w:rPr>
                      <w:rFonts w:hint="eastAsia" w:ascii="Times New Roman" w:hAnsi="Times New Roman" w:eastAsia="宋体" w:cs="Times New Roman"/>
                      <w:color w:val="auto"/>
                      <w:spacing w:val="-2"/>
                      <w:sz w:val="22"/>
                      <w:lang w:val="en-US" w:eastAsia="zh-CN"/>
                    </w:rPr>
                    <w:t>本</w:t>
                  </w:r>
                  <w:r>
                    <w:rPr>
                      <w:rFonts w:hint="eastAsia" w:ascii="Times New Roman" w:hAnsi="Times New Roman" w:eastAsia="宋体" w:cs="Times New Roman"/>
                      <w:color w:val="auto"/>
                      <w:spacing w:val="-2"/>
                      <w:sz w:val="22"/>
                      <w:lang w:eastAsia="zh-CN"/>
                    </w:rPr>
                    <w:t>项目</w:t>
                  </w:r>
                  <w:r>
                    <w:rPr>
                      <w:rFonts w:hint="default" w:ascii="Times New Roman" w:hAnsi="Times New Roman" w:eastAsia="宋体" w:cs="Times New Roman"/>
                      <w:color w:val="auto"/>
                      <w:spacing w:val="-2"/>
                      <w:sz w:val="22"/>
                    </w:rPr>
                    <w:t>不</w:t>
                  </w:r>
                  <w:r>
                    <w:rPr>
                      <w:rFonts w:hint="eastAsia" w:ascii="Times New Roman" w:hAnsi="Times New Roman" w:eastAsia="宋体" w:cs="Times New Roman"/>
                      <w:color w:val="auto"/>
                      <w:spacing w:val="-2"/>
                      <w:sz w:val="22"/>
                      <w:lang w:eastAsia="zh-CN"/>
                    </w:rPr>
                    <w:t>涉及</w:t>
                  </w:r>
                  <w:r>
                    <w:rPr>
                      <w:rFonts w:hint="default" w:ascii="Times New Roman" w:hAnsi="Times New Roman" w:eastAsia="宋体" w:cs="Times New Roman"/>
                      <w:color w:val="auto"/>
                      <w:spacing w:val="-2"/>
                      <w:sz w:val="22"/>
                      <w:lang w:val="en-US" w:eastAsia="zh-CN"/>
                    </w:rPr>
                    <w:t>生产性捕捞</w:t>
                  </w:r>
                </w:p>
              </w:tc>
              <w:tc>
                <w:tcPr>
                  <w:tcW w:w="653" w:type="dxa"/>
                  <w:tcBorders>
                    <w:tl2br w:val="nil"/>
                    <w:tr2bl w:val="nil"/>
                  </w:tcBorders>
                  <w:noWrap w:val="0"/>
                  <w:vAlign w:val="center"/>
                </w:tcPr>
                <w:p w14:paraId="1A83CFC2">
                  <w:pPr>
                    <w:spacing w:line="300" w:lineRule="exact"/>
                    <w:jc w:val="both"/>
                    <w:rPr>
                      <w:rFonts w:hint="eastAsia" w:ascii="Times New Roman" w:hAnsi="Times New Roman" w:eastAsia="宋体" w:cs="Times New Roman"/>
                      <w:color w:val="auto"/>
                      <w:spacing w:val="-2"/>
                      <w:sz w:val="22"/>
                      <w:lang w:eastAsia="zh-CN"/>
                    </w:rPr>
                  </w:pPr>
                  <w:r>
                    <w:rPr>
                      <w:rFonts w:hint="eastAsia" w:ascii="Times New Roman" w:hAnsi="Times New Roman" w:eastAsia="宋体" w:cs="Times New Roman"/>
                      <w:color w:val="auto"/>
                      <w:spacing w:val="-2"/>
                      <w:sz w:val="22"/>
                      <w:lang w:eastAsia="zh-CN"/>
                    </w:rPr>
                    <w:t>符合</w:t>
                  </w:r>
                </w:p>
              </w:tc>
            </w:tr>
            <w:tr w14:paraId="426961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79E96FD2">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禁止在长江干支流、重要湖泊岸线一公里范围内新建、扩建化工园区和化工项目</w:t>
                  </w:r>
                </w:p>
              </w:tc>
              <w:tc>
                <w:tcPr>
                  <w:tcW w:w="2580" w:type="dxa"/>
                  <w:tcBorders>
                    <w:tl2br w:val="nil"/>
                    <w:tr2bl w:val="nil"/>
                  </w:tcBorders>
                  <w:noWrap w:val="0"/>
                  <w:vAlign w:val="center"/>
                </w:tcPr>
                <w:p w14:paraId="2BE54713">
                  <w:pPr>
                    <w:spacing w:line="300" w:lineRule="exact"/>
                    <w:jc w:val="both"/>
                    <w:rPr>
                      <w:rFonts w:hint="default" w:ascii="Times New Roman" w:hAnsi="Times New Roman" w:eastAsia="宋体" w:cs="Times New Roman"/>
                      <w:color w:val="auto"/>
                      <w:spacing w:val="-2"/>
                      <w:sz w:val="22"/>
                    </w:rPr>
                  </w:pPr>
                  <w:r>
                    <w:rPr>
                      <w:rFonts w:hint="eastAsia" w:ascii="Times New Roman" w:hAnsi="Times New Roman" w:eastAsia="宋体" w:cs="Times New Roman"/>
                      <w:color w:val="auto"/>
                      <w:spacing w:val="-2"/>
                      <w:sz w:val="22"/>
                      <w:lang w:val="en-US" w:eastAsia="zh-CN"/>
                    </w:rPr>
                    <w:t>本</w:t>
                  </w:r>
                  <w:r>
                    <w:rPr>
                      <w:rFonts w:hint="eastAsia" w:ascii="Times New Roman" w:hAnsi="Times New Roman" w:eastAsia="宋体" w:cs="Times New Roman"/>
                      <w:color w:val="auto"/>
                      <w:spacing w:val="-2"/>
                      <w:sz w:val="22"/>
                      <w:lang w:eastAsia="zh-CN"/>
                    </w:rPr>
                    <w:t>项目</w:t>
                  </w:r>
                  <w:r>
                    <w:rPr>
                      <w:rFonts w:hint="default" w:ascii="Times New Roman" w:hAnsi="Times New Roman" w:eastAsia="宋体" w:cs="Times New Roman"/>
                      <w:color w:val="auto"/>
                      <w:spacing w:val="-2"/>
                      <w:sz w:val="22"/>
                    </w:rPr>
                    <w:t>不</w:t>
                  </w:r>
                  <w:r>
                    <w:rPr>
                      <w:rFonts w:hint="eastAsia" w:ascii="Times New Roman" w:hAnsi="Times New Roman" w:eastAsia="宋体" w:cs="Times New Roman"/>
                      <w:color w:val="auto"/>
                      <w:spacing w:val="-2"/>
                      <w:sz w:val="22"/>
                      <w:lang w:eastAsia="zh-CN"/>
                    </w:rPr>
                    <w:t>属于</w:t>
                  </w:r>
                  <w:r>
                    <w:rPr>
                      <w:rFonts w:hint="default" w:ascii="Times New Roman" w:hAnsi="Times New Roman" w:eastAsia="宋体" w:cs="Times New Roman"/>
                      <w:color w:val="auto"/>
                      <w:spacing w:val="-2"/>
                      <w:sz w:val="22"/>
                      <w:lang w:val="en-US" w:eastAsia="zh-CN"/>
                    </w:rPr>
                    <w:t>新建、扩建化工园区和化工项目</w:t>
                  </w:r>
                </w:p>
              </w:tc>
              <w:tc>
                <w:tcPr>
                  <w:tcW w:w="653" w:type="dxa"/>
                  <w:tcBorders>
                    <w:tl2br w:val="nil"/>
                    <w:tr2bl w:val="nil"/>
                  </w:tcBorders>
                  <w:noWrap w:val="0"/>
                  <w:vAlign w:val="center"/>
                </w:tcPr>
                <w:p w14:paraId="6D9E5415">
                  <w:pPr>
                    <w:spacing w:line="300" w:lineRule="exact"/>
                    <w:jc w:val="both"/>
                    <w:rPr>
                      <w:rFonts w:hint="eastAsia" w:ascii="Times New Roman" w:hAnsi="Times New Roman" w:eastAsia="宋体" w:cs="Times New Roman"/>
                      <w:color w:val="auto"/>
                      <w:spacing w:val="-2"/>
                      <w:sz w:val="22"/>
                      <w:lang w:eastAsia="zh-CN"/>
                    </w:rPr>
                  </w:pPr>
                  <w:r>
                    <w:rPr>
                      <w:rFonts w:hint="eastAsia" w:ascii="Times New Roman" w:hAnsi="Times New Roman" w:eastAsia="宋体" w:cs="Times New Roman"/>
                      <w:color w:val="auto"/>
                      <w:spacing w:val="-2"/>
                      <w:sz w:val="22"/>
                      <w:lang w:eastAsia="zh-CN"/>
                    </w:rPr>
                    <w:t>符合</w:t>
                  </w:r>
                </w:p>
              </w:tc>
            </w:tr>
            <w:tr w14:paraId="12807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317F21F2">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禁止在长江干流岸线三公里范围内和重要支流岸线一公里范围内新建、改建、扩建尾矿库、冶炼渣库、磷石膏库，以提升安全、生态环境保护水平为目的的改建除外</w:t>
                  </w:r>
                </w:p>
              </w:tc>
              <w:tc>
                <w:tcPr>
                  <w:tcW w:w="2580" w:type="dxa"/>
                  <w:tcBorders>
                    <w:tl2br w:val="nil"/>
                    <w:tr2bl w:val="nil"/>
                  </w:tcBorders>
                  <w:noWrap w:val="0"/>
                  <w:vAlign w:val="center"/>
                </w:tcPr>
                <w:p w14:paraId="1A94E546">
                  <w:pPr>
                    <w:spacing w:line="300" w:lineRule="exact"/>
                    <w:jc w:val="both"/>
                    <w:rPr>
                      <w:rFonts w:hint="default" w:ascii="Times New Roman" w:hAnsi="Times New Roman" w:eastAsia="宋体" w:cs="Times New Roman"/>
                      <w:color w:val="auto"/>
                      <w:spacing w:val="-2"/>
                      <w:sz w:val="22"/>
                    </w:rPr>
                  </w:pPr>
                  <w:r>
                    <w:rPr>
                      <w:rFonts w:hint="eastAsia" w:ascii="Times New Roman" w:hAnsi="Times New Roman" w:eastAsia="宋体" w:cs="Times New Roman"/>
                      <w:color w:val="auto"/>
                      <w:spacing w:val="-2"/>
                      <w:sz w:val="22"/>
                      <w:lang w:val="en-US" w:eastAsia="zh-CN"/>
                    </w:rPr>
                    <w:t>本</w:t>
                  </w:r>
                  <w:r>
                    <w:rPr>
                      <w:rFonts w:hint="eastAsia" w:ascii="Times New Roman" w:hAnsi="Times New Roman" w:eastAsia="宋体" w:cs="Times New Roman"/>
                      <w:color w:val="auto"/>
                      <w:spacing w:val="-2"/>
                      <w:sz w:val="22"/>
                      <w:lang w:eastAsia="zh-CN"/>
                    </w:rPr>
                    <w:t>项目</w:t>
                  </w:r>
                  <w:r>
                    <w:rPr>
                      <w:rFonts w:hint="default" w:ascii="Times New Roman" w:hAnsi="Times New Roman" w:eastAsia="宋体" w:cs="Times New Roman"/>
                      <w:color w:val="auto"/>
                      <w:spacing w:val="-2"/>
                      <w:sz w:val="22"/>
                    </w:rPr>
                    <w:t>不</w:t>
                  </w:r>
                  <w:r>
                    <w:rPr>
                      <w:rFonts w:hint="eastAsia" w:ascii="Times New Roman" w:hAnsi="Times New Roman" w:eastAsia="宋体" w:cs="Times New Roman"/>
                      <w:color w:val="auto"/>
                      <w:spacing w:val="-2"/>
                      <w:sz w:val="22"/>
                      <w:lang w:eastAsia="zh-CN"/>
                    </w:rPr>
                    <w:t>属于</w:t>
                  </w:r>
                  <w:r>
                    <w:rPr>
                      <w:rFonts w:hint="default" w:ascii="Times New Roman" w:hAnsi="Times New Roman" w:eastAsia="宋体" w:cs="Times New Roman"/>
                      <w:color w:val="auto"/>
                      <w:spacing w:val="-2"/>
                      <w:sz w:val="22"/>
                      <w:lang w:val="en-US" w:eastAsia="zh-CN"/>
                    </w:rPr>
                    <w:t>新建、改建、扩建尾矿库、冶炼渣库、磷石膏库</w:t>
                  </w:r>
                </w:p>
              </w:tc>
              <w:tc>
                <w:tcPr>
                  <w:tcW w:w="653" w:type="dxa"/>
                  <w:tcBorders>
                    <w:tl2br w:val="nil"/>
                    <w:tr2bl w:val="nil"/>
                  </w:tcBorders>
                  <w:noWrap w:val="0"/>
                  <w:vAlign w:val="center"/>
                </w:tcPr>
                <w:p w14:paraId="5BBA845B">
                  <w:pPr>
                    <w:spacing w:line="300" w:lineRule="exact"/>
                    <w:jc w:val="both"/>
                    <w:rPr>
                      <w:rFonts w:hint="eastAsia" w:ascii="Times New Roman" w:hAnsi="Times New Roman" w:eastAsia="宋体" w:cs="Times New Roman"/>
                      <w:color w:val="auto"/>
                      <w:spacing w:val="-2"/>
                      <w:sz w:val="22"/>
                      <w:lang w:eastAsia="zh-CN"/>
                    </w:rPr>
                  </w:pPr>
                  <w:r>
                    <w:rPr>
                      <w:rFonts w:hint="eastAsia" w:ascii="Times New Roman" w:hAnsi="Times New Roman" w:eastAsia="宋体" w:cs="Times New Roman"/>
                      <w:color w:val="auto"/>
                      <w:spacing w:val="-2"/>
                      <w:sz w:val="22"/>
                      <w:lang w:eastAsia="zh-CN"/>
                    </w:rPr>
                    <w:t>符合</w:t>
                  </w:r>
                </w:p>
              </w:tc>
            </w:tr>
            <w:tr w14:paraId="13F14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3210C29B">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禁止在生态保护</w:t>
                  </w:r>
                  <w:r>
                    <w:rPr>
                      <w:rFonts w:hint="eastAsia" w:ascii="Times New Roman" w:hAnsi="Times New Roman" w:eastAsia="宋体" w:cs="Times New Roman"/>
                      <w:color w:val="auto"/>
                      <w:spacing w:val="-2"/>
                      <w:sz w:val="22"/>
                      <w:lang w:val="en-US" w:eastAsia="zh-CN"/>
                    </w:rPr>
                    <w:t>红</w:t>
                  </w:r>
                  <w:r>
                    <w:rPr>
                      <w:rFonts w:hint="default" w:ascii="Times New Roman" w:hAnsi="Times New Roman" w:eastAsia="宋体" w:cs="Times New Roman"/>
                      <w:color w:val="auto"/>
                      <w:spacing w:val="-2"/>
                      <w:sz w:val="22"/>
                      <w:lang w:val="en-US" w:eastAsia="zh-CN"/>
                    </w:rPr>
                    <w:t>线区域、永久基本农田集中区域和其他需要特别保护的区域内选址建设尾矿库、冶炼渣库、磷石膏库</w:t>
                  </w:r>
                </w:p>
              </w:tc>
              <w:tc>
                <w:tcPr>
                  <w:tcW w:w="2580" w:type="dxa"/>
                  <w:tcBorders>
                    <w:tl2br w:val="nil"/>
                    <w:tr2bl w:val="nil"/>
                  </w:tcBorders>
                  <w:noWrap w:val="0"/>
                  <w:vAlign w:val="center"/>
                </w:tcPr>
                <w:p w14:paraId="2C1D2578">
                  <w:pPr>
                    <w:spacing w:line="300" w:lineRule="exact"/>
                    <w:jc w:val="both"/>
                    <w:rPr>
                      <w:rFonts w:hint="default" w:ascii="Times New Roman" w:hAnsi="Times New Roman" w:eastAsia="宋体" w:cs="Times New Roman"/>
                      <w:color w:val="auto"/>
                      <w:spacing w:val="-2"/>
                      <w:sz w:val="22"/>
                    </w:rPr>
                  </w:pPr>
                  <w:r>
                    <w:rPr>
                      <w:rFonts w:hint="eastAsia" w:ascii="Times New Roman" w:hAnsi="Times New Roman" w:eastAsia="宋体" w:cs="Times New Roman"/>
                      <w:color w:val="auto"/>
                      <w:spacing w:val="-2"/>
                      <w:sz w:val="22"/>
                      <w:lang w:val="en-US" w:eastAsia="zh-CN"/>
                    </w:rPr>
                    <w:t>本</w:t>
                  </w:r>
                  <w:r>
                    <w:rPr>
                      <w:rFonts w:hint="eastAsia" w:ascii="Times New Roman" w:hAnsi="Times New Roman" w:eastAsia="宋体" w:cs="Times New Roman"/>
                      <w:color w:val="auto"/>
                      <w:spacing w:val="-2"/>
                      <w:sz w:val="22"/>
                      <w:lang w:eastAsia="zh-CN"/>
                    </w:rPr>
                    <w:t>项目</w:t>
                  </w:r>
                  <w:r>
                    <w:rPr>
                      <w:rFonts w:hint="default" w:ascii="Times New Roman" w:hAnsi="Times New Roman" w:eastAsia="宋体" w:cs="Times New Roman"/>
                      <w:color w:val="auto"/>
                      <w:spacing w:val="-2"/>
                      <w:sz w:val="22"/>
                    </w:rPr>
                    <w:t>不</w:t>
                  </w:r>
                  <w:r>
                    <w:rPr>
                      <w:rFonts w:hint="eastAsia" w:ascii="Times New Roman" w:hAnsi="Times New Roman" w:eastAsia="宋体" w:cs="Times New Roman"/>
                      <w:color w:val="auto"/>
                      <w:spacing w:val="-2"/>
                      <w:sz w:val="22"/>
                      <w:lang w:eastAsia="zh-CN"/>
                    </w:rPr>
                    <w:t>涉及</w:t>
                  </w:r>
                  <w:r>
                    <w:rPr>
                      <w:rFonts w:hint="default" w:ascii="Times New Roman" w:hAnsi="Times New Roman" w:eastAsia="宋体" w:cs="Times New Roman"/>
                      <w:color w:val="auto"/>
                      <w:spacing w:val="-2"/>
                      <w:sz w:val="22"/>
                      <w:lang w:val="en-US" w:eastAsia="zh-CN"/>
                    </w:rPr>
                    <w:t>生态保护</w:t>
                  </w:r>
                  <w:r>
                    <w:rPr>
                      <w:rFonts w:hint="eastAsia" w:ascii="Times New Roman" w:hAnsi="Times New Roman" w:eastAsia="宋体" w:cs="Times New Roman"/>
                      <w:color w:val="auto"/>
                      <w:spacing w:val="-2"/>
                      <w:sz w:val="22"/>
                      <w:lang w:val="en-US" w:eastAsia="zh-CN"/>
                    </w:rPr>
                    <w:t>红</w:t>
                  </w:r>
                  <w:r>
                    <w:rPr>
                      <w:rFonts w:hint="default" w:ascii="Times New Roman" w:hAnsi="Times New Roman" w:eastAsia="宋体" w:cs="Times New Roman"/>
                      <w:color w:val="auto"/>
                      <w:spacing w:val="-2"/>
                      <w:sz w:val="22"/>
                      <w:lang w:val="en-US" w:eastAsia="zh-CN"/>
                    </w:rPr>
                    <w:t>线区域、永久基本农田集中区域和其他需要特别保护的区域</w:t>
                  </w:r>
                  <w:r>
                    <w:rPr>
                      <w:rFonts w:hint="eastAsia" w:ascii="Times New Roman" w:hAnsi="Times New Roman" w:eastAsia="宋体" w:cs="Times New Roman"/>
                      <w:color w:val="auto"/>
                      <w:spacing w:val="-2"/>
                      <w:sz w:val="22"/>
                      <w:lang w:eastAsia="zh-CN"/>
                    </w:rPr>
                    <w:t>。</w:t>
                  </w:r>
                  <w:r>
                    <w:rPr>
                      <w:rFonts w:hint="eastAsia" w:ascii="Times New Roman" w:hAnsi="Times New Roman" w:eastAsia="宋体" w:cs="Times New Roman"/>
                      <w:color w:val="auto"/>
                      <w:spacing w:val="-2"/>
                      <w:sz w:val="22"/>
                      <w:lang w:val="en-US" w:eastAsia="zh-CN"/>
                    </w:rPr>
                    <w:t>同时</w:t>
                  </w:r>
                  <w:r>
                    <w:rPr>
                      <w:rFonts w:hint="eastAsia" w:ascii="Times New Roman" w:hAnsi="Times New Roman" w:eastAsia="宋体" w:cs="Times New Roman"/>
                      <w:color w:val="auto"/>
                      <w:spacing w:val="-2"/>
                      <w:sz w:val="22"/>
                      <w:lang w:eastAsia="zh-CN"/>
                    </w:rPr>
                    <w:t>不属于</w:t>
                  </w:r>
                  <w:r>
                    <w:rPr>
                      <w:rFonts w:hint="default" w:ascii="Times New Roman" w:hAnsi="Times New Roman" w:eastAsia="宋体" w:cs="Times New Roman"/>
                      <w:color w:val="auto"/>
                      <w:spacing w:val="-2"/>
                      <w:sz w:val="22"/>
                      <w:lang w:val="en-US" w:eastAsia="zh-CN"/>
                    </w:rPr>
                    <w:t>尾矿库、冶炼渣库、磷石膏库</w:t>
                  </w:r>
                  <w:r>
                    <w:rPr>
                      <w:rFonts w:hint="eastAsia" w:ascii="Times New Roman" w:hAnsi="Times New Roman" w:eastAsia="宋体" w:cs="Times New Roman"/>
                      <w:color w:val="auto"/>
                      <w:spacing w:val="-2"/>
                      <w:sz w:val="22"/>
                      <w:lang w:val="en-US" w:eastAsia="zh-CN"/>
                    </w:rPr>
                    <w:t>等建设</w:t>
                  </w:r>
                </w:p>
              </w:tc>
              <w:tc>
                <w:tcPr>
                  <w:tcW w:w="653" w:type="dxa"/>
                  <w:tcBorders>
                    <w:tl2br w:val="nil"/>
                    <w:tr2bl w:val="nil"/>
                  </w:tcBorders>
                  <w:noWrap w:val="0"/>
                  <w:vAlign w:val="center"/>
                </w:tcPr>
                <w:p w14:paraId="5AC7C9EA">
                  <w:pPr>
                    <w:spacing w:line="300" w:lineRule="exact"/>
                    <w:jc w:val="both"/>
                    <w:rPr>
                      <w:rFonts w:hint="eastAsia" w:ascii="Times New Roman" w:hAnsi="Times New Roman" w:eastAsia="宋体" w:cs="Times New Roman"/>
                      <w:color w:val="auto"/>
                      <w:spacing w:val="-2"/>
                      <w:sz w:val="22"/>
                      <w:lang w:eastAsia="zh-CN"/>
                    </w:rPr>
                  </w:pPr>
                  <w:r>
                    <w:rPr>
                      <w:rFonts w:hint="eastAsia" w:ascii="Times New Roman" w:hAnsi="Times New Roman" w:eastAsia="宋体" w:cs="Times New Roman"/>
                      <w:color w:val="auto"/>
                      <w:spacing w:val="-2"/>
                      <w:sz w:val="22"/>
                      <w:lang w:eastAsia="zh-CN"/>
                    </w:rPr>
                    <w:t>符合</w:t>
                  </w:r>
                </w:p>
              </w:tc>
            </w:tr>
            <w:tr w14:paraId="61989C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5B34E751">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禁止在合规园区外新建、扩建钢铁、石化、化工、焦化、建材、有色、制浆造纸等高污染项目。</w:t>
                  </w:r>
                </w:p>
              </w:tc>
              <w:tc>
                <w:tcPr>
                  <w:tcW w:w="2580" w:type="dxa"/>
                  <w:tcBorders>
                    <w:tl2br w:val="nil"/>
                    <w:tr2bl w:val="nil"/>
                  </w:tcBorders>
                  <w:noWrap w:val="0"/>
                  <w:vAlign w:val="center"/>
                </w:tcPr>
                <w:p w14:paraId="05B05EC7">
                  <w:pPr>
                    <w:spacing w:line="300" w:lineRule="exact"/>
                    <w:jc w:val="both"/>
                    <w:rPr>
                      <w:rFonts w:hint="default" w:ascii="Times New Roman" w:hAnsi="Times New Roman" w:eastAsia="宋体" w:cs="Times New Roman"/>
                      <w:color w:val="auto"/>
                      <w:spacing w:val="-2"/>
                      <w:sz w:val="22"/>
                      <w:lang w:val="en-US"/>
                    </w:rPr>
                  </w:pPr>
                  <w:r>
                    <w:rPr>
                      <w:rFonts w:hint="eastAsia" w:ascii="Times New Roman" w:hAnsi="Times New Roman" w:cs="Times New Roman"/>
                      <w:color w:val="auto"/>
                      <w:spacing w:val="-2"/>
                      <w:sz w:val="22"/>
                      <w:lang w:val="en-US" w:eastAsia="zh-CN"/>
                    </w:rPr>
                    <w:t>本项目属于有色金属合金制造及铸造，位于西彭工业园区，属于合规园区</w:t>
                  </w:r>
                </w:p>
              </w:tc>
              <w:tc>
                <w:tcPr>
                  <w:tcW w:w="653" w:type="dxa"/>
                  <w:tcBorders>
                    <w:tl2br w:val="nil"/>
                    <w:tr2bl w:val="nil"/>
                  </w:tcBorders>
                  <w:noWrap w:val="0"/>
                  <w:vAlign w:val="center"/>
                </w:tcPr>
                <w:p w14:paraId="588E7D41">
                  <w:pPr>
                    <w:spacing w:line="300" w:lineRule="exact"/>
                    <w:jc w:val="both"/>
                    <w:rPr>
                      <w:rFonts w:hint="eastAsia" w:ascii="Times New Roman" w:hAnsi="Times New Roman" w:eastAsia="宋体" w:cs="Times New Roman"/>
                      <w:color w:val="auto"/>
                      <w:spacing w:val="-2"/>
                      <w:sz w:val="22"/>
                      <w:lang w:eastAsia="zh-CN"/>
                    </w:rPr>
                  </w:pPr>
                  <w:r>
                    <w:rPr>
                      <w:rFonts w:hint="eastAsia" w:ascii="Times New Roman" w:hAnsi="Times New Roman" w:eastAsia="宋体" w:cs="Times New Roman"/>
                      <w:color w:val="auto"/>
                      <w:spacing w:val="-2"/>
                      <w:sz w:val="22"/>
                      <w:lang w:eastAsia="zh-CN"/>
                    </w:rPr>
                    <w:t>符合</w:t>
                  </w:r>
                </w:p>
              </w:tc>
            </w:tr>
            <w:tr w14:paraId="00EDE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5863453C">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禁止新建、扩建不符合国家石化、现代煤化工等产业布局规划的项目。</w:t>
                  </w:r>
                </w:p>
                <w:p w14:paraId="2732E7CE">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（一）严格控制新增炼油产能，未列入《石化产业规划布局方案（修订版）》的新增炼油产能一律不得建设。</w:t>
                  </w:r>
                </w:p>
                <w:p w14:paraId="2B99C045">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（二）新建煤制烯烃、煤制芳烃项目必须列入《现代煤化工产业创新发展布局方案》，必须符合《现代煤化工建设项目环境准入条件（试行）》要求</w:t>
                  </w:r>
                </w:p>
              </w:tc>
              <w:tc>
                <w:tcPr>
                  <w:tcW w:w="2580" w:type="dxa"/>
                  <w:tcBorders>
                    <w:tl2br w:val="nil"/>
                    <w:tr2bl w:val="nil"/>
                  </w:tcBorders>
                  <w:noWrap w:val="0"/>
                  <w:vAlign w:val="center"/>
                </w:tcPr>
                <w:p w14:paraId="26121019">
                  <w:pPr>
                    <w:spacing w:line="300" w:lineRule="exact"/>
                    <w:jc w:val="both"/>
                    <w:rPr>
                      <w:rFonts w:hint="eastAsia" w:ascii="Times New Roman" w:hAnsi="Times New Roman" w:eastAsia="宋体" w:cs="Times New Roman"/>
                      <w:color w:val="auto"/>
                      <w:spacing w:val="-2"/>
                      <w:sz w:val="22"/>
                      <w:lang w:eastAsia="zh-CN"/>
                    </w:rPr>
                  </w:pPr>
                  <w:r>
                    <w:rPr>
                      <w:rFonts w:hint="eastAsia" w:ascii="Times New Roman" w:hAnsi="Times New Roman" w:eastAsia="宋体" w:cs="Times New Roman"/>
                      <w:color w:val="auto"/>
                      <w:spacing w:val="-2"/>
                      <w:sz w:val="22"/>
                      <w:lang w:val="en-US" w:eastAsia="zh-CN"/>
                    </w:rPr>
                    <w:t>本项目</w:t>
                  </w:r>
                  <w:r>
                    <w:rPr>
                      <w:rFonts w:hint="eastAsia" w:ascii="Times New Roman" w:hAnsi="Times New Roman" w:eastAsia="宋体" w:cs="Times New Roman"/>
                      <w:color w:val="auto"/>
                      <w:spacing w:val="-2"/>
                      <w:sz w:val="22"/>
                      <w:lang w:eastAsia="zh-CN"/>
                    </w:rPr>
                    <w:t>不</w:t>
                  </w:r>
                  <w:r>
                    <w:rPr>
                      <w:rFonts w:hint="eastAsia" w:ascii="Times New Roman" w:hAnsi="Times New Roman" w:eastAsia="宋体" w:cs="Times New Roman"/>
                      <w:color w:val="auto"/>
                      <w:spacing w:val="-2"/>
                      <w:sz w:val="22"/>
                      <w:lang w:val="en-US" w:eastAsia="zh-CN"/>
                    </w:rPr>
                    <w:t>属于</w:t>
                  </w:r>
                  <w:r>
                    <w:rPr>
                      <w:rFonts w:hint="default" w:ascii="Times New Roman" w:hAnsi="Times New Roman" w:eastAsia="宋体" w:cs="Times New Roman"/>
                      <w:color w:val="auto"/>
                      <w:spacing w:val="-2"/>
                      <w:sz w:val="22"/>
                      <w:lang w:val="en-US" w:eastAsia="zh-CN"/>
                    </w:rPr>
                    <w:t>石化、现代煤化工</w:t>
                  </w:r>
                </w:p>
              </w:tc>
              <w:tc>
                <w:tcPr>
                  <w:tcW w:w="653" w:type="dxa"/>
                  <w:tcBorders>
                    <w:tl2br w:val="nil"/>
                    <w:tr2bl w:val="nil"/>
                  </w:tcBorders>
                  <w:noWrap w:val="0"/>
                  <w:vAlign w:val="center"/>
                </w:tcPr>
                <w:p w14:paraId="519137D9">
                  <w:pPr>
                    <w:spacing w:line="300" w:lineRule="exact"/>
                    <w:jc w:val="both"/>
                    <w:rPr>
                      <w:rFonts w:hint="eastAsia" w:ascii="Times New Roman" w:hAnsi="Times New Roman" w:eastAsia="宋体" w:cs="Times New Roman"/>
                      <w:color w:val="auto"/>
                      <w:spacing w:val="-2"/>
                      <w:sz w:val="22"/>
                      <w:lang w:eastAsia="zh-CN"/>
                    </w:rPr>
                  </w:pPr>
                  <w:r>
                    <w:rPr>
                      <w:rFonts w:hint="eastAsia" w:ascii="Times New Roman" w:hAnsi="Times New Roman" w:eastAsia="宋体" w:cs="Times New Roman"/>
                      <w:color w:val="auto"/>
                      <w:spacing w:val="-2"/>
                      <w:sz w:val="22"/>
                      <w:lang w:eastAsia="zh-CN"/>
                    </w:rPr>
                    <w:t>符合</w:t>
                  </w:r>
                </w:p>
              </w:tc>
            </w:tr>
            <w:tr w14:paraId="5E0475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308E8AF7">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 xml:space="preserve">禁止新建、扩建法律法规和相关政策明令禁止的落后产能项目。对《产业结构调整指导目录》中淘汰类项目，禁止投资；限制类的新建项目，禁止投资，对属于限制类的现有 </w:t>
                  </w:r>
                </w:p>
                <w:p w14:paraId="6A71C321">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生产能力，允许企业在一定期限内采取措施改造升级。</w:t>
                  </w:r>
                </w:p>
              </w:tc>
              <w:tc>
                <w:tcPr>
                  <w:tcW w:w="2580" w:type="dxa"/>
                  <w:tcBorders>
                    <w:tl2br w:val="nil"/>
                    <w:tr2bl w:val="nil"/>
                  </w:tcBorders>
                  <w:noWrap w:val="0"/>
                  <w:vAlign w:val="center"/>
                </w:tcPr>
                <w:p w14:paraId="5D717096">
                  <w:pPr>
                    <w:spacing w:line="300" w:lineRule="exact"/>
                    <w:jc w:val="both"/>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本</w:t>
                  </w:r>
                  <w:r>
                    <w:rPr>
                      <w:rFonts w:hint="default" w:ascii="Times New Roman" w:hAnsi="Times New Roman" w:eastAsia="宋体" w:cs="Times New Roman"/>
                      <w:color w:val="auto"/>
                      <w:kern w:val="0"/>
                      <w:sz w:val="22"/>
                      <w:szCs w:val="22"/>
                      <w:vertAlign w:val="baseline"/>
                      <w:lang w:val="en-US" w:eastAsia="zh-CN"/>
                    </w:rPr>
                    <w:t>项目</w:t>
                  </w:r>
                  <w:r>
                    <w:rPr>
                      <w:rFonts w:hint="eastAsia" w:ascii="Times New Roman" w:hAnsi="Times New Roman" w:eastAsia="宋体" w:cs="Times New Roman"/>
                      <w:color w:val="auto"/>
                      <w:kern w:val="0"/>
                      <w:sz w:val="22"/>
                      <w:szCs w:val="22"/>
                      <w:vertAlign w:val="baseline"/>
                      <w:lang w:val="en-US" w:eastAsia="zh-CN"/>
                    </w:rPr>
                    <w:t>属于《产业结构调整指导目录（2024年版）》中允许类</w:t>
                  </w:r>
                </w:p>
              </w:tc>
              <w:tc>
                <w:tcPr>
                  <w:tcW w:w="653" w:type="dxa"/>
                  <w:tcBorders>
                    <w:tl2br w:val="nil"/>
                    <w:tr2bl w:val="nil"/>
                  </w:tcBorders>
                  <w:noWrap w:val="0"/>
                  <w:vAlign w:val="center"/>
                </w:tcPr>
                <w:p w14:paraId="3CFB2494">
                  <w:pPr>
                    <w:spacing w:line="300" w:lineRule="exact"/>
                    <w:jc w:val="both"/>
                    <w:rPr>
                      <w:rFonts w:hint="eastAsia" w:ascii="Times New Roman" w:hAnsi="Times New Roman" w:eastAsia="宋体" w:cs="Times New Roman"/>
                      <w:color w:val="auto"/>
                      <w:spacing w:val="-2"/>
                      <w:sz w:val="22"/>
                      <w:lang w:eastAsia="zh-CN"/>
                    </w:rPr>
                  </w:pPr>
                  <w:r>
                    <w:rPr>
                      <w:rFonts w:hint="eastAsia" w:ascii="Times New Roman" w:hAnsi="Times New Roman" w:eastAsia="宋体" w:cs="Times New Roman"/>
                      <w:color w:val="auto"/>
                      <w:spacing w:val="-2"/>
                      <w:sz w:val="22"/>
                      <w:lang w:eastAsia="zh-CN"/>
                    </w:rPr>
                    <w:t>符合</w:t>
                  </w:r>
                </w:p>
              </w:tc>
            </w:tr>
            <w:tr w14:paraId="6794AC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2E09E586">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禁止新建、扩建不符合国家产能置换要求的严重过剩产能行业的项目。对于不符合国家产能置换要求的严重过剩产能行业，不得以其他任何名义，任何方式备案新增产能项目。</w:t>
                  </w:r>
                </w:p>
              </w:tc>
              <w:tc>
                <w:tcPr>
                  <w:tcW w:w="2580" w:type="dxa"/>
                  <w:tcBorders>
                    <w:tl2br w:val="nil"/>
                    <w:tr2bl w:val="nil"/>
                  </w:tcBorders>
                  <w:noWrap w:val="0"/>
                  <w:vAlign w:val="center"/>
                </w:tcPr>
                <w:p w14:paraId="2D11FE49">
                  <w:pPr>
                    <w:spacing w:line="300" w:lineRule="exact"/>
                    <w:jc w:val="both"/>
                    <w:rPr>
                      <w:rFonts w:hint="eastAsia"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本项目不涉及产能置换和过剩产能</w:t>
                  </w:r>
                </w:p>
              </w:tc>
              <w:tc>
                <w:tcPr>
                  <w:tcW w:w="653" w:type="dxa"/>
                  <w:tcBorders>
                    <w:tl2br w:val="nil"/>
                    <w:tr2bl w:val="nil"/>
                  </w:tcBorders>
                  <w:noWrap w:val="0"/>
                  <w:vAlign w:val="center"/>
                </w:tcPr>
                <w:p w14:paraId="60F670A6">
                  <w:pPr>
                    <w:spacing w:line="300" w:lineRule="exact"/>
                    <w:jc w:val="both"/>
                    <w:rPr>
                      <w:rFonts w:hint="default" w:ascii="Times New Roman" w:hAnsi="Times New Roman" w:eastAsia="宋体" w:cs="Times New Roman"/>
                      <w:color w:val="auto"/>
                      <w:spacing w:val="-2"/>
                      <w:sz w:val="22"/>
                    </w:rPr>
                  </w:pPr>
                  <w:r>
                    <w:rPr>
                      <w:rFonts w:hint="eastAsia" w:ascii="Times New Roman" w:hAnsi="Times New Roman" w:eastAsia="宋体" w:cs="Times New Roman"/>
                      <w:color w:val="auto"/>
                      <w:spacing w:val="-2"/>
                      <w:sz w:val="22"/>
                      <w:lang w:eastAsia="zh-CN"/>
                    </w:rPr>
                    <w:t>符合</w:t>
                  </w:r>
                </w:p>
              </w:tc>
            </w:tr>
            <w:tr w14:paraId="60B279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75F3E175">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禁止建设以下燃油汽车投资项目（不在中国境内销售产品的投资项目除外）：</w:t>
                  </w:r>
                </w:p>
                <w:p w14:paraId="29B420E4">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（一）新建独立燃油汽车企业；</w:t>
                  </w:r>
                </w:p>
                <w:p w14:paraId="7AC06F38">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（二）现有汽车企业跨乘用车、商用车类别建设燃油汽车生产能力；</w:t>
                  </w:r>
                </w:p>
                <w:p w14:paraId="3FD570E6">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（三）外省现有燃油汽车企业整体搬迁至本省（列入国家级区域发展规划或不改变企业股权结构的项目除外）；</w:t>
                  </w:r>
                </w:p>
                <w:p w14:paraId="1031A353">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（四）对行业管理部门特别公示的燃油汽车企业进行投资（企业原有股东投资或将该企业转为非独立法人的投资项目除外）；</w:t>
                  </w:r>
                </w:p>
              </w:tc>
              <w:tc>
                <w:tcPr>
                  <w:tcW w:w="2580" w:type="dxa"/>
                  <w:tcBorders>
                    <w:tl2br w:val="nil"/>
                    <w:tr2bl w:val="nil"/>
                  </w:tcBorders>
                  <w:noWrap w:val="0"/>
                  <w:vAlign w:val="center"/>
                </w:tcPr>
                <w:p w14:paraId="5593E285">
                  <w:pPr>
                    <w:spacing w:line="300" w:lineRule="exact"/>
                    <w:jc w:val="both"/>
                    <w:rPr>
                      <w:rFonts w:hint="eastAsia" w:ascii="Times New Roman" w:hAnsi="Times New Roman" w:eastAsia="宋体" w:cs="Times New Roman"/>
                      <w:color w:val="auto"/>
                      <w:spacing w:val="-2"/>
                      <w:sz w:val="22"/>
                      <w:lang w:eastAsia="zh-CN"/>
                    </w:rPr>
                  </w:pPr>
                  <w:r>
                    <w:rPr>
                      <w:rFonts w:hint="eastAsia" w:ascii="Times New Roman" w:hAnsi="Times New Roman" w:eastAsia="宋体" w:cs="Times New Roman"/>
                      <w:color w:val="auto"/>
                      <w:spacing w:val="-2"/>
                      <w:sz w:val="22"/>
                      <w:lang w:val="en-US" w:eastAsia="zh-CN"/>
                    </w:rPr>
                    <w:t>本</w:t>
                  </w:r>
                  <w:r>
                    <w:rPr>
                      <w:rFonts w:hint="eastAsia" w:ascii="Times New Roman" w:hAnsi="Times New Roman" w:eastAsia="宋体" w:cs="Times New Roman"/>
                      <w:color w:val="auto"/>
                      <w:spacing w:val="-2"/>
                      <w:sz w:val="22"/>
                      <w:lang w:eastAsia="zh-CN"/>
                    </w:rPr>
                    <w:t>项目不属于</w:t>
                  </w:r>
                  <w:r>
                    <w:rPr>
                      <w:rFonts w:hint="default" w:ascii="Times New Roman" w:hAnsi="Times New Roman" w:eastAsia="宋体" w:cs="Times New Roman"/>
                      <w:color w:val="auto"/>
                      <w:spacing w:val="-2"/>
                      <w:sz w:val="22"/>
                      <w:lang w:val="en-US" w:eastAsia="zh-CN"/>
                    </w:rPr>
                    <w:t>燃油汽车投资项目</w:t>
                  </w:r>
                </w:p>
              </w:tc>
              <w:tc>
                <w:tcPr>
                  <w:tcW w:w="653" w:type="dxa"/>
                  <w:tcBorders>
                    <w:tl2br w:val="nil"/>
                    <w:tr2bl w:val="nil"/>
                  </w:tcBorders>
                  <w:noWrap w:val="0"/>
                  <w:vAlign w:val="center"/>
                </w:tcPr>
                <w:p w14:paraId="33A00D55">
                  <w:pPr>
                    <w:spacing w:line="300" w:lineRule="exact"/>
                    <w:jc w:val="both"/>
                    <w:rPr>
                      <w:rFonts w:hint="default" w:ascii="Times New Roman" w:hAnsi="Times New Roman" w:eastAsia="宋体" w:cs="Times New Roman"/>
                      <w:color w:val="auto"/>
                      <w:spacing w:val="-2"/>
                      <w:sz w:val="22"/>
                    </w:rPr>
                  </w:pPr>
                  <w:r>
                    <w:rPr>
                      <w:rFonts w:hint="eastAsia" w:ascii="Times New Roman" w:hAnsi="Times New Roman" w:eastAsia="宋体" w:cs="Times New Roman"/>
                      <w:color w:val="auto"/>
                      <w:spacing w:val="-2"/>
                      <w:sz w:val="22"/>
                      <w:lang w:eastAsia="zh-CN"/>
                    </w:rPr>
                    <w:t>符合</w:t>
                  </w:r>
                </w:p>
              </w:tc>
            </w:tr>
            <w:tr w14:paraId="3EEEE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52" w:type="dxa"/>
                  <w:tcBorders>
                    <w:tl2br w:val="nil"/>
                    <w:tr2bl w:val="nil"/>
                  </w:tcBorders>
                  <w:noWrap w:val="0"/>
                  <w:vAlign w:val="center"/>
                </w:tcPr>
                <w:p w14:paraId="7B770E1C">
                  <w:pPr>
                    <w:spacing w:line="300" w:lineRule="exact"/>
                    <w:jc w:val="both"/>
                    <w:rPr>
                      <w:rFonts w:hint="default" w:ascii="Times New Roman" w:hAnsi="Times New Roman" w:eastAsia="宋体" w:cs="Times New Roman"/>
                      <w:color w:val="auto"/>
                      <w:spacing w:val="-2"/>
                      <w:sz w:val="22"/>
                      <w:lang w:val="en-US" w:eastAsia="zh-CN"/>
                    </w:rPr>
                  </w:pPr>
                  <w:r>
                    <w:rPr>
                      <w:rFonts w:hint="default" w:ascii="Times New Roman" w:hAnsi="Times New Roman" w:eastAsia="宋体" w:cs="Times New Roman"/>
                      <w:color w:val="auto"/>
                      <w:spacing w:val="-2"/>
                      <w:sz w:val="22"/>
                      <w:lang w:val="en-US" w:eastAsia="zh-CN"/>
                    </w:rPr>
                    <w:t>禁止新建、扩建不符合要求的高耗能、高排放、低水平项目。</w:t>
                  </w:r>
                </w:p>
              </w:tc>
              <w:tc>
                <w:tcPr>
                  <w:tcW w:w="2580" w:type="dxa"/>
                  <w:tcBorders>
                    <w:tl2br w:val="nil"/>
                    <w:tr2bl w:val="nil"/>
                  </w:tcBorders>
                  <w:noWrap w:val="0"/>
                  <w:vAlign w:val="center"/>
                </w:tcPr>
                <w:p w14:paraId="5D5AA692">
                  <w:pPr>
                    <w:spacing w:line="300" w:lineRule="exact"/>
                    <w:jc w:val="both"/>
                    <w:rPr>
                      <w:rFonts w:hint="eastAsia" w:ascii="Times New Roman" w:hAnsi="Times New Roman" w:eastAsia="宋体" w:cs="Times New Roman"/>
                      <w:color w:val="auto"/>
                      <w:spacing w:val="-2"/>
                      <w:sz w:val="22"/>
                      <w:lang w:eastAsia="zh-CN"/>
                    </w:rPr>
                  </w:pPr>
                  <w:r>
                    <w:rPr>
                      <w:rFonts w:hint="eastAsia" w:ascii="Times New Roman" w:hAnsi="Times New Roman" w:eastAsia="宋体" w:cs="Times New Roman"/>
                      <w:color w:val="auto"/>
                      <w:spacing w:val="-2"/>
                      <w:sz w:val="22"/>
                      <w:lang w:val="en-US" w:eastAsia="zh-CN"/>
                    </w:rPr>
                    <w:t>本</w:t>
                  </w:r>
                  <w:r>
                    <w:rPr>
                      <w:rFonts w:hint="eastAsia" w:ascii="Times New Roman" w:hAnsi="Times New Roman" w:eastAsia="宋体" w:cs="Times New Roman"/>
                      <w:color w:val="auto"/>
                      <w:spacing w:val="-2"/>
                      <w:sz w:val="22"/>
                      <w:lang w:eastAsia="zh-CN"/>
                    </w:rPr>
                    <w:t>项目不属于</w:t>
                  </w:r>
                  <w:r>
                    <w:rPr>
                      <w:rFonts w:hint="default" w:ascii="Times New Roman" w:hAnsi="Times New Roman" w:eastAsia="宋体" w:cs="Times New Roman"/>
                      <w:color w:val="auto"/>
                      <w:spacing w:val="-2"/>
                      <w:sz w:val="22"/>
                      <w:lang w:val="en-US" w:eastAsia="zh-CN"/>
                    </w:rPr>
                    <w:t>新建、扩建不符合要求的高耗能、高排放、低水平项目</w:t>
                  </w:r>
                </w:p>
              </w:tc>
              <w:tc>
                <w:tcPr>
                  <w:tcW w:w="653" w:type="dxa"/>
                  <w:tcBorders>
                    <w:tl2br w:val="nil"/>
                    <w:tr2bl w:val="nil"/>
                  </w:tcBorders>
                  <w:noWrap w:val="0"/>
                  <w:vAlign w:val="center"/>
                </w:tcPr>
                <w:p w14:paraId="2AC08AA1">
                  <w:pPr>
                    <w:spacing w:line="300" w:lineRule="exact"/>
                    <w:jc w:val="both"/>
                    <w:rPr>
                      <w:rFonts w:hint="default" w:ascii="Times New Roman" w:hAnsi="Times New Roman" w:eastAsia="宋体" w:cs="Times New Roman"/>
                      <w:color w:val="auto"/>
                      <w:spacing w:val="-2"/>
                      <w:sz w:val="22"/>
                    </w:rPr>
                  </w:pPr>
                  <w:r>
                    <w:rPr>
                      <w:rFonts w:hint="eastAsia" w:ascii="Times New Roman" w:hAnsi="Times New Roman" w:eastAsia="宋体" w:cs="Times New Roman"/>
                      <w:color w:val="auto"/>
                      <w:spacing w:val="-2"/>
                      <w:sz w:val="22"/>
                      <w:lang w:eastAsia="zh-CN"/>
                    </w:rPr>
                    <w:t>符合</w:t>
                  </w:r>
                </w:p>
              </w:tc>
            </w:tr>
          </w:tbl>
          <w:p w14:paraId="4717563C">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jc w:val="both"/>
              <w:textAlignment w:val="auto"/>
              <w:rPr>
                <w:rFonts w:hint="eastAsia" w:ascii="Times New Roman" w:hAnsi="Times New Roman" w:eastAsia="宋体" w:cs="Times New Roman"/>
                <w:color w:val="auto"/>
                <w:sz w:val="26"/>
                <w:szCs w:val="26"/>
                <w:lang w:val="en-US" w:eastAsia="zh-CN"/>
              </w:rPr>
            </w:pPr>
          </w:p>
          <w:p w14:paraId="43E89EE1">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综上分析，本项目符合</w:t>
            </w:r>
            <w:r>
              <w:rPr>
                <w:rFonts w:hint="default" w:ascii="Times New Roman" w:hAnsi="Times New Roman" w:eastAsia="宋体" w:cs="Times New Roman"/>
                <w:color w:val="auto"/>
                <w:sz w:val="26"/>
                <w:szCs w:val="26"/>
                <w:lang w:val="en-US" w:eastAsia="zh-CN"/>
              </w:rPr>
              <w:t>川长江办〔2022〕17</w:t>
            </w:r>
            <w:r>
              <w:rPr>
                <w:rFonts w:hint="eastAsia" w:ascii="Times New Roman" w:hAnsi="Times New Roman" w:eastAsia="宋体" w:cs="Times New Roman"/>
                <w:color w:val="auto"/>
                <w:sz w:val="26"/>
                <w:szCs w:val="26"/>
                <w:lang w:val="en-US" w:eastAsia="zh-CN"/>
              </w:rPr>
              <w:t>号文件规定</w:t>
            </w:r>
            <w:r>
              <w:rPr>
                <w:rFonts w:hint="default" w:ascii="Times New Roman" w:hAnsi="Times New Roman" w:eastAsia="宋体" w:cs="Times New Roman"/>
                <w:color w:val="auto"/>
                <w:sz w:val="26"/>
                <w:szCs w:val="26"/>
                <w:lang w:val="en-US" w:eastAsia="zh-CN"/>
              </w:rPr>
              <w:t>。</w:t>
            </w:r>
          </w:p>
          <w:p w14:paraId="1476EF02">
            <w:pPr>
              <w:keepNext w:val="0"/>
              <w:keepLines w:val="0"/>
              <w:pageBreakBefore w:val="0"/>
              <w:widowControl/>
              <w:kinsoku/>
              <w:wordWrap/>
              <w:overflowPunct/>
              <w:topLinePunct w:val="0"/>
              <w:autoSpaceDE/>
              <w:autoSpaceDN/>
              <w:bidi w:val="0"/>
              <w:spacing w:line="460" w:lineRule="exact"/>
              <w:jc w:val="left"/>
              <w:textAlignment w:val="auto"/>
              <w:rPr>
                <w:rFonts w:hint="default" w:ascii="Times New Roman" w:hAnsi="Times New Roman" w:eastAsia="宋体" w:cs="Times New Roman"/>
                <w:b/>
                <w:bCs/>
                <w:color w:val="auto"/>
                <w:sz w:val="26"/>
                <w:szCs w:val="26"/>
                <w:lang w:val="zh-CN" w:eastAsia="zh-CN"/>
              </w:rPr>
            </w:pPr>
            <w:r>
              <w:rPr>
                <w:rFonts w:hint="eastAsia" w:ascii="Times New Roman" w:hAnsi="Times New Roman" w:eastAsia="宋体" w:cs="Times New Roman"/>
                <w:b/>
                <w:bCs/>
                <w:color w:val="auto"/>
                <w:sz w:val="26"/>
                <w:szCs w:val="26"/>
                <w:lang w:val="en-US" w:eastAsia="zh-CN"/>
              </w:rPr>
              <w:t>1.4.4</w:t>
            </w:r>
            <w:r>
              <w:rPr>
                <w:rFonts w:hint="default" w:ascii="Times New Roman" w:hAnsi="Times New Roman" w:eastAsia="宋体" w:cs="Times New Roman"/>
                <w:b/>
                <w:bCs/>
                <w:color w:val="auto"/>
                <w:sz w:val="26"/>
                <w:szCs w:val="26"/>
                <w:lang w:val="zh-CN" w:eastAsia="zh-CN"/>
              </w:rPr>
              <w:t>与</w:t>
            </w:r>
            <w:r>
              <w:rPr>
                <w:rFonts w:hint="eastAsia" w:ascii="Times New Roman" w:hAnsi="Times New Roman" w:eastAsia="宋体" w:cs="Times New Roman"/>
                <w:b/>
                <w:bCs/>
                <w:color w:val="auto"/>
                <w:sz w:val="26"/>
                <w:szCs w:val="26"/>
                <w:lang w:val="en-US" w:eastAsia="zh-CN"/>
              </w:rPr>
              <w:t>《重庆市生态环境保护“十四五”规划》（2021-2025年）</w:t>
            </w:r>
            <w:r>
              <w:rPr>
                <w:rFonts w:hint="default" w:ascii="Times New Roman" w:hAnsi="Times New Roman" w:eastAsia="宋体" w:cs="Times New Roman"/>
                <w:b/>
                <w:bCs/>
                <w:color w:val="auto"/>
                <w:sz w:val="26"/>
                <w:szCs w:val="26"/>
                <w:lang w:val="zh-CN" w:eastAsia="zh-CN"/>
              </w:rPr>
              <w:t>符合性分析</w:t>
            </w:r>
          </w:p>
          <w:p w14:paraId="61DF3799">
            <w:pPr>
              <w:keepNext w:val="0"/>
              <w:keepLines w:val="0"/>
              <w:pageBreakBefore w:val="0"/>
              <w:widowControl w:val="0"/>
              <w:kinsoku/>
              <w:wordWrap/>
              <w:overflowPunct/>
              <w:topLinePunct w:val="0"/>
              <w:autoSpaceDE w:val="0"/>
              <w:autoSpaceDN w:val="0"/>
              <w:bidi w:val="0"/>
              <w:adjustRightInd w:val="0"/>
              <w:snapToGrid w:val="0"/>
              <w:spacing w:line="460" w:lineRule="exact"/>
              <w:ind w:firstLine="520" w:firstLineChars="200"/>
              <w:jc w:val="both"/>
              <w:textAlignment w:val="auto"/>
              <w:rPr>
                <w:rFonts w:hint="default" w:ascii="Times New Roman" w:hAnsi="Times New Roman" w:eastAsia="宋体" w:cs="Times New Roman"/>
                <w:color w:val="auto"/>
                <w:sz w:val="26"/>
                <w:szCs w:val="26"/>
                <w:lang w:val="zh-CN" w:eastAsia="zh-CN"/>
              </w:rPr>
            </w:pPr>
            <w:r>
              <w:rPr>
                <w:rFonts w:hint="eastAsia" w:ascii="Times New Roman" w:hAnsi="Times New Roman" w:eastAsia="宋体" w:cs="Times New Roman"/>
                <w:color w:val="auto"/>
                <w:sz w:val="26"/>
                <w:szCs w:val="26"/>
                <w:lang w:val="en-US" w:eastAsia="zh-CN"/>
              </w:rPr>
              <w:t>本</w:t>
            </w:r>
            <w:r>
              <w:rPr>
                <w:rFonts w:hint="default" w:ascii="Times New Roman" w:hAnsi="Times New Roman" w:eastAsia="宋体" w:cs="Times New Roman"/>
                <w:color w:val="auto"/>
                <w:sz w:val="26"/>
                <w:szCs w:val="26"/>
                <w:lang w:val="zh-CN" w:eastAsia="zh-CN"/>
              </w:rPr>
              <w:t>项目与</w:t>
            </w:r>
            <w:r>
              <w:rPr>
                <w:rFonts w:hint="eastAsia" w:ascii="Times New Roman" w:hAnsi="Times New Roman" w:eastAsia="宋体" w:cs="Times New Roman"/>
                <w:color w:val="auto"/>
                <w:sz w:val="26"/>
                <w:szCs w:val="26"/>
                <w:lang w:val="en-US" w:eastAsia="zh-CN"/>
              </w:rPr>
              <w:t>《重庆市生态环境保护“十四五”规划》（2021-2025年）</w:t>
            </w:r>
            <w:r>
              <w:rPr>
                <w:rFonts w:hint="default" w:ascii="Times New Roman" w:hAnsi="Times New Roman" w:eastAsia="宋体" w:cs="Times New Roman"/>
                <w:color w:val="auto"/>
                <w:sz w:val="26"/>
                <w:szCs w:val="26"/>
                <w:lang w:val="zh-CN" w:eastAsia="zh-CN"/>
              </w:rPr>
              <w:t>符合性分析</w:t>
            </w:r>
            <w:r>
              <w:rPr>
                <w:rFonts w:hint="eastAsia" w:ascii="Times New Roman" w:hAnsi="Times New Roman" w:eastAsia="宋体" w:cs="Times New Roman"/>
                <w:color w:val="auto"/>
                <w:sz w:val="26"/>
                <w:szCs w:val="26"/>
                <w:lang w:val="en-US" w:eastAsia="zh-CN"/>
              </w:rPr>
              <w:t>详见下表</w:t>
            </w:r>
            <w:r>
              <w:rPr>
                <w:rFonts w:hint="default" w:ascii="Times New Roman" w:hAnsi="Times New Roman" w:eastAsia="宋体" w:cs="Times New Roman"/>
                <w:color w:val="auto"/>
                <w:sz w:val="26"/>
                <w:szCs w:val="26"/>
                <w:lang w:val="zh-CN" w:eastAsia="zh-CN"/>
              </w:rPr>
              <w:t>。</w:t>
            </w:r>
          </w:p>
          <w:p w14:paraId="4B7E419D">
            <w:pPr>
              <w:autoSpaceDE w:val="0"/>
              <w:autoSpaceDN w:val="0"/>
              <w:adjustRightInd w:val="0"/>
              <w:snapToGrid w:val="0"/>
              <w:spacing w:line="460" w:lineRule="exact"/>
              <w:jc w:val="center"/>
              <w:rPr>
                <w:rFonts w:hint="default" w:ascii="Times New Roman" w:hAnsi="Times New Roman" w:eastAsia="宋体" w:cs="Times New Roman"/>
                <w:b/>
                <w:bCs/>
                <w:color w:val="auto"/>
                <w:kern w:val="0"/>
                <w:sz w:val="26"/>
                <w:szCs w:val="26"/>
                <w:lang w:val="zh-CN" w:eastAsia="zh-CN"/>
              </w:rPr>
            </w:pPr>
            <w:r>
              <w:rPr>
                <w:rFonts w:hint="default" w:ascii="Times New Roman" w:hAnsi="Times New Roman" w:eastAsia="宋体" w:cs="Times New Roman"/>
                <w:b/>
                <w:bCs/>
                <w:color w:val="auto"/>
                <w:kern w:val="0"/>
                <w:sz w:val="26"/>
                <w:szCs w:val="26"/>
                <w:lang w:val="zh-CN" w:eastAsia="zh-CN"/>
              </w:rPr>
              <w:t>表</w:t>
            </w:r>
            <w:r>
              <w:rPr>
                <w:rFonts w:hint="eastAsia" w:ascii="Times New Roman" w:hAnsi="Times New Roman" w:eastAsia="宋体" w:cs="Times New Roman"/>
                <w:b/>
                <w:bCs/>
                <w:color w:val="auto"/>
                <w:kern w:val="0"/>
                <w:sz w:val="26"/>
                <w:szCs w:val="26"/>
                <w:lang w:val="en-US" w:eastAsia="zh-CN"/>
              </w:rPr>
              <w:t>1.4-3</w:t>
            </w:r>
            <w:r>
              <w:rPr>
                <w:rFonts w:hint="default" w:ascii="Times New Roman" w:hAnsi="Times New Roman" w:eastAsia="宋体" w:cs="Times New Roman"/>
                <w:b/>
                <w:bCs/>
                <w:color w:val="auto"/>
                <w:kern w:val="0"/>
                <w:sz w:val="26"/>
                <w:szCs w:val="26"/>
                <w:lang w:val="zh-CN" w:eastAsia="zh-CN"/>
              </w:rPr>
              <w:t xml:space="preserve"> </w:t>
            </w:r>
            <w:r>
              <w:rPr>
                <w:rFonts w:hint="default" w:ascii="Times New Roman" w:hAnsi="Times New Roman" w:eastAsia="宋体" w:cs="Times New Roman"/>
                <w:b/>
                <w:bCs/>
                <w:color w:val="auto"/>
                <w:kern w:val="0"/>
                <w:sz w:val="26"/>
                <w:szCs w:val="26"/>
                <w:lang w:val="en-US" w:eastAsia="zh-CN"/>
              </w:rPr>
              <w:t xml:space="preserve"> </w:t>
            </w:r>
            <w:r>
              <w:rPr>
                <w:rFonts w:hint="default" w:ascii="Times New Roman" w:hAnsi="Times New Roman" w:eastAsia="宋体" w:cs="Times New Roman"/>
                <w:b/>
                <w:bCs/>
                <w:color w:val="auto"/>
                <w:kern w:val="0"/>
                <w:sz w:val="26"/>
                <w:szCs w:val="26"/>
                <w:lang w:val="zh-CN" w:eastAsia="zh-CN"/>
              </w:rPr>
              <w:t>与</w:t>
            </w:r>
            <w:r>
              <w:rPr>
                <w:rFonts w:hint="eastAsia" w:ascii="Times New Roman" w:hAnsi="Times New Roman" w:eastAsia="宋体" w:cs="Times New Roman"/>
                <w:b/>
                <w:bCs/>
                <w:color w:val="auto"/>
                <w:kern w:val="0"/>
                <w:sz w:val="26"/>
                <w:szCs w:val="26"/>
                <w:lang w:val="en-US" w:eastAsia="zh-CN"/>
              </w:rPr>
              <w:t>《重庆市生态环境保护“十四五”规划》（2021-2025年）</w:t>
            </w:r>
            <w:r>
              <w:rPr>
                <w:rFonts w:hint="default" w:ascii="Times New Roman" w:hAnsi="Times New Roman" w:eastAsia="宋体" w:cs="Times New Roman"/>
                <w:b/>
                <w:bCs/>
                <w:color w:val="auto"/>
                <w:kern w:val="0"/>
                <w:sz w:val="26"/>
                <w:szCs w:val="26"/>
                <w:lang w:val="zh-CN" w:eastAsia="zh-CN"/>
              </w:rPr>
              <w:t>符合性分析</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3"/>
              <w:gridCol w:w="4136"/>
              <w:gridCol w:w="2419"/>
              <w:gridCol w:w="668"/>
            </w:tblGrid>
            <w:tr w14:paraId="751F2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162BB20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序号</w:t>
                  </w:r>
                </w:p>
              </w:tc>
              <w:tc>
                <w:tcPr>
                  <w:tcW w:w="4284" w:type="dxa"/>
                  <w:tcBorders>
                    <w:tl2br w:val="nil"/>
                    <w:tr2bl w:val="nil"/>
                  </w:tcBorders>
                  <w:noWrap w:val="0"/>
                  <w:vAlign w:val="center"/>
                </w:tcPr>
                <w:p w14:paraId="6B9EF59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重庆市生态环境保护“十四五”规划</w:t>
                  </w:r>
                </w:p>
              </w:tc>
              <w:tc>
                <w:tcPr>
                  <w:tcW w:w="2502" w:type="dxa"/>
                  <w:tcBorders>
                    <w:tl2br w:val="nil"/>
                    <w:tr2bl w:val="nil"/>
                  </w:tcBorders>
                  <w:noWrap w:val="0"/>
                  <w:vAlign w:val="center"/>
                </w:tcPr>
                <w:p w14:paraId="3ECC3E0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项目情况</w:t>
                  </w:r>
                </w:p>
              </w:tc>
              <w:tc>
                <w:tcPr>
                  <w:tcW w:w="685" w:type="dxa"/>
                  <w:tcBorders>
                    <w:tl2br w:val="nil"/>
                    <w:tr2bl w:val="nil"/>
                  </w:tcBorders>
                  <w:noWrap w:val="0"/>
                  <w:vAlign w:val="center"/>
                </w:tcPr>
                <w:p w14:paraId="1B82DC2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符合性</w:t>
                  </w:r>
                </w:p>
              </w:tc>
            </w:tr>
            <w:tr w14:paraId="501E54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23D348C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w:t>
                  </w:r>
                </w:p>
              </w:tc>
              <w:tc>
                <w:tcPr>
                  <w:tcW w:w="4284" w:type="dxa"/>
                  <w:tcBorders>
                    <w:tl2br w:val="nil"/>
                    <w:tr2bl w:val="nil"/>
                  </w:tcBorders>
                  <w:noWrap w:val="0"/>
                  <w:vAlign w:val="center"/>
                </w:tcPr>
                <w:p w14:paraId="07696CE0">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利用综合标准淘汰落后产能。</w:t>
                  </w:r>
                </w:p>
                <w:p w14:paraId="59BEED91">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对达不到强制性能耗限额标准的产能，依法责令整改或关停退出。对超过污染物排放标准、超过重点污染物排放总量控制指标的企业，依法责令限制生产、停产整治或停业、关闭。对产品质量达不到强制性标准要求的产能，依法查处并责令停产整改，逾期未整改或经整改仍未达标的，依法报批关停退出。</w:t>
                  </w:r>
                </w:p>
              </w:tc>
              <w:tc>
                <w:tcPr>
                  <w:tcW w:w="2502" w:type="dxa"/>
                  <w:tcBorders>
                    <w:tl2br w:val="nil"/>
                    <w:tr2bl w:val="nil"/>
                  </w:tcBorders>
                  <w:noWrap w:val="0"/>
                  <w:vAlign w:val="center"/>
                </w:tcPr>
                <w:p w14:paraId="3E69EA51">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本项目</w:t>
                  </w:r>
                  <w:r>
                    <w:rPr>
                      <w:rFonts w:hint="eastAsia" w:ascii="Times New Roman" w:hAnsi="Times New Roman" w:eastAsia="宋体" w:cs="Times New Roman"/>
                      <w:color w:val="auto"/>
                      <w:kern w:val="0"/>
                      <w:sz w:val="22"/>
                      <w:szCs w:val="22"/>
                      <w:vertAlign w:val="baseline"/>
                      <w:lang w:val="en-US" w:eastAsia="zh-CN"/>
                    </w:rPr>
                    <w:t>不属于落后产能项目</w:t>
                  </w:r>
                </w:p>
              </w:tc>
              <w:tc>
                <w:tcPr>
                  <w:tcW w:w="685" w:type="dxa"/>
                  <w:tcBorders>
                    <w:tl2br w:val="nil"/>
                    <w:tr2bl w:val="nil"/>
                  </w:tcBorders>
                  <w:noWrap w:val="0"/>
                  <w:vAlign w:val="center"/>
                </w:tcPr>
                <w:p w14:paraId="1E80CFF6">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符合</w:t>
                  </w:r>
                </w:p>
              </w:tc>
            </w:tr>
            <w:tr w14:paraId="43617E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7B2DBFB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2</w:t>
                  </w:r>
                </w:p>
              </w:tc>
              <w:tc>
                <w:tcPr>
                  <w:tcW w:w="4284" w:type="dxa"/>
                  <w:tcBorders>
                    <w:tl2br w:val="nil"/>
                    <w:tr2bl w:val="nil"/>
                  </w:tcBorders>
                  <w:noWrap w:val="0"/>
                  <w:vAlign w:val="center"/>
                </w:tcPr>
                <w:p w14:paraId="500FDB11">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落实生态环境准入规定。</w:t>
                  </w:r>
                </w:p>
                <w:p w14:paraId="7000D22C">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落实《中华人民共和国长江保护法》等法律法规和产业结构调整指导目录、环境保护综合名录、长江经济带发展负面清单、重庆市产业投资准入等规定，坚决管控高耗能、高排放项目。落实生态保护红线、环境质量底线、资源利用上线、生态环境准入清单硬约束，实施生态环境分区管控。进一步发挥规划环境影响评价的引领作用，加强规划环评、区域环评与项目环评联动。除在安全生产或者产业布局等方面有特殊要求外，禁止在工业园区外新建工业项目。禁止在工业园区外扩建钢铁、焦化、建材、有色等高污染项目，禁止新建、扩建不符合国家石化、现代煤化工等产业布局规划的项目。</w:t>
                  </w:r>
                </w:p>
              </w:tc>
              <w:tc>
                <w:tcPr>
                  <w:tcW w:w="2502" w:type="dxa"/>
                  <w:tcBorders>
                    <w:tl2br w:val="nil"/>
                    <w:tr2bl w:val="nil"/>
                  </w:tcBorders>
                  <w:noWrap w:val="0"/>
                  <w:vAlign w:val="center"/>
                </w:tcPr>
                <w:p w14:paraId="57E867C3">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本项目</w:t>
                  </w:r>
                  <w:r>
                    <w:rPr>
                      <w:rFonts w:hint="eastAsia" w:ascii="Times New Roman" w:hAnsi="Times New Roman" w:eastAsia="宋体" w:cs="Times New Roman"/>
                      <w:color w:val="auto"/>
                      <w:kern w:val="0"/>
                      <w:sz w:val="22"/>
                      <w:szCs w:val="22"/>
                      <w:vertAlign w:val="baseline"/>
                      <w:lang w:val="en-US" w:eastAsia="zh-CN"/>
                    </w:rPr>
                    <w:t>符合长保法，符合“三线一单”管控要求</w:t>
                  </w:r>
                </w:p>
              </w:tc>
              <w:tc>
                <w:tcPr>
                  <w:tcW w:w="685" w:type="dxa"/>
                  <w:tcBorders>
                    <w:tl2br w:val="nil"/>
                    <w:tr2bl w:val="nil"/>
                  </w:tcBorders>
                  <w:noWrap w:val="0"/>
                  <w:vAlign w:val="center"/>
                </w:tcPr>
                <w:p w14:paraId="3FE1DE92">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符合</w:t>
                  </w:r>
                </w:p>
              </w:tc>
            </w:tr>
            <w:tr w14:paraId="73048F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392C2A7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3</w:t>
                  </w:r>
                </w:p>
              </w:tc>
              <w:tc>
                <w:tcPr>
                  <w:tcW w:w="4284" w:type="dxa"/>
                  <w:tcBorders>
                    <w:tl2br w:val="nil"/>
                    <w:tr2bl w:val="nil"/>
                  </w:tcBorders>
                  <w:noWrap w:val="0"/>
                  <w:vAlign w:val="center"/>
                </w:tcPr>
                <w:p w14:paraId="1D80144F">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控制温室气体排放。</w:t>
                  </w:r>
                </w:p>
                <w:p w14:paraId="2753E32B">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开展温室气体统计核算，编制全市温室气体排放清单，探索建立碳排放总量控制制度，开展重点企业温室气体排放普查试点。建立项目碳排放与环境影响评价、排污许可联动管理机制。升级能源、建材、化工领域工艺技术，控制工艺过程温室气体排放。</w:t>
                  </w:r>
                </w:p>
              </w:tc>
              <w:tc>
                <w:tcPr>
                  <w:tcW w:w="2502" w:type="dxa"/>
                  <w:tcBorders>
                    <w:tl2br w:val="nil"/>
                    <w:tr2bl w:val="nil"/>
                  </w:tcBorders>
                  <w:noWrap w:val="0"/>
                  <w:vAlign w:val="center"/>
                </w:tcPr>
                <w:p w14:paraId="19F8AF56">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本项目</w:t>
                  </w:r>
                  <w:r>
                    <w:rPr>
                      <w:rFonts w:hint="eastAsia" w:ascii="Times New Roman" w:hAnsi="Times New Roman" w:eastAsia="宋体" w:cs="Times New Roman"/>
                      <w:color w:val="auto"/>
                      <w:kern w:val="0"/>
                      <w:sz w:val="22"/>
                      <w:szCs w:val="22"/>
                      <w:vertAlign w:val="baseline"/>
                      <w:lang w:val="en-US" w:eastAsia="zh-CN"/>
                    </w:rPr>
                    <w:t>不涉及温室气体排放</w:t>
                  </w:r>
                </w:p>
              </w:tc>
              <w:tc>
                <w:tcPr>
                  <w:tcW w:w="685" w:type="dxa"/>
                  <w:tcBorders>
                    <w:tl2br w:val="nil"/>
                    <w:tr2bl w:val="nil"/>
                  </w:tcBorders>
                  <w:noWrap w:val="0"/>
                  <w:vAlign w:val="center"/>
                </w:tcPr>
                <w:p w14:paraId="200A01E0">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符合</w:t>
                  </w:r>
                </w:p>
              </w:tc>
            </w:tr>
            <w:tr w14:paraId="765ABB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75EE5F9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4</w:t>
                  </w:r>
                </w:p>
              </w:tc>
              <w:tc>
                <w:tcPr>
                  <w:tcW w:w="4284" w:type="dxa"/>
                  <w:tcBorders>
                    <w:tl2br w:val="nil"/>
                    <w:tr2bl w:val="nil"/>
                  </w:tcBorders>
                  <w:noWrap w:val="0"/>
                  <w:vAlign w:val="center"/>
                </w:tcPr>
                <w:p w14:paraId="41402A2B">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加强生态保护红线管控。</w:t>
                  </w:r>
                </w:p>
                <w:p w14:paraId="78F8BBD3">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生态保护红线内，自然保护地核心保护区原则上禁止人为活动，其他区域严格禁止开发性、生产性建设活动，在符合现行法律法规前提下，除国家重大战略项目外，仅允许对生态功能不造成破坏的有限人为活动。</w:t>
                  </w:r>
                </w:p>
              </w:tc>
              <w:tc>
                <w:tcPr>
                  <w:tcW w:w="2502" w:type="dxa"/>
                  <w:tcBorders>
                    <w:tl2br w:val="nil"/>
                    <w:tr2bl w:val="nil"/>
                  </w:tcBorders>
                  <w:noWrap w:val="0"/>
                  <w:vAlign w:val="center"/>
                </w:tcPr>
                <w:p w14:paraId="7AD3CB90">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本项目</w:t>
                  </w:r>
                  <w:r>
                    <w:rPr>
                      <w:rFonts w:hint="eastAsia" w:ascii="Times New Roman" w:hAnsi="Times New Roman" w:eastAsia="宋体" w:cs="Times New Roman"/>
                      <w:color w:val="auto"/>
                      <w:kern w:val="0"/>
                      <w:sz w:val="22"/>
                      <w:szCs w:val="22"/>
                      <w:vertAlign w:val="baseline"/>
                      <w:lang w:val="en-US" w:eastAsia="zh-CN"/>
                    </w:rPr>
                    <w:t>位于</w:t>
                  </w:r>
                  <w:r>
                    <w:rPr>
                      <w:rFonts w:hint="eastAsia" w:ascii="Times New Roman" w:hAnsi="Times New Roman" w:eastAsia="宋体" w:cs="Times New Roman"/>
                      <w:color w:val="auto"/>
                      <w:spacing w:val="-2"/>
                      <w:sz w:val="22"/>
                      <w:lang w:val="en-US" w:eastAsia="zh-CN"/>
                    </w:rPr>
                    <w:t>西彭工业园区，不涉及生态保护红线</w:t>
                  </w:r>
                </w:p>
              </w:tc>
              <w:tc>
                <w:tcPr>
                  <w:tcW w:w="685" w:type="dxa"/>
                  <w:tcBorders>
                    <w:tl2br w:val="nil"/>
                    <w:tr2bl w:val="nil"/>
                  </w:tcBorders>
                  <w:noWrap w:val="0"/>
                  <w:vAlign w:val="center"/>
                </w:tcPr>
                <w:p w14:paraId="5F3D53F6">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符合</w:t>
                  </w:r>
                </w:p>
              </w:tc>
            </w:tr>
            <w:tr w14:paraId="3CC1D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11AA462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5</w:t>
                  </w:r>
                </w:p>
              </w:tc>
              <w:tc>
                <w:tcPr>
                  <w:tcW w:w="4284" w:type="dxa"/>
                  <w:tcBorders>
                    <w:tl2br w:val="nil"/>
                    <w:tr2bl w:val="nil"/>
                  </w:tcBorders>
                  <w:noWrap w:val="0"/>
                  <w:vAlign w:val="center"/>
                </w:tcPr>
                <w:p w14:paraId="27617CD2">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加强重点水环境综合治理。</w:t>
                  </w:r>
                </w:p>
                <w:p w14:paraId="6B47C944">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完善工业园区污水集中处理设施建设及配套管网，升级改造工业园区污水处理设施。</w:t>
                  </w:r>
                </w:p>
              </w:tc>
              <w:tc>
                <w:tcPr>
                  <w:tcW w:w="2502" w:type="dxa"/>
                  <w:tcBorders>
                    <w:tl2br w:val="nil"/>
                    <w:tr2bl w:val="nil"/>
                  </w:tcBorders>
                  <w:noWrap w:val="0"/>
                  <w:vAlign w:val="center"/>
                </w:tcPr>
                <w:p w14:paraId="2C1BD6B7">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bidi="ar-SA"/>
                    </w:rPr>
                  </w:pPr>
                  <w:r>
                    <w:rPr>
                      <w:rFonts w:hint="eastAsia" w:ascii="Times New Roman" w:hAnsi="Times New Roman" w:eastAsia="宋体" w:cs="Times New Roman"/>
                      <w:bCs/>
                      <w:color w:val="auto"/>
                      <w:sz w:val="22"/>
                      <w:szCs w:val="22"/>
                      <w:lang w:val="en-US" w:eastAsia="zh-CN"/>
                    </w:rPr>
                    <w:t>本项目不新增生活污水，</w:t>
                  </w:r>
                  <w:r>
                    <w:rPr>
                      <w:rFonts w:hint="eastAsia" w:ascii="Times New Roman" w:hAnsi="Times New Roman" w:eastAsia="宋体" w:cs="Times New Roman"/>
                      <w:bCs/>
                      <w:color w:val="auto"/>
                      <w:sz w:val="22"/>
                      <w:szCs w:val="22"/>
                      <w:lang w:eastAsia="zh-CN"/>
                    </w:rPr>
                    <w:t>厂区生活污水依托</w:t>
                  </w:r>
                  <w:r>
                    <w:rPr>
                      <w:rFonts w:hint="eastAsia" w:ascii="Times New Roman" w:hAnsi="Times New Roman" w:eastAsia="宋体" w:cs="Times New Roman"/>
                      <w:bCs/>
                      <w:color w:val="auto"/>
                      <w:sz w:val="22"/>
                      <w:szCs w:val="22"/>
                      <w:lang w:val="en-US" w:eastAsia="zh-CN"/>
                    </w:rPr>
                    <w:t>现有生化池</w:t>
                  </w:r>
                  <w:r>
                    <w:rPr>
                      <w:rFonts w:hint="eastAsia" w:ascii="Times New Roman" w:hAnsi="Times New Roman" w:eastAsia="宋体" w:cs="Times New Roman"/>
                      <w:bCs/>
                      <w:color w:val="auto"/>
                      <w:sz w:val="22"/>
                      <w:szCs w:val="22"/>
                    </w:rPr>
                    <w:t>处理</w:t>
                  </w:r>
                  <w:r>
                    <w:rPr>
                      <w:rFonts w:hint="eastAsia" w:ascii="Times New Roman" w:hAnsi="Times New Roman" w:eastAsia="宋体" w:cs="Times New Roman"/>
                      <w:bCs/>
                      <w:color w:val="auto"/>
                      <w:sz w:val="22"/>
                      <w:szCs w:val="22"/>
                      <w:lang w:eastAsia="zh-CN"/>
                    </w:rPr>
                    <w:t>达标</w:t>
                  </w:r>
                  <w:r>
                    <w:rPr>
                      <w:rFonts w:hint="eastAsia" w:ascii="Times New Roman" w:hAnsi="Times New Roman" w:eastAsia="宋体" w:cs="Times New Roman"/>
                      <w:bCs/>
                      <w:color w:val="auto"/>
                      <w:sz w:val="22"/>
                      <w:szCs w:val="22"/>
                    </w:rPr>
                    <w:t>后进入</w:t>
                  </w:r>
                  <w:r>
                    <w:rPr>
                      <w:rFonts w:hint="eastAsia" w:ascii="Times New Roman" w:hAnsi="Times New Roman" w:eastAsia="宋体" w:cs="Times New Roman"/>
                      <w:bCs/>
                      <w:color w:val="auto"/>
                      <w:sz w:val="22"/>
                      <w:szCs w:val="22"/>
                      <w:lang w:eastAsia="zh-CN"/>
                    </w:rPr>
                    <w:t>市政</w:t>
                  </w:r>
                  <w:r>
                    <w:rPr>
                      <w:rFonts w:hint="eastAsia" w:ascii="Times New Roman" w:hAnsi="Times New Roman" w:eastAsia="宋体" w:cs="Times New Roman"/>
                      <w:bCs/>
                      <w:color w:val="auto"/>
                      <w:sz w:val="22"/>
                      <w:szCs w:val="22"/>
                    </w:rPr>
                    <w:t>污水管网</w:t>
                  </w:r>
                  <w:r>
                    <w:rPr>
                      <w:rFonts w:hint="eastAsia" w:ascii="Times New Roman" w:hAnsi="Times New Roman" w:eastAsia="宋体" w:cs="Times New Roman"/>
                      <w:bCs/>
                      <w:color w:val="auto"/>
                      <w:sz w:val="22"/>
                      <w:szCs w:val="22"/>
                      <w:lang w:eastAsia="zh-CN"/>
                    </w:rPr>
                    <w:t>，</w:t>
                  </w:r>
                  <w:r>
                    <w:rPr>
                      <w:rFonts w:hint="eastAsia" w:ascii="Times New Roman" w:hAnsi="Times New Roman" w:eastAsia="宋体" w:cs="Times New Roman"/>
                      <w:bCs/>
                      <w:color w:val="auto"/>
                      <w:sz w:val="22"/>
                      <w:szCs w:val="22"/>
                    </w:rPr>
                    <w:t>经</w:t>
                  </w:r>
                  <w:r>
                    <w:rPr>
                      <w:rFonts w:hint="eastAsia" w:ascii="Times New Roman" w:hAnsi="Times New Roman" w:eastAsia="宋体" w:cs="Times New Roman"/>
                      <w:bCs/>
                      <w:color w:val="auto"/>
                      <w:sz w:val="22"/>
                      <w:szCs w:val="22"/>
                      <w:lang w:eastAsia="zh-CN"/>
                    </w:rPr>
                    <w:t>西彭城镇污水处理厂</w:t>
                  </w:r>
                  <w:r>
                    <w:rPr>
                      <w:rFonts w:hint="eastAsia" w:ascii="Times New Roman" w:hAnsi="Times New Roman" w:eastAsia="宋体" w:cs="Times New Roman"/>
                      <w:bCs/>
                      <w:color w:val="auto"/>
                      <w:sz w:val="22"/>
                      <w:szCs w:val="22"/>
                    </w:rPr>
                    <w:t>处理后</w:t>
                  </w:r>
                  <w:r>
                    <w:rPr>
                      <w:rFonts w:hint="eastAsia" w:ascii="Times New Roman" w:hAnsi="Times New Roman" w:eastAsia="宋体" w:cs="Times New Roman"/>
                      <w:bCs/>
                      <w:color w:val="auto"/>
                      <w:sz w:val="22"/>
                      <w:szCs w:val="22"/>
                      <w:lang w:val="en-US" w:eastAsia="zh-CN"/>
                    </w:rPr>
                    <w:t>达标排放</w:t>
                  </w:r>
                </w:p>
              </w:tc>
              <w:tc>
                <w:tcPr>
                  <w:tcW w:w="685" w:type="dxa"/>
                  <w:tcBorders>
                    <w:tl2br w:val="nil"/>
                    <w:tr2bl w:val="nil"/>
                  </w:tcBorders>
                  <w:noWrap w:val="0"/>
                  <w:vAlign w:val="center"/>
                </w:tcPr>
                <w:p w14:paraId="279B6A32">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符合</w:t>
                  </w:r>
                </w:p>
              </w:tc>
            </w:tr>
            <w:tr w14:paraId="27F9D4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7CBEE09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6</w:t>
                  </w:r>
                </w:p>
              </w:tc>
              <w:tc>
                <w:tcPr>
                  <w:tcW w:w="4284" w:type="dxa"/>
                  <w:tcBorders>
                    <w:tl2br w:val="nil"/>
                    <w:tr2bl w:val="nil"/>
                  </w:tcBorders>
                  <w:noWrap w:val="0"/>
                  <w:vAlign w:val="center"/>
                </w:tcPr>
                <w:p w14:paraId="2F8C0279">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提升大气环境质量。</w:t>
                  </w:r>
                </w:p>
                <w:p w14:paraId="1FE1EB94">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以挥发性有机物治理和工业炉窑整治为重点深化工业废气污染控制。完成钢铁行业大气污染物超低排放改造。推进实施水泥行业产能等量或减量替代，推动工业炉窑深度治理和升级改造、垃圾焚烧发电厂氮氧化物深度治理。加强火电、水泥、砖瓦、陶瓷、建材加工等行业废气无组织排放监管。</w:t>
                  </w:r>
                </w:p>
              </w:tc>
              <w:tc>
                <w:tcPr>
                  <w:tcW w:w="2502" w:type="dxa"/>
                  <w:tcBorders>
                    <w:tl2br w:val="nil"/>
                    <w:tr2bl w:val="nil"/>
                  </w:tcBorders>
                  <w:noWrap w:val="0"/>
                  <w:vAlign w:val="center"/>
                </w:tcPr>
                <w:p w14:paraId="13043930">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kern w:val="0"/>
                      <w:sz w:val="22"/>
                      <w:szCs w:val="22"/>
                      <w:vertAlign w:val="baseline"/>
                      <w:lang w:val="en-US" w:eastAsia="zh-CN" w:bidi="ar-SA"/>
                    </w:rPr>
                  </w:pPr>
                  <w:r>
                    <w:rPr>
                      <w:rFonts w:hint="eastAsia" w:ascii="Times New Roman" w:hAnsi="Times New Roman" w:cs="Times New Roman"/>
                      <w:bCs/>
                      <w:color w:val="auto"/>
                      <w:sz w:val="22"/>
                      <w:szCs w:val="22"/>
                      <w:lang w:val="en-US" w:eastAsia="zh-CN"/>
                    </w:rPr>
                    <w:t>本项目不属于钢铁行业、水泥行业等，</w:t>
                  </w:r>
                  <w:r>
                    <w:rPr>
                      <w:rFonts w:hint="eastAsia" w:ascii="Times New Roman" w:hAnsi="Times New Roman" w:eastAsia="宋体" w:cs="Times New Roman"/>
                      <w:bCs/>
                      <w:color w:val="auto"/>
                      <w:sz w:val="22"/>
                      <w:szCs w:val="22"/>
                      <w:lang w:val="en-US" w:eastAsia="zh-CN"/>
                    </w:rPr>
                    <w:t>项目产生的熔炼废气</w:t>
                  </w:r>
                  <w:r>
                    <w:rPr>
                      <w:rFonts w:hint="eastAsia" w:ascii="Times New Roman" w:hAnsi="Times New Roman" w:eastAsia="宋体" w:cs="Times New Roman"/>
                      <w:bCs/>
                      <w:color w:val="auto"/>
                      <w:sz w:val="22"/>
                      <w:szCs w:val="22"/>
                    </w:rPr>
                    <w:t>经集气罩收集，</w:t>
                  </w:r>
                  <w:r>
                    <w:rPr>
                      <w:rFonts w:hint="eastAsia" w:ascii="Times New Roman" w:hAnsi="Times New Roman" w:eastAsia="宋体" w:cs="Times New Roman"/>
                      <w:bCs/>
                      <w:color w:val="auto"/>
                      <w:sz w:val="22"/>
                      <w:szCs w:val="22"/>
                      <w:lang w:val="en-US" w:eastAsia="zh-CN"/>
                    </w:rPr>
                    <w:t>经“旋风沉降+袋式除尘器”处理后经21m高排气</w:t>
                  </w:r>
                  <w:r>
                    <w:rPr>
                      <w:rFonts w:hint="eastAsia" w:ascii="Times New Roman" w:hAnsi="Times New Roman" w:eastAsia="宋体" w:cs="Times New Roman"/>
                      <w:bCs/>
                      <w:color w:val="auto"/>
                      <w:sz w:val="22"/>
                      <w:szCs w:val="22"/>
                    </w:rPr>
                    <w:t>筒排放</w:t>
                  </w:r>
                </w:p>
              </w:tc>
              <w:tc>
                <w:tcPr>
                  <w:tcW w:w="685" w:type="dxa"/>
                  <w:tcBorders>
                    <w:tl2br w:val="nil"/>
                    <w:tr2bl w:val="nil"/>
                  </w:tcBorders>
                  <w:noWrap w:val="0"/>
                  <w:vAlign w:val="center"/>
                </w:tcPr>
                <w:p w14:paraId="361CAC88">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符合</w:t>
                  </w:r>
                </w:p>
              </w:tc>
            </w:tr>
            <w:tr w14:paraId="2872A6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468A169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7</w:t>
                  </w:r>
                </w:p>
              </w:tc>
              <w:tc>
                <w:tcPr>
                  <w:tcW w:w="4284" w:type="dxa"/>
                  <w:tcBorders>
                    <w:tl2br w:val="nil"/>
                    <w:tr2bl w:val="nil"/>
                  </w:tcBorders>
                  <w:noWrap w:val="0"/>
                  <w:vAlign w:val="center"/>
                </w:tcPr>
                <w:p w14:paraId="25E0E169">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强化工业企业噪声监管。</w:t>
                  </w:r>
                </w:p>
                <w:p w14:paraId="401FBCD7">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关停、搬迁、治理城市建成区内的噪声污染严重企业，基本消除城区工业噪声扰民污染源。加强工业园区噪声污染防治，禁止在1类声环境功能区、严格限制在2类声环境功能区审批产生噪声污染的工业项目环评。严肃查处工业企业噪声排放超标扰民行为。</w:t>
                  </w:r>
                </w:p>
              </w:tc>
              <w:tc>
                <w:tcPr>
                  <w:tcW w:w="2502" w:type="dxa"/>
                  <w:tcBorders>
                    <w:tl2br w:val="nil"/>
                    <w:tr2bl w:val="nil"/>
                  </w:tcBorders>
                  <w:noWrap w:val="0"/>
                  <w:vAlign w:val="center"/>
                </w:tcPr>
                <w:p w14:paraId="45C207D8">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本项目位于3类声功能区，运营期采取噪声治理措施后，厂界噪声可以实现达标排放，用地周边不涉及声</w:t>
                  </w:r>
                  <w:r>
                    <w:rPr>
                      <w:rFonts w:hint="eastAsia" w:ascii="Times New Roman" w:hAnsi="Times New Roman" w:eastAsia="宋体" w:cs="Times New Roman"/>
                      <w:color w:val="auto"/>
                      <w:kern w:val="0"/>
                      <w:sz w:val="22"/>
                      <w:szCs w:val="22"/>
                      <w:vertAlign w:val="baseline"/>
                      <w:lang w:val="en-US" w:eastAsia="zh-CN"/>
                    </w:rPr>
                    <w:t>环境保护目标</w:t>
                  </w:r>
                </w:p>
              </w:tc>
              <w:tc>
                <w:tcPr>
                  <w:tcW w:w="685" w:type="dxa"/>
                  <w:tcBorders>
                    <w:tl2br w:val="nil"/>
                    <w:tr2bl w:val="nil"/>
                  </w:tcBorders>
                  <w:noWrap w:val="0"/>
                  <w:vAlign w:val="center"/>
                </w:tcPr>
                <w:p w14:paraId="5093C81B">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符合</w:t>
                  </w:r>
                </w:p>
              </w:tc>
            </w:tr>
            <w:tr w14:paraId="3A386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7E702D6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8</w:t>
                  </w:r>
                </w:p>
              </w:tc>
              <w:tc>
                <w:tcPr>
                  <w:tcW w:w="4284" w:type="dxa"/>
                  <w:tcBorders>
                    <w:tl2br w:val="nil"/>
                    <w:tr2bl w:val="nil"/>
                  </w:tcBorders>
                  <w:noWrap w:val="0"/>
                  <w:vAlign w:val="center"/>
                </w:tcPr>
                <w:p w14:paraId="50F02CFE">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加强环境风险评估。</w:t>
                  </w:r>
                </w:p>
                <w:p w14:paraId="0393CEF1">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强化环境风险事前防范，完善生态环境、应急、公安、交通、卫生健康等多部门对重大环境风险源的联合监管机制。</w:t>
                  </w:r>
                </w:p>
              </w:tc>
              <w:tc>
                <w:tcPr>
                  <w:tcW w:w="2502" w:type="dxa"/>
                  <w:tcBorders>
                    <w:tl2br w:val="nil"/>
                    <w:tr2bl w:val="nil"/>
                  </w:tcBorders>
                  <w:noWrap w:val="0"/>
                  <w:vAlign w:val="center"/>
                </w:tcPr>
                <w:p w14:paraId="74B261A2">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bCs/>
                      <w:color w:val="auto"/>
                      <w:sz w:val="22"/>
                      <w:szCs w:val="22"/>
                      <w:lang w:val="en-US" w:eastAsia="zh-CN"/>
                    </w:rPr>
                    <w:t>本项目涉及少量环境风险物质润滑油、液压油、柴油、切削液等，柴油、润滑油等辅料已进行了分类存放于油品库内，建设单位已建立了严格的风险防范措施</w:t>
                  </w:r>
                </w:p>
              </w:tc>
              <w:tc>
                <w:tcPr>
                  <w:tcW w:w="685" w:type="dxa"/>
                  <w:tcBorders>
                    <w:tl2br w:val="nil"/>
                    <w:tr2bl w:val="nil"/>
                  </w:tcBorders>
                  <w:noWrap w:val="0"/>
                  <w:vAlign w:val="center"/>
                </w:tcPr>
                <w:p w14:paraId="30071A45">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符合</w:t>
                  </w:r>
                </w:p>
              </w:tc>
            </w:tr>
            <w:tr w14:paraId="516EC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43565EF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eastAsia" w:ascii="Times New Roman" w:hAnsi="Times New Roman" w:eastAsia="宋体" w:cs="Times New Roman"/>
                      <w:color w:val="auto"/>
                      <w:kern w:val="0"/>
                      <w:sz w:val="22"/>
                      <w:szCs w:val="22"/>
                      <w:vertAlign w:val="baseline"/>
                      <w:lang w:val="en-US" w:eastAsia="zh-CN"/>
                    </w:rPr>
                    <w:t>9</w:t>
                  </w:r>
                </w:p>
              </w:tc>
              <w:tc>
                <w:tcPr>
                  <w:tcW w:w="4284" w:type="dxa"/>
                  <w:tcBorders>
                    <w:tl2br w:val="nil"/>
                    <w:tr2bl w:val="nil"/>
                  </w:tcBorders>
                  <w:noWrap w:val="0"/>
                  <w:vAlign w:val="center"/>
                </w:tcPr>
                <w:p w14:paraId="706B3EF9">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推进一般工业固废和生活垃圾减量化、无害化、资源化处置。</w:t>
                  </w:r>
                </w:p>
              </w:tc>
              <w:tc>
                <w:tcPr>
                  <w:tcW w:w="2502" w:type="dxa"/>
                  <w:tcBorders>
                    <w:tl2br w:val="nil"/>
                    <w:tr2bl w:val="nil"/>
                  </w:tcBorders>
                  <w:noWrap w:val="0"/>
                  <w:vAlign w:val="center"/>
                </w:tcPr>
                <w:p w14:paraId="7919D443">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本项目一般</w:t>
                  </w:r>
                  <w:r>
                    <w:rPr>
                      <w:rFonts w:hint="eastAsia" w:ascii="Times New Roman" w:hAnsi="Times New Roman" w:eastAsia="宋体" w:cs="Times New Roman"/>
                      <w:color w:val="auto"/>
                      <w:kern w:val="0"/>
                      <w:sz w:val="22"/>
                      <w:szCs w:val="22"/>
                      <w:vertAlign w:val="baseline"/>
                      <w:lang w:val="en-US" w:eastAsia="zh-CN"/>
                    </w:rPr>
                    <w:t>工业</w:t>
                  </w:r>
                  <w:r>
                    <w:rPr>
                      <w:rFonts w:hint="default" w:ascii="Times New Roman" w:hAnsi="Times New Roman" w:eastAsia="宋体" w:cs="Times New Roman"/>
                      <w:color w:val="auto"/>
                      <w:kern w:val="0"/>
                      <w:sz w:val="22"/>
                      <w:szCs w:val="22"/>
                      <w:vertAlign w:val="baseline"/>
                      <w:lang w:val="en-US" w:eastAsia="zh-CN"/>
                    </w:rPr>
                    <w:t>固体废物交</w:t>
                  </w:r>
                  <w:r>
                    <w:rPr>
                      <w:rFonts w:hint="eastAsia" w:ascii="Times New Roman" w:hAnsi="Times New Roman" w:eastAsia="宋体" w:cs="Times New Roman"/>
                      <w:color w:val="auto"/>
                      <w:kern w:val="0"/>
                      <w:sz w:val="22"/>
                      <w:szCs w:val="22"/>
                      <w:vertAlign w:val="baseline"/>
                      <w:lang w:val="en-US" w:eastAsia="zh-CN"/>
                    </w:rPr>
                    <w:t>物资</w:t>
                  </w:r>
                  <w:r>
                    <w:rPr>
                      <w:rFonts w:hint="default" w:ascii="Times New Roman" w:hAnsi="Times New Roman" w:eastAsia="宋体" w:cs="Times New Roman"/>
                      <w:color w:val="auto"/>
                      <w:kern w:val="0"/>
                      <w:sz w:val="22"/>
                      <w:szCs w:val="22"/>
                      <w:vertAlign w:val="baseline"/>
                      <w:lang w:val="en-US" w:eastAsia="zh-CN"/>
                    </w:rPr>
                    <w:t>回收单位</w:t>
                  </w:r>
                  <w:r>
                    <w:rPr>
                      <w:rFonts w:hint="eastAsia" w:ascii="Times New Roman" w:hAnsi="Times New Roman" w:eastAsia="宋体" w:cs="Times New Roman"/>
                      <w:color w:val="auto"/>
                      <w:kern w:val="0"/>
                      <w:sz w:val="22"/>
                      <w:szCs w:val="22"/>
                      <w:vertAlign w:val="baseline"/>
                      <w:lang w:val="en-US" w:eastAsia="zh-CN"/>
                    </w:rPr>
                    <w:t>处理</w:t>
                  </w:r>
                </w:p>
              </w:tc>
              <w:tc>
                <w:tcPr>
                  <w:tcW w:w="685" w:type="dxa"/>
                  <w:tcBorders>
                    <w:tl2br w:val="nil"/>
                    <w:tr2bl w:val="nil"/>
                  </w:tcBorders>
                  <w:noWrap w:val="0"/>
                  <w:vAlign w:val="center"/>
                </w:tcPr>
                <w:p w14:paraId="391FF101">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符合</w:t>
                  </w:r>
                </w:p>
              </w:tc>
            </w:tr>
          </w:tbl>
          <w:p w14:paraId="4D26E02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p>
          <w:p w14:paraId="71EA351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lang w:val="zh-CN" w:eastAsia="zh-CN"/>
              </w:rPr>
            </w:pPr>
            <w:r>
              <w:rPr>
                <w:rFonts w:hint="eastAsia" w:ascii="Times New Roman" w:hAnsi="Times New Roman" w:eastAsia="宋体" w:cs="Times New Roman"/>
                <w:color w:val="auto"/>
                <w:sz w:val="26"/>
                <w:szCs w:val="26"/>
                <w:lang w:val="en-US" w:eastAsia="zh-CN"/>
              </w:rPr>
              <w:t>综上分析</w:t>
            </w:r>
            <w:r>
              <w:rPr>
                <w:rFonts w:hint="default" w:ascii="Times New Roman" w:hAnsi="Times New Roman" w:eastAsia="宋体" w:cs="Times New Roman"/>
                <w:color w:val="auto"/>
                <w:sz w:val="26"/>
                <w:szCs w:val="26"/>
                <w:lang w:val="zh-CN" w:eastAsia="zh-CN"/>
              </w:rPr>
              <w:t>，</w:t>
            </w:r>
            <w:r>
              <w:rPr>
                <w:rFonts w:hint="eastAsia" w:ascii="Times New Roman" w:hAnsi="Times New Roman" w:eastAsia="宋体" w:cs="Times New Roman"/>
                <w:color w:val="auto"/>
                <w:sz w:val="26"/>
                <w:szCs w:val="26"/>
                <w:lang w:val="en-US" w:eastAsia="zh-CN"/>
              </w:rPr>
              <w:t>本</w:t>
            </w:r>
            <w:r>
              <w:rPr>
                <w:rFonts w:hint="default" w:ascii="Times New Roman" w:hAnsi="Times New Roman" w:eastAsia="宋体" w:cs="Times New Roman"/>
                <w:color w:val="auto"/>
                <w:sz w:val="26"/>
                <w:szCs w:val="26"/>
                <w:lang w:val="zh-CN" w:eastAsia="zh-CN"/>
              </w:rPr>
              <w:t>项目符合</w:t>
            </w:r>
            <w:r>
              <w:rPr>
                <w:rFonts w:hint="eastAsia" w:ascii="Times New Roman" w:hAnsi="Times New Roman" w:eastAsia="宋体" w:cs="Times New Roman"/>
                <w:color w:val="auto"/>
                <w:sz w:val="26"/>
                <w:szCs w:val="26"/>
                <w:lang w:val="en-US" w:eastAsia="zh-CN"/>
              </w:rPr>
              <w:t>《重庆市生态环境保护“十四五”规划》（2021-2025年）</w:t>
            </w:r>
            <w:r>
              <w:rPr>
                <w:rFonts w:hint="default" w:ascii="Times New Roman" w:hAnsi="Times New Roman" w:eastAsia="宋体" w:cs="Times New Roman"/>
                <w:color w:val="auto"/>
                <w:sz w:val="26"/>
                <w:szCs w:val="26"/>
                <w:lang w:val="zh-CN" w:eastAsia="zh-CN"/>
              </w:rPr>
              <w:t>的有关要求。</w:t>
            </w:r>
          </w:p>
          <w:p w14:paraId="7D2863C4">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Times New Roman" w:hAnsi="Times New Roman" w:cs="Times New Roman"/>
                <w:color w:val="auto"/>
                <w:sz w:val="26"/>
                <w:szCs w:val="26"/>
                <w:highlight w:val="none"/>
                <w:lang w:val="en-US" w:eastAsia="zh-CN"/>
              </w:rPr>
            </w:pPr>
            <w:r>
              <w:rPr>
                <w:rFonts w:hint="eastAsia" w:ascii="Times New Roman" w:hAnsi="Times New Roman" w:eastAsia="宋体" w:cs="Times New Roman"/>
                <w:b/>
                <w:bCs/>
                <w:color w:val="auto"/>
                <w:kern w:val="0"/>
                <w:sz w:val="26"/>
                <w:szCs w:val="26"/>
                <w:lang w:val="en-US" w:eastAsia="zh-CN"/>
              </w:rPr>
              <w:t>1.4.5与《挥发性有机物无组织排放控制标准》的符合性分析</w:t>
            </w:r>
            <w:r>
              <w:rPr>
                <w:rFonts w:hint="eastAsia" w:ascii="Times New Roman" w:hAnsi="Times New Roman" w:cs="Times New Roman"/>
                <w:color w:val="auto"/>
                <w:sz w:val="26"/>
                <w:szCs w:val="26"/>
                <w:highlight w:val="none"/>
                <w:lang w:val="en-US" w:eastAsia="zh-CN"/>
              </w:rPr>
              <w:t xml:space="preserve"> </w:t>
            </w:r>
          </w:p>
          <w:p w14:paraId="797BDEA6">
            <w:pPr>
              <w:keepNext w:val="0"/>
              <w:keepLines w:val="0"/>
              <w:pageBreakBefore w:val="0"/>
              <w:widowControl/>
              <w:kinsoku/>
              <w:wordWrap/>
              <w:overflowPunct/>
              <w:topLinePunct w:val="0"/>
              <w:bidi w:val="0"/>
              <w:spacing w:line="460" w:lineRule="exact"/>
              <w:ind w:firstLine="520" w:firstLineChars="200"/>
              <w:jc w:val="left"/>
              <w:textAlignment w:val="auto"/>
              <w:rPr>
                <w:rFonts w:hint="eastAsia" w:ascii="Times New Roman" w:hAnsi="Times New Roman" w:eastAsia="宋体" w:cs="Times New Roman"/>
                <w:color w:val="auto"/>
                <w:sz w:val="26"/>
                <w:szCs w:val="26"/>
                <w:lang w:val="en-US" w:eastAsia="zh-CN"/>
              </w:rPr>
            </w:pPr>
            <w:r>
              <w:rPr>
                <w:rFonts w:hint="eastAsia" w:ascii="Times New Roman" w:cs="Times New Roman"/>
                <w:color w:val="auto"/>
                <w:sz w:val="26"/>
                <w:szCs w:val="26"/>
                <w:highlight w:val="none"/>
                <w:lang w:val="en-US" w:eastAsia="zh-CN"/>
              </w:rPr>
              <w:t>由于本</w:t>
            </w:r>
            <w:r>
              <w:rPr>
                <w:rFonts w:hint="eastAsia" w:ascii="Times New Roman" w:hAnsi="Times New Roman" w:eastAsia="宋体" w:cs="Times New Roman"/>
                <w:color w:val="auto"/>
                <w:sz w:val="26"/>
                <w:szCs w:val="26"/>
                <w:highlight w:val="none"/>
                <w:lang w:val="en-US" w:eastAsia="zh-CN"/>
              </w:rPr>
              <w:t>项目主要原辅料不含VOCs，仅剥皮锯切工序中使用切削液，切削液循环使用产生，在使用期间产生极少量VOCs。针对极少量VOCs产生，本项目采取加强厂区通风措施，与《挥发性有机物无组织排放控制标准》（</w:t>
            </w:r>
            <w:r>
              <w:rPr>
                <w:rFonts w:hint="default" w:ascii="Times New Roman" w:hAnsi="Times New Roman" w:eastAsia="宋体" w:cs="Times New Roman"/>
                <w:color w:val="auto"/>
                <w:sz w:val="26"/>
                <w:szCs w:val="26"/>
                <w:highlight w:val="none"/>
                <w:lang w:val="en-US" w:eastAsia="zh-CN"/>
              </w:rPr>
              <w:t>GB 37822</w:t>
            </w:r>
            <w:r>
              <w:rPr>
                <w:rFonts w:hint="eastAsia" w:ascii="Times New Roman" w:hAnsi="Times New Roman" w:eastAsia="宋体" w:cs="Times New Roman"/>
                <w:color w:val="auto"/>
                <w:sz w:val="26"/>
                <w:szCs w:val="26"/>
                <w:highlight w:val="none"/>
                <w:lang w:val="en-US" w:eastAsia="zh-CN"/>
              </w:rPr>
              <w:t>-</w:t>
            </w:r>
            <w:r>
              <w:rPr>
                <w:rFonts w:hint="default" w:ascii="Times New Roman" w:hAnsi="Times New Roman" w:eastAsia="宋体" w:cs="Times New Roman"/>
                <w:color w:val="auto"/>
                <w:sz w:val="26"/>
                <w:szCs w:val="26"/>
                <w:highlight w:val="none"/>
                <w:lang w:val="en-US" w:eastAsia="zh-CN"/>
              </w:rPr>
              <w:t>2019</w:t>
            </w:r>
            <w:r>
              <w:rPr>
                <w:rFonts w:hint="eastAsia" w:ascii="Times New Roman" w:hAnsi="Times New Roman" w:eastAsia="宋体" w:cs="Times New Roman"/>
                <w:color w:val="auto"/>
                <w:sz w:val="26"/>
                <w:szCs w:val="26"/>
                <w:highlight w:val="none"/>
                <w:lang w:val="en-US" w:eastAsia="zh-CN"/>
              </w:rPr>
              <w:t>）</w:t>
            </w:r>
            <w:r>
              <w:rPr>
                <w:rFonts w:hint="eastAsia" w:ascii="Times New Roman" w:hAnsi="Times New Roman" w:cs="Times New Roman"/>
                <w:color w:val="auto"/>
                <w:sz w:val="26"/>
                <w:szCs w:val="26"/>
                <w:highlight w:val="none"/>
                <w:lang w:val="en-US" w:eastAsia="zh-CN"/>
              </w:rPr>
              <w:t>的符合性主要针对管控要求进行分析，详见以下几点：</w:t>
            </w:r>
            <w:r>
              <w:rPr>
                <w:rFonts w:hint="eastAsia" w:ascii="Times New Roman" w:hAnsi="Times New Roman" w:eastAsia="宋体" w:cs="Times New Roman"/>
                <w:color w:val="auto"/>
                <w:sz w:val="26"/>
                <w:szCs w:val="26"/>
                <w:lang w:val="en-US" w:eastAsia="zh-CN"/>
              </w:rPr>
              <w:t xml:space="preserve"> </w:t>
            </w:r>
          </w:p>
          <w:p w14:paraId="47012180">
            <w:pPr>
              <w:keepNext w:val="0"/>
              <w:keepLines w:val="0"/>
              <w:pageBreakBefore w:val="0"/>
              <w:widowControl/>
              <w:kinsoku/>
              <w:wordWrap/>
              <w:overflowPunct/>
              <w:topLinePunct w:val="0"/>
              <w:bidi w:val="0"/>
              <w:spacing w:line="460" w:lineRule="exact"/>
              <w:ind w:firstLine="520" w:firstLineChars="200"/>
              <w:jc w:val="left"/>
              <w:textAlignment w:val="auto"/>
              <w:rPr>
                <w:rFonts w:hint="eastAsia"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 xml:space="preserve">①5.1.1 </w:t>
            </w:r>
            <w:r>
              <w:rPr>
                <w:rFonts w:hint="default" w:ascii="Times New Roman" w:hAnsi="Times New Roman" w:eastAsia="宋体" w:cs="Times New Roman"/>
                <w:color w:val="auto"/>
                <w:sz w:val="26"/>
                <w:szCs w:val="26"/>
                <w:highlight w:val="none"/>
                <w:lang w:val="en-US" w:eastAsia="zh-CN"/>
              </w:rPr>
              <w:t>VOCs</w:t>
            </w:r>
            <w:r>
              <w:rPr>
                <w:rFonts w:hint="eastAsia" w:ascii="Times New Roman" w:hAnsi="Times New Roman" w:eastAsia="宋体" w:cs="Times New Roman"/>
                <w:color w:val="auto"/>
                <w:sz w:val="26"/>
                <w:szCs w:val="26"/>
                <w:highlight w:val="none"/>
                <w:lang w:val="en-US" w:eastAsia="zh-CN"/>
              </w:rPr>
              <w:t xml:space="preserve">物料应储存于密闭的容器、包装袋、储罐、储库、料仓中。 </w:t>
            </w:r>
          </w:p>
          <w:p w14:paraId="72E63C64">
            <w:pPr>
              <w:keepNext w:val="0"/>
              <w:keepLines w:val="0"/>
              <w:pageBreakBefore w:val="0"/>
              <w:widowControl/>
              <w:kinsoku/>
              <w:wordWrap/>
              <w:overflowPunct/>
              <w:topLinePunct w:val="0"/>
              <w:bidi w:val="0"/>
              <w:spacing w:line="460" w:lineRule="exact"/>
              <w:ind w:firstLine="520" w:firstLineChars="200"/>
              <w:jc w:val="left"/>
              <w:textAlignment w:val="auto"/>
              <w:rPr>
                <w:rFonts w:hint="eastAsia"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szCs w:val="26"/>
                <w:highlight w:val="none"/>
                <w:lang w:val="en-US" w:eastAsia="zh-CN"/>
              </w:rPr>
              <w:t>5.1.2</w:t>
            </w:r>
            <w:r>
              <w:rPr>
                <w:rFonts w:hint="eastAsia" w:ascii="Times New Roman" w:hAnsi="Times New Roman" w:eastAsia="宋体" w:cs="Times New Roman"/>
                <w:color w:val="auto"/>
                <w:sz w:val="26"/>
                <w:szCs w:val="26"/>
                <w:highlight w:val="none"/>
                <w:lang w:val="en-US" w:eastAsia="zh-CN"/>
              </w:rPr>
              <w:t>盛装</w:t>
            </w:r>
            <w:r>
              <w:rPr>
                <w:rFonts w:hint="default" w:ascii="Times New Roman" w:hAnsi="Times New Roman" w:eastAsia="宋体" w:cs="Times New Roman"/>
                <w:color w:val="auto"/>
                <w:sz w:val="26"/>
                <w:szCs w:val="26"/>
                <w:highlight w:val="none"/>
                <w:lang w:val="en-US" w:eastAsia="zh-CN"/>
              </w:rPr>
              <w:t>VOCs</w:t>
            </w:r>
            <w:r>
              <w:rPr>
                <w:rFonts w:hint="eastAsia" w:ascii="Times New Roman" w:hAnsi="Times New Roman" w:eastAsia="宋体" w:cs="Times New Roman"/>
                <w:color w:val="auto"/>
                <w:sz w:val="26"/>
                <w:szCs w:val="26"/>
                <w:highlight w:val="none"/>
                <w:lang w:val="en-US" w:eastAsia="zh-CN"/>
              </w:rPr>
              <w:t>物料的容器或包装袋应存放于室内，或存放于设置有雨棚、遮阳和防渗设施的专用场地。盛装</w:t>
            </w:r>
            <w:r>
              <w:rPr>
                <w:rFonts w:hint="default" w:ascii="Times New Roman" w:hAnsi="Times New Roman" w:eastAsia="宋体" w:cs="Times New Roman"/>
                <w:color w:val="auto"/>
                <w:sz w:val="26"/>
                <w:szCs w:val="26"/>
                <w:highlight w:val="none"/>
                <w:lang w:val="en-US" w:eastAsia="zh-CN"/>
              </w:rPr>
              <w:t>VOCs</w:t>
            </w:r>
            <w:r>
              <w:rPr>
                <w:rFonts w:hint="eastAsia" w:ascii="Times New Roman" w:hAnsi="Times New Roman" w:eastAsia="宋体" w:cs="Times New Roman"/>
                <w:color w:val="auto"/>
                <w:sz w:val="26"/>
                <w:szCs w:val="26"/>
                <w:highlight w:val="none"/>
                <w:lang w:val="en-US" w:eastAsia="zh-CN"/>
              </w:rPr>
              <w:t xml:space="preserve">物料的容器或包装袋在非取用状态时应加盖、封口，保持密闭。 </w:t>
            </w:r>
          </w:p>
          <w:p w14:paraId="1458054C">
            <w:pPr>
              <w:keepNext w:val="0"/>
              <w:keepLines w:val="0"/>
              <w:pageBreakBefore w:val="0"/>
              <w:widowControl/>
              <w:kinsoku/>
              <w:wordWrap/>
              <w:overflowPunct/>
              <w:topLinePunct w:val="0"/>
              <w:bidi w:val="0"/>
              <w:spacing w:line="460" w:lineRule="exact"/>
              <w:ind w:firstLine="520" w:firstLineChars="200"/>
              <w:jc w:val="left"/>
              <w:textAlignment w:val="auto"/>
              <w:rPr>
                <w:rFonts w:hint="eastAsia"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szCs w:val="26"/>
                <w:highlight w:val="none"/>
                <w:lang w:val="en-US" w:eastAsia="zh-CN"/>
              </w:rPr>
              <w:t>5.1.3 VOCs</w:t>
            </w:r>
            <w:r>
              <w:rPr>
                <w:rFonts w:hint="eastAsia" w:ascii="Times New Roman" w:hAnsi="Times New Roman" w:eastAsia="宋体" w:cs="Times New Roman"/>
                <w:color w:val="auto"/>
                <w:sz w:val="26"/>
                <w:szCs w:val="26"/>
                <w:highlight w:val="none"/>
                <w:lang w:val="en-US" w:eastAsia="zh-CN"/>
              </w:rPr>
              <w:t xml:space="preserve">物料储罐应密封良好，其中挥发性有机液体储罐应符合 </w:t>
            </w:r>
            <w:r>
              <w:rPr>
                <w:rFonts w:hint="default" w:ascii="Times New Roman" w:hAnsi="Times New Roman" w:eastAsia="宋体" w:cs="Times New Roman"/>
                <w:color w:val="auto"/>
                <w:sz w:val="26"/>
                <w:szCs w:val="26"/>
                <w:highlight w:val="none"/>
                <w:lang w:val="en-US" w:eastAsia="zh-CN"/>
              </w:rPr>
              <w:t>5.2</w:t>
            </w:r>
            <w:r>
              <w:rPr>
                <w:rFonts w:hint="eastAsia" w:ascii="Times New Roman" w:hAnsi="Times New Roman" w:eastAsia="宋体" w:cs="Times New Roman"/>
                <w:color w:val="auto"/>
                <w:sz w:val="26"/>
                <w:szCs w:val="26"/>
                <w:highlight w:val="none"/>
                <w:lang w:val="en-US" w:eastAsia="zh-CN"/>
              </w:rPr>
              <w:t xml:space="preserve">条规定。 </w:t>
            </w:r>
          </w:p>
          <w:p w14:paraId="11A4E644">
            <w:pPr>
              <w:keepNext w:val="0"/>
              <w:keepLines w:val="0"/>
              <w:pageBreakBefore w:val="0"/>
              <w:widowControl/>
              <w:kinsoku/>
              <w:wordWrap/>
              <w:overflowPunct/>
              <w:topLinePunct w:val="0"/>
              <w:bidi w:val="0"/>
              <w:spacing w:line="460" w:lineRule="exact"/>
              <w:ind w:firstLine="520" w:firstLineChars="200"/>
              <w:jc w:val="left"/>
              <w:textAlignment w:val="auto"/>
              <w:rPr>
                <w:rFonts w:hint="eastAsia"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szCs w:val="26"/>
                <w:highlight w:val="none"/>
                <w:lang w:val="en-US" w:eastAsia="zh-CN"/>
              </w:rPr>
              <w:t>5.1.4 VOCs</w:t>
            </w:r>
            <w:r>
              <w:rPr>
                <w:rFonts w:hint="eastAsia" w:ascii="Times New Roman" w:hAnsi="Times New Roman" w:eastAsia="宋体" w:cs="Times New Roman"/>
                <w:color w:val="auto"/>
                <w:sz w:val="26"/>
                <w:szCs w:val="26"/>
                <w:highlight w:val="none"/>
                <w:lang w:val="en-US" w:eastAsia="zh-CN"/>
              </w:rPr>
              <w:t>物料储库、料仓应满足</w:t>
            </w:r>
            <w:r>
              <w:rPr>
                <w:rFonts w:hint="default" w:ascii="Times New Roman" w:hAnsi="Times New Roman" w:eastAsia="宋体" w:cs="Times New Roman"/>
                <w:color w:val="auto"/>
                <w:sz w:val="26"/>
                <w:szCs w:val="26"/>
                <w:highlight w:val="none"/>
                <w:lang w:val="en-US" w:eastAsia="zh-CN"/>
              </w:rPr>
              <w:t>3.6</w:t>
            </w:r>
            <w:r>
              <w:rPr>
                <w:rFonts w:hint="eastAsia" w:ascii="Times New Roman" w:hAnsi="Times New Roman" w:eastAsia="宋体" w:cs="Times New Roman"/>
                <w:color w:val="auto"/>
                <w:sz w:val="26"/>
                <w:szCs w:val="26"/>
                <w:highlight w:val="none"/>
                <w:lang w:val="en-US" w:eastAsia="zh-CN"/>
              </w:rPr>
              <w:t xml:space="preserve">条对密闭空间的要求。  </w:t>
            </w:r>
          </w:p>
          <w:p w14:paraId="5C4BA0D9">
            <w:pPr>
              <w:keepNext w:val="0"/>
              <w:keepLines w:val="0"/>
              <w:pageBreakBefore w:val="0"/>
              <w:widowControl/>
              <w:kinsoku/>
              <w:wordWrap/>
              <w:overflowPunct/>
              <w:topLinePunct w:val="0"/>
              <w:bidi w:val="0"/>
              <w:spacing w:line="460" w:lineRule="exact"/>
              <w:ind w:firstLine="520" w:firstLineChars="200"/>
              <w:jc w:val="left"/>
              <w:textAlignment w:val="auto"/>
              <w:rPr>
                <w:rFonts w:hint="eastAsia"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②6.1.1液态</w:t>
            </w:r>
            <w:r>
              <w:rPr>
                <w:rFonts w:hint="default" w:ascii="Times New Roman" w:hAnsi="Times New Roman" w:eastAsia="宋体" w:cs="Times New Roman"/>
                <w:color w:val="auto"/>
                <w:sz w:val="26"/>
                <w:szCs w:val="26"/>
                <w:highlight w:val="none"/>
                <w:lang w:val="en-US" w:eastAsia="zh-CN"/>
              </w:rPr>
              <w:t>VOCs</w:t>
            </w:r>
            <w:r>
              <w:rPr>
                <w:rFonts w:hint="eastAsia" w:ascii="Times New Roman" w:hAnsi="Times New Roman" w:eastAsia="宋体" w:cs="Times New Roman"/>
                <w:color w:val="auto"/>
                <w:sz w:val="26"/>
                <w:szCs w:val="26"/>
                <w:highlight w:val="none"/>
                <w:lang w:val="en-US" w:eastAsia="zh-CN"/>
              </w:rPr>
              <w:t>物料应采用密闭管道输送。采用非管道输送方式转移液态</w:t>
            </w:r>
            <w:r>
              <w:rPr>
                <w:rFonts w:hint="default" w:ascii="Times New Roman" w:hAnsi="Times New Roman" w:eastAsia="宋体" w:cs="Times New Roman"/>
                <w:color w:val="auto"/>
                <w:sz w:val="26"/>
                <w:szCs w:val="26"/>
                <w:highlight w:val="none"/>
                <w:lang w:val="en-US" w:eastAsia="zh-CN"/>
              </w:rPr>
              <w:t>VOCs</w:t>
            </w:r>
            <w:r>
              <w:rPr>
                <w:rFonts w:hint="eastAsia" w:ascii="Times New Roman" w:hAnsi="Times New Roman" w:eastAsia="宋体" w:cs="Times New Roman"/>
                <w:color w:val="auto"/>
                <w:sz w:val="26"/>
                <w:szCs w:val="26"/>
                <w:highlight w:val="none"/>
                <w:lang w:val="en-US" w:eastAsia="zh-CN"/>
              </w:rPr>
              <w:t>物料时，应采用密闭容器、罐车。</w:t>
            </w:r>
          </w:p>
          <w:p w14:paraId="6B9F2E3E">
            <w:pPr>
              <w:keepNext w:val="0"/>
              <w:keepLines w:val="0"/>
              <w:pageBreakBefore w:val="0"/>
              <w:widowControl/>
              <w:kinsoku/>
              <w:wordWrap/>
              <w:overflowPunct/>
              <w:topLinePunct w:val="0"/>
              <w:bidi w:val="0"/>
              <w:spacing w:line="460" w:lineRule="exact"/>
              <w:ind w:firstLine="520" w:firstLineChars="200"/>
              <w:jc w:val="left"/>
              <w:textAlignment w:val="auto"/>
              <w:rPr>
                <w:rFonts w:hint="eastAsia"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③7.3.1企业应建立台账，记录含</w:t>
            </w:r>
            <w:r>
              <w:rPr>
                <w:rFonts w:hint="default" w:ascii="Times New Roman" w:hAnsi="Times New Roman" w:eastAsia="宋体" w:cs="Times New Roman"/>
                <w:color w:val="auto"/>
                <w:sz w:val="26"/>
                <w:szCs w:val="26"/>
                <w:highlight w:val="none"/>
                <w:lang w:val="en-US" w:eastAsia="zh-CN"/>
              </w:rPr>
              <w:t>VOCs</w:t>
            </w:r>
            <w:r>
              <w:rPr>
                <w:rFonts w:hint="eastAsia" w:ascii="Times New Roman" w:hAnsi="Times New Roman" w:eastAsia="宋体" w:cs="Times New Roman"/>
                <w:color w:val="auto"/>
                <w:sz w:val="26"/>
                <w:szCs w:val="26"/>
                <w:highlight w:val="none"/>
                <w:lang w:val="en-US" w:eastAsia="zh-CN"/>
              </w:rPr>
              <w:t>原辅材料和含</w:t>
            </w:r>
            <w:r>
              <w:rPr>
                <w:rFonts w:hint="default" w:ascii="Times New Roman" w:hAnsi="Times New Roman" w:eastAsia="宋体" w:cs="Times New Roman"/>
                <w:color w:val="auto"/>
                <w:sz w:val="26"/>
                <w:szCs w:val="26"/>
                <w:highlight w:val="none"/>
                <w:lang w:val="en-US" w:eastAsia="zh-CN"/>
              </w:rPr>
              <w:t>VOCs</w:t>
            </w:r>
            <w:r>
              <w:rPr>
                <w:rFonts w:hint="eastAsia" w:ascii="Times New Roman" w:hAnsi="Times New Roman" w:eastAsia="宋体" w:cs="Times New Roman"/>
                <w:color w:val="auto"/>
                <w:sz w:val="26"/>
                <w:szCs w:val="26"/>
                <w:highlight w:val="none"/>
                <w:lang w:val="en-US" w:eastAsia="zh-CN"/>
              </w:rPr>
              <w:t>产品的名称、使用量、回收量、废弃量、去向以及</w:t>
            </w:r>
            <w:r>
              <w:rPr>
                <w:rFonts w:hint="default" w:ascii="Times New Roman" w:hAnsi="Times New Roman" w:eastAsia="宋体" w:cs="Times New Roman"/>
                <w:color w:val="auto"/>
                <w:sz w:val="26"/>
                <w:szCs w:val="26"/>
                <w:highlight w:val="none"/>
                <w:lang w:val="en-US" w:eastAsia="zh-CN"/>
              </w:rPr>
              <w:t>VOCs</w:t>
            </w:r>
            <w:r>
              <w:rPr>
                <w:rFonts w:hint="eastAsia" w:ascii="Times New Roman" w:hAnsi="Times New Roman" w:eastAsia="宋体" w:cs="Times New Roman"/>
                <w:color w:val="auto"/>
                <w:sz w:val="26"/>
                <w:szCs w:val="26"/>
                <w:highlight w:val="none"/>
                <w:lang w:val="en-US" w:eastAsia="zh-CN"/>
              </w:rPr>
              <w:t>含量等信息。台账保存期限不少于</w:t>
            </w:r>
            <w:r>
              <w:rPr>
                <w:rFonts w:hint="default" w:ascii="Times New Roman" w:hAnsi="Times New Roman" w:eastAsia="宋体" w:cs="Times New Roman"/>
                <w:color w:val="auto"/>
                <w:sz w:val="26"/>
                <w:szCs w:val="26"/>
                <w:highlight w:val="none"/>
                <w:lang w:val="en-US" w:eastAsia="zh-CN"/>
              </w:rPr>
              <w:t>3</w:t>
            </w:r>
            <w:r>
              <w:rPr>
                <w:rFonts w:hint="eastAsia" w:ascii="Times New Roman" w:hAnsi="Times New Roman" w:eastAsia="宋体" w:cs="Times New Roman"/>
                <w:color w:val="auto"/>
                <w:sz w:val="26"/>
                <w:szCs w:val="26"/>
                <w:highlight w:val="none"/>
                <w:lang w:val="en-US" w:eastAsia="zh-CN"/>
              </w:rPr>
              <w:t xml:space="preserve">年。 </w:t>
            </w:r>
          </w:p>
          <w:p w14:paraId="32573530">
            <w:pPr>
              <w:keepNext w:val="0"/>
              <w:keepLines w:val="0"/>
              <w:pageBreakBefore w:val="0"/>
              <w:widowControl/>
              <w:kinsoku/>
              <w:wordWrap/>
              <w:overflowPunct/>
              <w:topLinePunct w:val="0"/>
              <w:bidi w:val="0"/>
              <w:spacing w:line="460" w:lineRule="exact"/>
              <w:ind w:firstLine="520" w:firstLineChars="200"/>
              <w:jc w:val="left"/>
              <w:textAlignment w:val="auto"/>
              <w:rPr>
                <w:rFonts w:hint="eastAsia"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szCs w:val="26"/>
                <w:highlight w:val="none"/>
                <w:lang w:val="en-US" w:eastAsia="zh-CN"/>
              </w:rPr>
              <w:t>7.3.2</w:t>
            </w:r>
            <w:r>
              <w:rPr>
                <w:rFonts w:hint="eastAsia" w:ascii="Times New Roman" w:hAnsi="Times New Roman" w:eastAsia="宋体" w:cs="Times New Roman"/>
                <w:color w:val="auto"/>
                <w:sz w:val="26"/>
                <w:szCs w:val="26"/>
                <w:highlight w:val="none"/>
                <w:lang w:val="en-US" w:eastAsia="zh-CN"/>
              </w:rPr>
              <w:t xml:space="preserve">通风生产设备、操作工位、车间厂房等应在符合安全生产、职业卫生相关规定的前提下，根据行业作业规程与标准、工业建筑及洁净厂房通风设计规范等的要求，采用合理的通风量。 </w:t>
            </w:r>
          </w:p>
          <w:p w14:paraId="5AFD23EA">
            <w:pPr>
              <w:keepNext w:val="0"/>
              <w:keepLines w:val="0"/>
              <w:pageBreakBefore w:val="0"/>
              <w:widowControl/>
              <w:kinsoku/>
              <w:wordWrap/>
              <w:overflowPunct/>
              <w:topLinePunct w:val="0"/>
              <w:bidi w:val="0"/>
              <w:spacing w:line="460" w:lineRule="exact"/>
              <w:ind w:firstLine="520" w:firstLineChars="200"/>
              <w:jc w:val="both"/>
              <w:textAlignment w:val="auto"/>
              <w:rPr>
                <w:rFonts w:hint="eastAsia"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szCs w:val="26"/>
                <w:highlight w:val="none"/>
                <w:lang w:val="en-US" w:eastAsia="zh-CN"/>
              </w:rPr>
              <w:t>7.3.3</w:t>
            </w:r>
            <w:r>
              <w:rPr>
                <w:rFonts w:hint="eastAsia" w:ascii="Times New Roman" w:hAnsi="Times New Roman" w:eastAsia="宋体" w:cs="Times New Roman"/>
                <w:color w:val="auto"/>
                <w:sz w:val="26"/>
                <w:szCs w:val="26"/>
                <w:highlight w:val="none"/>
                <w:lang w:val="en-US" w:eastAsia="zh-CN"/>
              </w:rPr>
              <w:t>载有</w:t>
            </w:r>
            <w:r>
              <w:rPr>
                <w:rFonts w:hint="default" w:ascii="Times New Roman" w:hAnsi="Times New Roman" w:eastAsia="宋体" w:cs="Times New Roman"/>
                <w:color w:val="auto"/>
                <w:sz w:val="26"/>
                <w:szCs w:val="26"/>
                <w:highlight w:val="none"/>
                <w:lang w:val="en-US" w:eastAsia="zh-CN"/>
              </w:rPr>
              <w:t>VOCs</w:t>
            </w:r>
            <w:r>
              <w:rPr>
                <w:rFonts w:hint="eastAsia" w:ascii="Times New Roman" w:hAnsi="Times New Roman" w:eastAsia="宋体" w:cs="Times New Roman"/>
                <w:color w:val="auto"/>
                <w:sz w:val="26"/>
                <w:szCs w:val="26"/>
                <w:highlight w:val="none"/>
                <w:lang w:val="en-US" w:eastAsia="zh-CN"/>
              </w:rPr>
              <w:t>物料的设备及其管道在开停工（车）、检维修和清洗时，应在退料阶段将残存物料退净，并用密闭容器盛装，退料过程废气应排至</w:t>
            </w:r>
            <w:r>
              <w:rPr>
                <w:rFonts w:hint="default" w:ascii="Times New Roman" w:hAnsi="Times New Roman" w:eastAsia="宋体" w:cs="Times New Roman"/>
                <w:color w:val="auto"/>
                <w:sz w:val="26"/>
                <w:szCs w:val="26"/>
                <w:highlight w:val="none"/>
                <w:lang w:val="en-US" w:eastAsia="zh-CN"/>
              </w:rPr>
              <w:t>VOCs</w:t>
            </w:r>
            <w:r>
              <w:rPr>
                <w:rFonts w:hint="eastAsia" w:ascii="Times New Roman" w:hAnsi="Times New Roman" w:eastAsia="宋体" w:cs="Times New Roman"/>
                <w:color w:val="auto"/>
                <w:sz w:val="26"/>
                <w:szCs w:val="26"/>
                <w:highlight w:val="none"/>
                <w:lang w:val="en-US" w:eastAsia="zh-CN"/>
              </w:rPr>
              <w:t>废气收集处理系统；清洗及吹扫过程排气应排至</w:t>
            </w:r>
            <w:r>
              <w:rPr>
                <w:rFonts w:hint="default" w:ascii="Times New Roman" w:hAnsi="Times New Roman" w:eastAsia="宋体" w:cs="Times New Roman"/>
                <w:color w:val="auto"/>
                <w:sz w:val="26"/>
                <w:szCs w:val="26"/>
                <w:highlight w:val="none"/>
                <w:lang w:val="en-US" w:eastAsia="zh-CN"/>
              </w:rPr>
              <w:t>VOCs</w:t>
            </w:r>
            <w:r>
              <w:rPr>
                <w:rFonts w:hint="eastAsia" w:ascii="Times New Roman" w:hAnsi="Times New Roman" w:eastAsia="宋体" w:cs="Times New Roman"/>
                <w:color w:val="auto"/>
                <w:sz w:val="26"/>
                <w:szCs w:val="26"/>
                <w:highlight w:val="none"/>
                <w:lang w:val="en-US" w:eastAsia="zh-CN"/>
              </w:rPr>
              <w:t xml:space="preserve">废气收集处理系统。 </w:t>
            </w:r>
          </w:p>
          <w:p w14:paraId="593EB235">
            <w:pPr>
              <w:keepNext w:val="0"/>
              <w:keepLines w:val="0"/>
              <w:pageBreakBefore w:val="0"/>
              <w:widowControl/>
              <w:kinsoku/>
              <w:wordWrap/>
              <w:overflowPunct/>
              <w:topLinePunct w:val="0"/>
              <w:bidi w:val="0"/>
              <w:spacing w:line="460" w:lineRule="exact"/>
              <w:ind w:firstLine="520" w:firstLineChars="200"/>
              <w:jc w:val="left"/>
              <w:textAlignment w:val="auto"/>
              <w:rPr>
                <w:rFonts w:hint="eastAsia"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szCs w:val="26"/>
                <w:highlight w:val="none"/>
                <w:lang w:val="en-US" w:eastAsia="zh-CN"/>
              </w:rPr>
              <w:t>7.3.4</w:t>
            </w:r>
            <w:r>
              <w:rPr>
                <w:rFonts w:hint="eastAsia" w:ascii="Times New Roman" w:hAnsi="Times New Roman" w:eastAsia="宋体" w:cs="Times New Roman"/>
                <w:color w:val="auto"/>
                <w:sz w:val="26"/>
                <w:szCs w:val="26"/>
                <w:highlight w:val="none"/>
                <w:lang w:val="en-US" w:eastAsia="zh-CN"/>
              </w:rPr>
              <w:t>工艺过程产生的含</w:t>
            </w:r>
            <w:r>
              <w:rPr>
                <w:rFonts w:hint="default" w:ascii="Times New Roman" w:hAnsi="Times New Roman" w:eastAsia="宋体" w:cs="Times New Roman"/>
                <w:color w:val="auto"/>
                <w:sz w:val="26"/>
                <w:szCs w:val="26"/>
                <w:highlight w:val="none"/>
                <w:lang w:val="en-US" w:eastAsia="zh-CN"/>
              </w:rPr>
              <w:t>VOCs</w:t>
            </w:r>
            <w:r>
              <w:rPr>
                <w:rFonts w:hint="eastAsia" w:ascii="Times New Roman" w:hAnsi="Times New Roman" w:eastAsia="宋体" w:cs="Times New Roman"/>
                <w:color w:val="auto"/>
                <w:sz w:val="26"/>
                <w:szCs w:val="26"/>
                <w:highlight w:val="none"/>
                <w:lang w:val="en-US" w:eastAsia="zh-CN"/>
              </w:rPr>
              <w:t>废料（渣、液）应按照第</w:t>
            </w:r>
            <w:r>
              <w:rPr>
                <w:rFonts w:hint="default" w:ascii="Times New Roman" w:hAnsi="Times New Roman" w:eastAsia="宋体" w:cs="Times New Roman"/>
                <w:color w:val="auto"/>
                <w:sz w:val="26"/>
                <w:szCs w:val="26"/>
                <w:highlight w:val="none"/>
                <w:lang w:val="en-US" w:eastAsia="zh-CN"/>
              </w:rPr>
              <w:t>5</w:t>
            </w:r>
            <w:r>
              <w:rPr>
                <w:rFonts w:hint="eastAsia" w:ascii="Times New Roman" w:hAnsi="Times New Roman" w:eastAsia="宋体" w:cs="Times New Roman"/>
                <w:color w:val="auto"/>
                <w:sz w:val="26"/>
                <w:szCs w:val="26"/>
                <w:highlight w:val="none"/>
                <w:lang w:val="en-US" w:eastAsia="zh-CN"/>
              </w:rPr>
              <w:t>章、第</w:t>
            </w:r>
            <w:r>
              <w:rPr>
                <w:rFonts w:hint="default" w:ascii="Times New Roman" w:hAnsi="Times New Roman" w:eastAsia="宋体" w:cs="Times New Roman"/>
                <w:color w:val="auto"/>
                <w:sz w:val="26"/>
                <w:szCs w:val="26"/>
                <w:highlight w:val="none"/>
                <w:lang w:val="en-US" w:eastAsia="zh-CN"/>
              </w:rPr>
              <w:t>6</w:t>
            </w:r>
            <w:r>
              <w:rPr>
                <w:rFonts w:hint="eastAsia" w:ascii="Times New Roman" w:hAnsi="Times New Roman" w:eastAsia="宋体" w:cs="Times New Roman"/>
                <w:color w:val="auto"/>
                <w:sz w:val="26"/>
                <w:szCs w:val="26"/>
                <w:highlight w:val="none"/>
                <w:lang w:val="en-US" w:eastAsia="zh-CN"/>
              </w:rPr>
              <w:t>章的要求进行储存、转移和输送。盛装过</w:t>
            </w:r>
            <w:r>
              <w:rPr>
                <w:rFonts w:hint="default" w:ascii="Times New Roman" w:hAnsi="Times New Roman" w:eastAsia="宋体" w:cs="Times New Roman"/>
                <w:color w:val="auto"/>
                <w:sz w:val="26"/>
                <w:szCs w:val="26"/>
                <w:highlight w:val="none"/>
                <w:lang w:val="en-US" w:eastAsia="zh-CN"/>
              </w:rPr>
              <w:t>VOCs</w:t>
            </w:r>
            <w:r>
              <w:rPr>
                <w:rFonts w:hint="eastAsia" w:ascii="Times New Roman" w:hAnsi="Times New Roman" w:eastAsia="宋体" w:cs="Times New Roman"/>
                <w:color w:val="auto"/>
                <w:sz w:val="26"/>
                <w:szCs w:val="26"/>
                <w:highlight w:val="none"/>
                <w:lang w:val="en-US" w:eastAsia="zh-CN"/>
              </w:rPr>
              <w:t>物料的废包装容器应加盖密闭。</w:t>
            </w:r>
          </w:p>
          <w:p w14:paraId="6ED84C50">
            <w:pPr>
              <w:keepNext w:val="0"/>
              <w:keepLines w:val="0"/>
              <w:pageBreakBefore w:val="0"/>
              <w:widowControl/>
              <w:kinsoku/>
              <w:wordWrap/>
              <w:overflowPunct/>
              <w:topLinePunct w:val="0"/>
              <w:bidi w:val="0"/>
              <w:spacing w:line="460" w:lineRule="exact"/>
              <w:ind w:firstLine="520" w:firstLineChars="200"/>
              <w:jc w:val="left"/>
              <w:textAlignment w:val="auto"/>
              <w:rPr>
                <w:rFonts w:hint="eastAsia" w:ascii="Times New Roman" w:hAnsi="Times New Roman" w:eastAsia="宋体" w:cs="Times New Roman"/>
                <w:b/>
                <w:bCs/>
                <w:color w:val="auto"/>
                <w:kern w:val="0"/>
                <w:sz w:val="26"/>
                <w:szCs w:val="26"/>
                <w:lang w:val="en-US" w:eastAsia="zh-CN"/>
              </w:rPr>
            </w:pPr>
            <w:r>
              <w:rPr>
                <w:rFonts w:hint="eastAsia" w:ascii="Times New Roman" w:hAnsi="Times New Roman" w:cs="Times New Roman"/>
                <w:color w:val="auto"/>
                <w:sz w:val="26"/>
                <w:szCs w:val="26"/>
                <w:highlight w:val="none"/>
                <w:lang w:val="en-US" w:eastAsia="zh-CN"/>
              </w:rPr>
              <w:t>本项目</w:t>
            </w:r>
            <w:r>
              <w:rPr>
                <w:rFonts w:hint="eastAsia" w:ascii="Times New Roman" w:hAnsi="Times New Roman" w:eastAsia="宋体" w:cs="Times New Roman"/>
                <w:color w:val="auto"/>
                <w:sz w:val="26"/>
                <w:szCs w:val="26"/>
                <w:highlight w:val="none"/>
                <w:lang w:val="en-US" w:eastAsia="zh-CN"/>
              </w:rPr>
              <w:t>切削</w:t>
            </w:r>
            <w:r>
              <w:rPr>
                <w:rFonts w:hint="eastAsia" w:ascii="Times New Roman" w:hAnsi="Times New Roman" w:cs="Times New Roman"/>
                <w:color w:val="auto"/>
                <w:sz w:val="26"/>
                <w:szCs w:val="26"/>
                <w:highlight w:val="none"/>
                <w:lang w:val="en-US" w:eastAsia="zh-CN"/>
              </w:rPr>
              <w:t>液密闭桶装暂存，属于密闭容器并置于油库（室内），油库具备遮雨遮阳等功能，并进行防渗处理；切削液在非</w:t>
            </w:r>
            <w:r>
              <w:rPr>
                <w:rFonts w:hint="eastAsia" w:ascii="Times New Roman" w:hAnsi="Times New Roman" w:eastAsia="宋体" w:cs="Times New Roman"/>
                <w:color w:val="auto"/>
                <w:sz w:val="26"/>
                <w:szCs w:val="26"/>
                <w:highlight w:val="none"/>
                <w:lang w:val="en-US" w:eastAsia="zh-CN"/>
              </w:rPr>
              <w:t>取用状态时采用加盖、封口，保持密闭状态；</w:t>
            </w:r>
            <w:r>
              <w:rPr>
                <w:rFonts w:hint="eastAsia" w:ascii="Times New Roman" w:hAnsi="Times New Roman" w:cs="Times New Roman"/>
                <w:color w:val="auto"/>
                <w:sz w:val="26"/>
                <w:szCs w:val="26"/>
                <w:highlight w:val="none"/>
                <w:lang w:val="en-US" w:eastAsia="zh-CN"/>
              </w:rPr>
              <w:t>切削液</w:t>
            </w:r>
            <w:r>
              <w:rPr>
                <w:rFonts w:hint="eastAsia" w:ascii="Times New Roman" w:hAnsi="Times New Roman" w:eastAsia="宋体" w:cs="Times New Roman"/>
                <w:color w:val="auto"/>
                <w:sz w:val="26"/>
                <w:szCs w:val="26"/>
                <w:highlight w:val="none"/>
                <w:lang w:val="en-US" w:eastAsia="zh-CN"/>
              </w:rPr>
              <w:t>使用、转运期间均用密闭容器，企业对应建立台账，对切削液使用量、废弃量等进行记录；企业加强生产设备、操作工位、车间厂房等区间通风，通风满足相关规定要求。</w:t>
            </w:r>
          </w:p>
          <w:p w14:paraId="13E5CEC6">
            <w:pPr>
              <w:keepNext w:val="0"/>
              <w:keepLines w:val="0"/>
              <w:pageBreakBefore w:val="0"/>
              <w:widowControl w:val="0"/>
              <w:kinsoku/>
              <w:wordWrap/>
              <w:overflowPunct/>
              <w:topLinePunct w:val="0"/>
              <w:autoSpaceDE w:val="0"/>
              <w:autoSpaceDN w:val="0"/>
              <w:bidi w:val="0"/>
              <w:adjustRightInd w:val="0"/>
              <w:snapToGrid w:val="0"/>
              <w:spacing w:line="460" w:lineRule="exact"/>
              <w:jc w:val="both"/>
              <w:textAlignment w:val="auto"/>
              <w:rPr>
                <w:rFonts w:hint="eastAsia"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sz w:val="26"/>
                <w:szCs w:val="26"/>
                <w:lang w:val="en-US" w:eastAsia="zh-CN"/>
              </w:rPr>
              <w:t>1.5</w:t>
            </w:r>
            <w:r>
              <w:rPr>
                <w:rFonts w:hint="default" w:ascii="Times New Roman" w:hAnsi="Times New Roman" w:cs="Times New Roman"/>
                <w:b/>
                <w:bCs/>
                <w:color w:val="auto"/>
                <w:kern w:val="0"/>
                <w:sz w:val="26"/>
                <w:szCs w:val="26"/>
                <w:highlight w:val="none"/>
              </w:rPr>
              <w:t>区域“三线</w:t>
            </w:r>
            <w:r>
              <w:rPr>
                <w:rFonts w:hint="default" w:ascii="Times New Roman" w:hAnsi="Times New Roman" w:eastAsia="宋体" w:cs="Times New Roman"/>
                <w:b/>
                <w:bCs/>
                <w:color w:val="auto"/>
                <w:kern w:val="0"/>
                <w:sz w:val="26"/>
                <w:szCs w:val="26"/>
                <w:lang w:val="en-US" w:eastAsia="zh-CN"/>
              </w:rPr>
              <w:t>一单”符合性分析</w:t>
            </w:r>
          </w:p>
          <w:p w14:paraId="5F32A98C">
            <w:pPr>
              <w:keepNext w:val="0"/>
              <w:keepLines w:val="0"/>
              <w:pageBreakBefore w:val="0"/>
              <w:widowControl/>
              <w:kinsoku/>
              <w:wordWrap/>
              <w:overflowPunct/>
              <w:topLinePunct w:val="0"/>
              <w:bidi w:val="0"/>
              <w:spacing w:line="460" w:lineRule="exact"/>
              <w:ind w:firstLine="520" w:firstLineChars="200"/>
              <w:jc w:val="left"/>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本</w:t>
            </w:r>
            <w:r>
              <w:rPr>
                <w:rFonts w:hint="eastAsia" w:ascii="Times New Roman" w:hAnsi="Times New Roman" w:eastAsia="宋体" w:cs="Times New Roman"/>
                <w:color w:val="auto"/>
                <w:sz w:val="26"/>
                <w:szCs w:val="26"/>
              </w:rPr>
              <w:t>项目位于</w:t>
            </w:r>
            <w:r>
              <w:rPr>
                <w:rFonts w:hint="eastAsia" w:ascii="Times New Roman" w:hAnsi="Times New Roman" w:eastAsia="宋体" w:cs="Times New Roman"/>
                <w:color w:val="auto"/>
                <w:sz w:val="26"/>
                <w:szCs w:val="26"/>
                <w:lang w:val="en-US" w:eastAsia="zh-CN"/>
              </w:rPr>
              <w:t>西彭工业园区</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rPr>
              <w:t>通过与</w:t>
            </w:r>
            <w:r>
              <w:rPr>
                <w:rFonts w:hint="eastAsia" w:ascii="Times New Roman" w:hAnsi="Times New Roman" w:eastAsia="宋体" w:cs="Times New Roman"/>
                <w:color w:val="auto"/>
                <w:sz w:val="26"/>
                <w:szCs w:val="26"/>
                <w:lang w:val="en-US" w:eastAsia="zh-CN"/>
              </w:rPr>
              <w:t>九龙坡区</w:t>
            </w:r>
            <w:r>
              <w:rPr>
                <w:rFonts w:hint="default" w:ascii="Times New Roman" w:hAnsi="Times New Roman" w:eastAsia="宋体" w:cs="Times New Roman"/>
                <w:color w:val="auto"/>
                <w:sz w:val="26"/>
                <w:szCs w:val="26"/>
              </w:rPr>
              <w:t>生态保护红线</w:t>
            </w:r>
            <w:r>
              <w:rPr>
                <w:rFonts w:hint="default" w:ascii="Times New Roman" w:hAnsi="Times New Roman" w:eastAsia="宋体" w:cs="Times New Roman"/>
                <w:color w:val="auto"/>
                <w:sz w:val="26"/>
                <w:szCs w:val="26"/>
                <w:lang w:eastAsia="zh-CN"/>
              </w:rPr>
              <w:t>及</w:t>
            </w:r>
            <w:r>
              <w:rPr>
                <w:rFonts w:hint="default" w:ascii="Times New Roman" w:hAnsi="Times New Roman" w:eastAsia="宋体" w:cs="Times New Roman"/>
                <w:color w:val="auto"/>
                <w:sz w:val="26"/>
                <w:szCs w:val="26"/>
              </w:rPr>
              <w:t>现有一般生态</w:t>
            </w:r>
            <w:r>
              <w:rPr>
                <w:rFonts w:hint="default" w:ascii="Times New Roman" w:hAnsi="Times New Roman" w:eastAsia="宋体" w:cs="Times New Roman"/>
                <w:color w:val="auto"/>
                <w:sz w:val="26"/>
                <w:szCs w:val="26"/>
                <w:lang w:val="en-US" w:eastAsia="zh-CN"/>
              </w:rPr>
              <w:t>空间相对照，不涉及生态保护红线及一般生态空间。</w:t>
            </w:r>
            <w:r>
              <w:rPr>
                <w:rFonts w:hint="eastAsia" w:ascii="Times New Roman" w:hAnsi="Times New Roman" w:eastAsia="宋体" w:cs="Times New Roman"/>
                <w:color w:val="auto"/>
                <w:sz w:val="26"/>
                <w:szCs w:val="26"/>
                <w:lang w:val="en-US" w:eastAsia="zh-CN"/>
              </w:rPr>
              <w:t>本项目涉及1个管控单元，为重点管控单元：</w:t>
            </w:r>
            <w:r>
              <w:rPr>
                <w:rFonts w:hint="default" w:ascii="Times New Roman" w:hAnsi="Times New Roman" w:eastAsia="宋体" w:cs="Times New Roman"/>
                <w:color w:val="auto"/>
                <w:sz w:val="26"/>
                <w:szCs w:val="26"/>
                <w:lang w:val="en-US" w:eastAsia="zh-CN"/>
              </w:rPr>
              <w:t>九龙坡区工业城镇重点管控单元-九龙西城片区</w:t>
            </w:r>
            <w:r>
              <w:rPr>
                <w:rFonts w:hint="eastAsia" w:ascii="Times New Roman" w:hAnsi="Times New Roman" w:eastAsia="宋体"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ZH50010720002</w:t>
            </w:r>
            <w:r>
              <w:rPr>
                <w:rFonts w:hint="eastAsia" w:ascii="Times New Roman" w:hAnsi="Times New Roman" w:eastAsia="宋体" w:cs="Times New Roman"/>
                <w:color w:val="auto"/>
                <w:sz w:val="26"/>
                <w:szCs w:val="26"/>
                <w:lang w:val="en-US" w:eastAsia="zh-CN"/>
              </w:rPr>
              <w:t>）。本项目</w:t>
            </w:r>
            <w:r>
              <w:rPr>
                <w:rFonts w:hint="default" w:ascii="Times New Roman" w:hAnsi="Times New Roman" w:eastAsia="宋体" w:cs="Times New Roman"/>
                <w:color w:val="auto"/>
                <w:sz w:val="26"/>
                <w:szCs w:val="26"/>
                <w:lang w:val="en-US" w:eastAsia="zh-CN"/>
              </w:rPr>
              <w:t>与“三线一单”符合性见</w:t>
            </w:r>
            <w:r>
              <w:rPr>
                <w:rFonts w:hint="eastAsia" w:ascii="Times New Roman" w:hAnsi="Times New Roman" w:eastAsia="宋体" w:cs="Times New Roman"/>
                <w:color w:val="auto"/>
                <w:sz w:val="26"/>
                <w:szCs w:val="26"/>
                <w:lang w:val="en-US" w:eastAsia="zh-CN"/>
              </w:rPr>
              <w:t>下表。</w:t>
            </w:r>
          </w:p>
          <w:p w14:paraId="3239C3CA">
            <w:pPr>
              <w:keepNext w:val="0"/>
              <w:keepLines w:val="0"/>
              <w:pageBreakBefore w:val="0"/>
              <w:widowControl/>
              <w:kinsoku/>
              <w:wordWrap/>
              <w:overflowPunct/>
              <w:topLinePunct w:val="0"/>
              <w:bidi w:val="0"/>
              <w:spacing w:line="460" w:lineRule="exact"/>
              <w:ind w:firstLine="5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6"/>
                <w:szCs w:val="26"/>
              </w:rPr>
              <w:t>由</w:t>
            </w:r>
            <w:r>
              <w:rPr>
                <w:rFonts w:hint="eastAsia" w:ascii="Times New Roman" w:hAnsi="Times New Roman" w:eastAsia="宋体" w:cs="Times New Roman"/>
                <w:color w:val="auto"/>
                <w:sz w:val="26"/>
                <w:szCs w:val="26"/>
                <w:lang w:val="en-US" w:eastAsia="zh-CN"/>
              </w:rPr>
              <w:t>表1.5-1</w:t>
            </w:r>
            <w:r>
              <w:rPr>
                <w:rFonts w:hint="eastAsia" w:ascii="Times New Roman" w:hAnsi="Times New Roman" w:eastAsia="宋体" w:cs="Times New Roman"/>
                <w:color w:val="auto"/>
                <w:sz w:val="26"/>
                <w:szCs w:val="26"/>
              </w:rPr>
              <w:t>分析结果</w:t>
            </w:r>
            <w:r>
              <w:rPr>
                <w:rFonts w:hint="eastAsia" w:ascii="Times New Roman" w:hAnsi="Times New Roman" w:eastAsia="宋体" w:cs="Times New Roman"/>
                <w:color w:val="auto"/>
                <w:sz w:val="26"/>
                <w:szCs w:val="26"/>
                <w:lang w:eastAsia="zh-CN"/>
              </w:rPr>
              <w:t>可知</w:t>
            </w:r>
            <w:r>
              <w:rPr>
                <w:rFonts w:hint="eastAsia" w:ascii="Times New Roman" w:hAnsi="Times New Roman" w:eastAsia="宋体" w:cs="Times New Roman"/>
                <w:color w:val="auto"/>
                <w:sz w:val="26"/>
                <w:szCs w:val="26"/>
              </w:rPr>
              <w:t>，本项目符合“三线一单”管控要求。</w:t>
            </w:r>
          </w:p>
        </w:tc>
      </w:tr>
    </w:tbl>
    <w:p w14:paraId="5B396E56">
      <w:pPr>
        <w:spacing w:line="360" w:lineRule="auto"/>
        <w:outlineLvl w:val="0"/>
        <w:rPr>
          <w:rFonts w:hint="default" w:ascii="Times New Roman" w:hAnsi="Times New Roman" w:eastAsia="黑体" w:cs="Times New Roman"/>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4433E041">
      <w:pPr>
        <w:autoSpaceDE w:val="0"/>
        <w:autoSpaceDN w:val="0"/>
        <w:adjustRightInd w:val="0"/>
        <w:snapToGrid w:val="0"/>
        <w:spacing w:line="460" w:lineRule="exact"/>
        <w:jc w:val="center"/>
        <w:rPr>
          <w:rFonts w:hint="default" w:ascii="Times New Roman" w:hAnsi="Times New Roman" w:eastAsia="宋体" w:cs="Times New Roman"/>
          <w:b/>
          <w:bCs/>
          <w:color w:val="auto"/>
          <w:kern w:val="0"/>
          <w:sz w:val="26"/>
          <w:szCs w:val="26"/>
          <w:lang w:val="en-US" w:eastAsia="zh-CN"/>
        </w:rPr>
      </w:pPr>
      <w:r>
        <w:rPr>
          <w:rFonts w:hint="default" w:ascii="Times New Roman" w:hAnsi="Times New Roman" w:eastAsia="宋体" w:cs="Times New Roman"/>
          <w:b/>
          <w:bCs/>
          <w:color w:val="auto"/>
          <w:kern w:val="0"/>
          <w:sz w:val="26"/>
          <w:szCs w:val="26"/>
          <w:lang w:val="en-US" w:eastAsia="zh-CN"/>
        </w:rPr>
        <w:t>表</w:t>
      </w:r>
      <w:r>
        <w:rPr>
          <w:rFonts w:hint="eastAsia" w:ascii="Times New Roman" w:hAnsi="Times New Roman" w:eastAsia="宋体" w:cs="Times New Roman"/>
          <w:b/>
          <w:bCs/>
          <w:color w:val="auto"/>
          <w:kern w:val="0"/>
          <w:sz w:val="26"/>
          <w:szCs w:val="26"/>
          <w:lang w:val="en-US" w:eastAsia="zh-CN"/>
        </w:rPr>
        <w:t>1.5-1</w:t>
      </w:r>
      <w:r>
        <w:rPr>
          <w:rFonts w:hint="default" w:ascii="Times New Roman" w:hAnsi="Times New Roman" w:eastAsia="宋体" w:cs="Times New Roman"/>
          <w:b/>
          <w:bCs/>
          <w:color w:val="auto"/>
          <w:kern w:val="0"/>
          <w:sz w:val="26"/>
          <w:szCs w:val="26"/>
          <w:lang w:val="en-US" w:eastAsia="zh-CN"/>
        </w:rPr>
        <w:t xml:space="preserve">  建设项目与“三线一单”管控要求的符合性分析表</w:t>
      </w:r>
    </w:p>
    <w:tbl>
      <w:tblPr>
        <w:tblStyle w:val="26"/>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7"/>
        <w:gridCol w:w="1104"/>
        <w:gridCol w:w="7163"/>
        <w:gridCol w:w="3358"/>
        <w:gridCol w:w="680"/>
      </w:tblGrid>
      <w:tr w14:paraId="6B012C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5" w:type="dxa"/>
            <w:gridSpan w:val="2"/>
            <w:tcBorders>
              <w:tl2br w:val="nil"/>
              <w:tr2bl w:val="nil"/>
            </w:tcBorders>
            <w:noWrap w:val="0"/>
            <w:vAlign w:val="center"/>
          </w:tcPr>
          <w:p w14:paraId="36312B6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z w:val="22"/>
                <w:szCs w:val="22"/>
              </w:rPr>
            </w:pPr>
            <w:r>
              <w:rPr>
                <w:rFonts w:hint="default" w:ascii="Times New Roman" w:hAnsi="Times New Roman" w:eastAsia="宋体" w:cs="Times New Roman"/>
                <w:bCs/>
                <w:color w:val="auto"/>
                <w:sz w:val="22"/>
                <w:szCs w:val="22"/>
              </w:rPr>
              <w:t>环境管控单元编码</w:t>
            </w:r>
          </w:p>
        </w:tc>
        <w:tc>
          <w:tcPr>
            <w:tcW w:w="7398" w:type="dxa"/>
            <w:tcBorders>
              <w:tl2br w:val="nil"/>
              <w:tr2bl w:val="nil"/>
            </w:tcBorders>
            <w:noWrap w:val="0"/>
            <w:vAlign w:val="center"/>
          </w:tcPr>
          <w:p w14:paraId="7D07D41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z w:val="22"/>
                <w:szCs w:val="22"/>
              </w:rPr>
            </w:pPr>
            <w:r>
              <w:rPr>
                <w:rFonts w:hint="default" w:ascii="Times New Roman" w:hAnsi="Times New Roman" w:eastAsia="宋体" w:cs="Times New Roman"/>
                <w:bCs/>
                <w:color w:val="auto"/>
                <w:sz w:val="22"/>
                <w:szCs w:val="22"/>
              </w:rPr>
              <w:t>环境管控单元名称</w:t>
            </w:r>
          </w:p>
        </w:tc>
        <w:tc>
          <w:tcPr>
            <w:tcW w:w="4159" w:type="dxa"/>
            <w:gridSpan w:val="2"/>
            <w:tcBorders>
              <w:tl2br w:val="nil"/>
              <w:tr2bl w:val="nil"/>
            </w:tcBorders>
            <w:noWrap w:val="0"/>
            <w:vAlign w:val="center"/>
          </w:tcPr>
          <w:p w14:paraId="3E9E7CA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z w:val="22"/>
                <w:szCs w:val="22"/>
              </w:rPr>
            </w:pPr>
            <w:r>
              <w:rPr>
                <w:rFonts w:hint="default" w:ascii="Times New Roman" w:hAnsi="Times New Roman" w:eastAsia="宋体" w:cs="Times New Roman"/>
                <w:bCs/>
                <w:color w:val="auto"/>
                <w:sz w:val="22"/>
                <w:szCs w:val="22"/>
              </w:rPr>
              <w:t>环境管控单元类型</w:t>
            </w:r>
          </w:p>
        </w:tc>
      </w:tr>
      <w:tr w14:paraId="358BD6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5" w:type="dxa"/>
            <w:gridSpan w:val="2"/>
            <w:tcBorders>
              <w:tl2br w:val="nil"/>
              <w:tr2bl w:val="nil"/>
            </w:tcBorders>
            <w:noWrap w:val="0"/>
            <w:vAlign w:val="center"/>
          </w:tcPr>
          <w:p w14:paraId="2F931E6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eastAsia="zh-CN"/>
              </w:rPr>
              <w:t>ZH50010720002</w:t>
            </w:r>
          </w:p>
        </w:tc>
        <w:tc>
          <w:tcPr>
            <w:tcW w:w="7398" w:type="dxa"/>
            <w:tcBorders>
              <w:tl2br w:val="nil"/>
              <w:tr2bl w:val="nil"/>
            </w:tcBorders>
            <w:noWrap w:val="0"/>
            <w:vAlign w:val="center"/>
          </w:tcPr>
          <w:p w14:paraId="22E7D15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eastAsia="zh-CN"/>
              </w:rPr>
              <w:t>九龙坡区工业城镇重点管控单元-九龙西城片区</w:t>
            </w:r>
          </w:p>
        </w:tc>
        <w:tc>
          <w:tcPr>
            <w:tcW w:w="4159" w:type="dxa"/>
            <w:gridSpan w:val="2"/>
            <w:tcBorders>
              <w:tl2br w:val="nil"/>
              <w:tr2bl w:val="nil"/>
            </w:tcBorders>
            <w:noWrap w:val="0"/>
            <w:vAlign w:val="center"/>
          </w:tcPr>
          <w:p w14:paraId="1DAB4F4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rPr>
              <w:t>重点管控单元</w:t>
            </w:r>
            <w:r>
              <w:rPr>
                <w:rFonts w:hint="default" w:ascii="Times New Roman" w:hAnsi="Times New Roman" w:eastAsia="宋体" w:cs="Times New Roman"/>
                <w:bCs/>
                <w:color w:val="auto"/>
                <w:sz w:val="22"/>
                <w:szCs w:val="22"/>
                <w:lang w:val="en-US" w:eastAsia="zh-CN"/>
              </w:rPr>
              <w:t>2</w:t>
            </w:r>
          </w:p>
        </w:tc>
      </w:tr>
      <w:tr w14:paraId="0580A0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tcBorders>
              <w:tl2br w:val="nil"/>
              <w:tr2bl w:val="nil"/>
            </w:tcBorders>
            <w:noWrap w:val="0"/>
            <w:vAlign w:val="center"/>
          </w:tcPr>
          <w:p w14:paraId="05D426BB">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2"/>
                <w:szCs w:val="22"/>
              </w:rPr>
            </w:pPr>
            <w:r>
              <w:rPr>
                <w:rFonts w:hint="default" w:ascii="Times New Roman" w:hAnsi="Times New Roman" w:eastAsia="宋体" w:cs="Times New Roman"/>
                <w:b w:val="0"/>
                <w:bCs/>
                <w:color w:val="auto"/>
                <w:sz w:val="22"/>
                <w:szCs w:val="22"/>
              </w:rPr>
              <w:t>管控要求层级</w:t>
            </w:r>
          </w:p>
        </w:tc>
        <w:tc>
          <w:tcPr>
            <w:tcW w:w="1134" w:type="dxa"/>
            <w:tcBorders>
              <w:tl2br w:val="nil"/>
              <w:tr2bl w:val="nil"/>
            </w:tcBorders>
            <w:noWrap w:val="0"/>
            <w:vAlign w:val="center"/>
          </w:tcPr>
          <w:p w14:paraId="0628F426">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2"/>
                <w:szCs w:val="22"/>
              </w:rPr>
            </w:pPr>
            <w:r>
              <w:rPr>
                <w:rFonts w:hint="default" w:ascii="Times New Roman" w:hAnsi="Times New Roman" w:eastAsia="宋体" w:cs="Times New Roman"/>
                <w:b w:val="0"/>
                <w:bCs/>
                <w:color w:val="auto"/>
                <w:sz w:val="22"/>
                <w:szCs w:val="22"/>
              </w:rPr>
              <w:t>管控</w:t>
            </w:r>
          </w:p>
          <w:p w14:paraId="06B70035">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2"/>
                <w:szCs w:val="22"/>
              </w:rPr>
            </w:pPr>
            <w:r>
              <w:rPr>
                <w:rFonts w:hint="default" w:ascii="Times New Roman" w:hAnsi="Times New Roman" w:eastAsia="宋体" w:cs="Times New Roman"/>
                <w:b w:val="0"/>
                <w:bCs/>
                <w:color w:val="auto"/>
                <w:sz w:val="22"/>
                <w:szCs w:val="22"/>
              </w:rPr>
              <w:t>类型</w:t>
            </w:r>
          </w:p>
        </w:tc>
        <w:tc>
          <w:tcPr>
            <w:tcW w:w="7398" w:type="dxa"/>
            <w:tcBorders>
              <w:tl2br w:val="nil"/>
              <w:tr2bl w:val="nil"/>
            </w:tcBorders>
            <w:noWrap w:val="0"/>
            <w:vAlign w:val="center"/>
          </w:tcPr>
          <w:p w14:paraId="6377FD2F">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2"/>
                <w:szCs w:val="22"/>
              </w:rPr>
            </w:pPr>
            <w:r>
              <w:rPr>
                <w:rFonts w:hint="default" w:ascii="Times New Roman" w:hAnsi="Times New Roman" w:eastAsia="宋体" w:cs="Times New Roman"/>
                <w:b w:val="0"/>
                <w:bCs/>
                <w:color w:val="auto"/>
                <w:sz w:val="22"/>
                <w:szCs w:val="22"/>
              </w:rPr>
              <w:t>管控要求</w:t>
            </w:r>
          </w:p>
        </w:tc>
        <w:tc>
          <w:tcPr>
            <w:tcW w:w="3464" w:type="dxa"/>
            <w:tcBorders>
              <w:tl2br w:val="nil"/>
              <w:tr2bl w:val="nil"/>
            </w:tcBorders>
            <w:noWrap w:val="0"/>
            <w:vAlign w:val="center"/>
          </w:tcPr>
          <w:p w14:paraId="347E0E69">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2"/>
                <w:szCs w:val="22"/>
              </w:rPr>
            </w:pPr>
            <w:r>
              <w:rPr>
                <w:rFonts w:hint="default" w:ascii="Times New Roman" w:hAnsi="Times New Roman" w:eastAsia="宋体" w:cs="Times New Roman"/>
                <w:b w:val="0"/>
                <w:bCs/>
                <w:color w:val="auto"/>
                <w:sz w:val="22"/>
                <w:szCs w:val="22"/>
              </w:rPr>
              <w:t>建设项目相关情况</w:t>
            </w:r>
          </w:p>
        </w:tc>
        <w:tc>
          <w:tcPr>
            <w:tcW w:w="695" w:type="dxa"/>
            <w:tcBorders>
              <w:tl2br w:val="nil"/>
              <w:tr2bl w:val="nil"/>
            </w:tcBorders>
            <w:noWrap w:val="0"/>
            <w:vAlign w:val="center"/>
          </w:tcPr>
          <w:p w14:paraId="7834994C">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auto"/>
                <w:sz w:val="22"/>
                <w:szCs w:val="22"/>
              </w:rPr>
            </w:pPr>
            <w:r>
              <w:rPr>
                <w:rFonts w:hint="default" w:ascii="Times New Roman" w:hAnsi="Times New Roman" w:eastAsia="宋体" w:cs="Times New Roman"/>
                <w:b w:val="0"/>
                <w:bCs/>
                <w:color w:val="auto"/>
                <w:sz w:val="22"/>
                <w:szCs w:val="22"/>
              </w:rPr>
              <w:t>符合性</w:t>
            </w:r>
          </w:p>
        </w:tc>
      </w:tr>
      <w:tr w14:paraId="4DBACC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restart"/>
            <w:tcBorders>
              <w:tl2br w:val="nil"/>
              <w:tr2bl w:val="nil"/>
            </w:tcBorders>
            <w:noWrap w:val="0"/>
            <w:vAlign w:val="center"/>
          </w:tcPr>
          <w:p w14:paraId="2E49DDF4">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bCs/>
                <w:color w:val="auto"/>
                <w:sz w:val="22"/>
                <w:szCs w:val="22"/>
              </w:rPr>
              <w:t>全市总体管控要求</w:t>
            </w:r>
          </w:p>
        </w:tc>
        <w:tc>
          <w:tcPr>
            <w:tcW w:w="1134" w:type="dxa"/>
            <w:vMerge w:val="restart"/>
            <w:tcBorders>
              <w:tl2br w:val="nil"/>
              <w:tr2bl w:val="nil"/>
            </w:tcBorders>
            <w:noWrap w:val="0"/>
            <w:vAlign w:val="center"/>
          </w:tcPr>
          <w:p w14:paraId="16A0782A">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color w:val="auto"/>
                <w:sz w:val="22"/>
                <w:szCs w:val="22"/>
              </w:rPr>
              <w:t>空间布局约束</w:t>
            </w:r>
          </w:p>
        </w:tc>
        <w:tc>
          <w:tcPr>
            <w:tcW w:w="7398" w:type="dxa"/>
            <w:tcBorders>
              <w:tl2br w:val="nil"/>
              <w:tr2bl w:val="nil"/>
            </w:tcBorders>
            <w:noWrap w:val="0"/>
            <w:vAlign w:val="center"/>
          </w:tcPr>
          <w:p w14:paraId="02F2AA1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bCs/>
                <w:color w:val="auto"/>
                <w:sz w:val="22"/>
                <w:szCs w:val="22"/>
              </w:rPr>
              <w:t>第一条 深入贯彻习近平生态文明思想，筑牢长江上游重要生态屏障，推动优势区域重点发展、生态功能区重点保护、</w:t>
            </w:r>
            <w:r>
              <w:rPr>
                <w:rFonts w:hint="default" w:ascii="Times New Roman" w:hAnsi="Times New Roman" w:eastAsia="宋体" w:cs="Times New Roman"/>
                <w:bCs/>
                <w:color w:val="auto"/>
                <w:sz w:val="22"/>
                <w:szCs w:val="22"/>
              </w:rPr>
              <w:fldChar w:fldCharType="begin"/>
            </w:r>
            <w:r>
              <w:rPr>
                <w:rFonts w:hint="default" w:ascii="Times New Roman" w:hAnsi="Times New Roman" w:eastAsia="宋体" w:cs="Times New Roman"/>
                <w:bCs/>
                <w:color w:val="auto"/>
                <w:sz w:val="22"/>
                <w:szCs w:val="22"/>
              </w:rPr>
              <w:instrText xml:space="preserve"> HYPERLINK "http://guihuayun.com/baike/%E5%9F%8E%E4%B9%A1%E8%9E%8D%E5%90%88%E5%8F%91%E5%B1%95" \t "http://www.gui-hua.com/post/_blank" </w:instrText>
            </w:r>
            <w:r>
              <w:rPr>
                <w:rFonts w:hint="default" w:ascii="Times New Roman" w:hAnsi="Times New Roman" w:eastAsia="宋体" w:cs="Times New Roman"/>
                <w:bCs/>
                <w:color w:val="auto"/>
                <w:sz w:val="22"/>
                <w:szCs w:val="22"/>
              </w:rPr>
              <w:fldChar w:fldCharType="separate"/>
            </w:r>
            <w:r>
              <w:rPr>
                <w:rFonts w:hint="default" w:ascii="Times New Roman" w:hAnsi="Times New Roman" w:eastAsia="宋体" w:cs="Times New Roman"/>
                <w:bCs/>
                <w:color w:val="auto"/>
                <w:sz w:val="22"/>
                <w:szCs w:val="22"/>
              </w:rPr>
              <w:t>城乡融合发展</w:t>
            </w:r>
            <w:r>
              <w:rPr>
                <w:rFonts w:hint="default" w:ascii="Times New Roman" w:hAnsi="Times New Roman" w:eastAsia="宋体" w:cs="Times New Roman"/>
                <w:bCs/>
                <w:color w:val="auto"/>
                <w:sz w:val="22"/>
                <w:szCs w:val="22"/>
              </w:rPr>
              <w:fldChar w:fldCharType="end"/>
            </w:r>
            <w:r>
              <w:rPr>
                <w:rFonts w:hint="default" w:ascii="Times New Roman" w:hAnsi="Times New Roman" w:eastAsia="宋体" w:cs="Times New Roman"/>
                <w:bCs/>
                <w:color w:val="auto"/>
                <w:sz w:val="22"/>
                <w:szCs w:val="22"/>
              </w:rPr>
              <w:t>，优化重点区域、流域、产业的空间布局。</w:t>
            </w:r>
          </w:p>
        </w:tc>
        <w:tc>
          <w:tcPr>
            <w:tcW w:w="3464" w:type="dxa"/>
            <w:vMerge w:val="restart"/>
            <w:tcBorders>
              <w:tl2br w:val="nil"/>
              <w:tr2bl w:val="nil"/>
            </w:tcBorders>
            <w:noWrap w:val="0"/>
            <w:vAlign w:val="center"/>
          </w:tcPr>
          <w:p w14:paraId="0F77C3A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eastAsia" w:ascii="Times New Roman" w:hAnsi="Times New Roman" w:eastAsia="宋体" w:cs="Times New Roman"/>
                <w:snapToGrid w:val="0"/>
                <w:color w:val="auto"/>
                <w:kern w:val="0"/>
                <w:sz w:val="22"/>
                <w:szCs w:val="22"/>
                <w:lang w:val="en-US" w:eastAsia="zh-CN"/>
              </w:rPr>
              <w:t>本</w:t>
            </w:r>
            <w:r>
              <w:rPr>
                <w:rFonts w:hint="default" w:ascii="Times New Roman" w:hAnsi="Times New Roman" w:eastAsia="宋体" w:cs="Times New Roman"/>
                <w:snapToGrid w:val="0"/>
                <w:color w:val="auto"/>
                <w:kern w:val="0"/>
                <w:sz w:val="22"/>
                <w:szCs w:val="22"/>
                <w:lang w:val="en-US" w:eastAsia="zh-CN"/>
              </w:rPr>
              <w:t>项目位于</w:t>
            </w:r>
            <w:r>
              <w:rPr>
                <w:rFonts w:hint="eastAsia" w:ascii="Times New Roman" w:hAnsi="Times New Roman" w:eastAsia="宋体" w:cs="Times New Roman"/>
                <w:snapToGrid w:val="0"/>
                <w:color w:val="auto"/>
                <w:kern w:val="0"/>
                <w:sz w:val="22"/>
                <w:szCs w:val="22"/>
                <w:lang w:val="en-US" w:eastAsia="zh-CN"/>
              </w:rPr>
              <w:t>九龙坡区西彭工业园区</w:t>
            </w:r>
            <w:r>
              <w:rPr>
                <w:rFonts w:hint="default" w:ascii="Times New Roman" w:hAnsi="Times New Roman" w:eastAsia="宋体" w:cs="Times New Roman"/>
                <w:snapToGrid w:val="0"/>
                <w:color w:val="auto"/>
                <w:kern w:val="0"/>
                <w:sz w:val="22"/>
                <w:szCs w:val="22"/>
                <w:lang w:val="en-US" w:eastAsia="zh-CN"/>
              </w:rPr>
              <w:t>，符合《产业结构调整指导目录》《重庆市产业投资准入工作手册》《重庆市长江经济带发展负面清单指南实施细则</w:t>
            </w:r>
            <w:r>
              <w:rPr>
                <w:rFonts w:hint="eastAsia" w:ascii="Times New Roman" w:hAnsi="Times New Roman" w:eastAsia="宋体" w:cs="Times New Roman"/>
                <w:snapToGrid w:val="0"/>
                <w:color w:val="auto"/>
                <w:kern w:val="0"/>
                <w:sz w:val="22"/>
                <w:szCs w:val="22"/>
                <w:lang w:val="en-US" w:eastAsia="zh-CN"/>
              </w:rPr>
              <w:t>（</w:t>
            </w:r>
            <w:r>
              <w:rPr>
                <w:rFonts w:hint="default" w:ascii="Times New Roman" w:hAnsi="Times New Roman" w:eastAsia="宋体" w:cs="Times New Roman"/>
                <w:snapToGrid w:val="0"/>
                <w:color w:val="auto"/>
                <w:kern w:val="0"/>
                <w:sz w:val="22"/>
                <w:szCs w:val="22"/>
                <w:lang w:val="en-US" w:eastAsia="zh-CN"/>
              </w:rPr>
              <w:t>试行</w:t>
            </w:r>
            <w:r>
              <w:rPr>
                <w:rFonts w:hint="eastAsia" w:ascii="Times New Roman" w:hAnsi="Times New Roman" w:eastAsia="宋体" w:cs="Times New Roman"/>
                <w:snapToGrid w:val="0"/>
                <w:color w:val="auto"/>
                <w:kern w:val="0"/>
                <w:sz w:val="22"/>
                <w:szCs w:val="22"/>
                <w:lang w:val="en-US" w:eastAsia="zh-CN"/>
              </w:rPr>
              <w:t>）</w:t>
            </w:r>
            <w:r>
              <w:rPr>
                <w:rFonts w:hint="default" w:ascii="Times New Roman" w:hAnsi="Times New Roman" w:eastAsia="宋体" w:cs="Times New Roman"/>
                <w:snapToGrid w:val="0"/>
                <w:color w:val="auto"/>
                <w:kern w:val="0"/>
                <w:sz w:val="22"/>
                <w:szCs w:val="22"/>
                <w:lang w:val="en-US" w:eastAsia="zh-CN"/>
              </w:rPr>
              <w:t>》等文件要求；</w:t>
            </w:r>
            <w:r>
              <w:rPr>
                <w:rFonts w:hint="eastAsia" w:ascii="Times New Roman" w:hAnsi="Times New Roman" w:eastAsia="宋体" w:cs="Times New Roman"/>
                <w:snapToGrid w:val="0"/>
                <w:color w:val="auto"/>
                <w:kern w:val="0"/>
                <w:sz w:val="22"/>
                <w:szCs w:val="22"/>
                <w:lang w:val="en-US" w:eastAsia="zh-CN"/>
              </w:rPr>
              <w:t>不位于长江干流岸线三公里范围内；</w:t>
            </w:r>
            <w:r>
              <w:rPr>
                <w:rFonts w:hint="default" w:ascii="Times New Roman" w:hAnsi="Times New Roman" w:eastAsia="宋体" w:cs="Times New Roman"/>
                <w:snapToGrid w:val="0"/>
                <w:color w:val="auto"/>
                <w:kern w:val="0"/>
                <w:sz w:val="22"/>
                <w:szCs w:val="22"/>
                <w:lang w:val="en-US" w:eastAsia="zh-CN"/>
              </w:rPr>
              <w:t>不属于化工</w:t>
            </w:r>
            <w:r>
              <w:rPr>
                <w:rFonts w:hint="eastAsia" w:ascii="Times New Roman" w:hAnsi="Times New Roman" w:eastAsia="宋体" w:cs="Times New Roman"/>
                <w:snapToGrid w:val="0"/>
                <w:color w:val="auto"/>
                <w:kern w:val="0"/>
                <w:sz w:val="22"/>
                <w:szCs w:val="22"/>
                <w:lang w:val="en-US" w:eastAsia="zh-CN"/>
              </w:rPr>
              <w:t>、纸浆制造、印染等</w:t>
            </w:r>
            <w:r>
              <w:rPr>
                <w:rFonts w:hint="default" w:ascii="Times New Roman" w:hAnsi="Times New Roman" w:eastAsia="宋体" w:cs="Times New Roman"/>
                <w:snapToGrid w:val="0"/>
                <w:color w:val="auto"/>
                <w:kern w:val="0"/>
                <w:sz w:val="22"/>
                <w:szCs w:val="22"/>
                <w:lang w:val="en-US" w:eastAsia="zh-CN"/>
              </w:rPr>
              <w:t>项目</w:t>
            </w:r>
            <w:r>
              <w:rPr>
                <w:rFonts w:hint="default" w:ascii="Times New Roman" w:hAnsi="Times New Roman" w:cs="Times New Roman"/>
                <w:snapToGrid w:val="0"/>
                <w:color w:val="auto"/>
                <w:kern w:val="0"/>
                <w:sz w:val="22"/>
                <w:szCs w:val="22"/>
                <w:lang w:val="en-US" w:eastAsia="zh-CN"/>
              </w:rPr>
              <w:t>，不属于</w:t>
            </w:r>
            <w:r>
              <w:rPr>
                <w:rFonts w:hint="eastAsia" w:ascii="Times New Roman" w:hAnsi="Times New Roman" w:cs="Times New Roman"/>
                <w:snapToGrid w:val="0"/>
                <w:color w:val="auto"/>
                <w:kern w:val="0"/>
                <w:sz w:val="22"/>
                <w:szCs w:val="22"/>
                <w:lang w:val="en-US" w:eastAsia="zh-CN"/>
              </w:rPr>
              <w:t>不符合要求的</w:t>
            </w:r>
            <w:r>
              <w:rPr>
                <w:rFonts w:hint="default" w:ascii="Times New Roman" w:hAnsi="Times New Roman" w:cs="Times New Roman"/>
                <w:snapToGrid w:val="0"/>
                <w:color w:val="auto"/>
                <w:kern w:val="0"/>
                <w:sz w:val="22"/>
                <w:szCs w:val="22"/>
                <w:lang w:val="en-US" w:eastAsia="zh-CN"/>
              </w:rPr>
              <w:t>两高项目</w:t>
            </w:r>
            <w:r>
              <w:rPr>
                <w:rFonts w:hint="default" w:ascii="Times New Roman" w:hAnsi="Times New Roman" w:eastAsia="宋体" w:cs="Times New Roman"/>
                <w:snapToGrid w:val="0"/>
                <w:color w:val="auto"/>
                <w:kern w:val="0"/>
                <w:sz w:val="22"/>
                <w:szCs w:val="22"/>
                <w:lang w:val="en-US" w:eastAsia="zh-CN"/>
              </w:rPr>
              <w:t>；</w:t>
            </w:r>
            <w:r>
              <w:rPr>
                <w:rFonts w:hint="eastAsia" w:ascii="Times New Roman" w:hAnsi="Times New Roman" w:eastAsia="宋体" w:cs="Times New Roman"/>
                <w:snapToGrid w:val="0"/>
                <w:color w:val="auto"/>
                <w:kern w:val="0"/>
                <w:sz w:val="22"/>
                <w:szCs w:val="22"/>
                <w:lang w:val="en-US" w:eastAsia="zh-CN"/>
              </w:rPr>
              <w:t>不属于有色金属冶炼等企业</w:t>
            </w:r>
            <w:r>
              <w:rPr>
                <w:rFonts w:hint="default" w:ascii="Times New Roman" w:hAnsi="Times New Roman" w:eastAsia="宋体" w:cs="Times New Roman"/>
                <w:snapToGrid w:val="0"/>
                <w:color w:val="auto"/>
                <w:kern w:val="0"/>
                <w:sz w:val="22"/>
                <w:szCs w:val="22"/>
                <w:lang w:val="en-US" w:eastAsia="zh-CN"/>
              </w:rPr>
              <w:t>，符合前述各项布局要求</w:t>
            </w:r>
          </w:p>
        </w:tc>
        <w:tc>
          <w:tcPr>
            <w:tcW w:w="695" w:type="dxa"/>
            <w:vMerge w:val="restart"/>
            <w:tcBorders>
              <w:tl2br w:val="nil"/>
              <w:tr2bl w:val="nil"/>
            </w:tcBorders>
            <w:noWrap w:val="0"/>
            <w:vAlign w:val="center"/>
          </w:tcPr>
          <w:p w14:paraId="30A6D8A0">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bCs/>
                <w:color w:val="auto"/>
                <w:sz w:val="22"/>
                <w:szCs w:val="22"/>
                <w:lang w:val="en-US" w:eastAsia="zh-CN"/>
              </w:rPr>
              <w:t>符合</w:t>
            </w:r>
          </w:p>
        </w:tc>
      </w:tr>
      <w:tr w14:paraId="288662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332C5F64">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1134" w:type="dxa"/>
            <w:vMerge w:val="continue"/>
            <w:tcBorders>
              <w:tl2br w:val="nil"/>
              <w:tr2bl w:val="nil"/>
            </w:tcBorders>
            <w:noWrap w:val="0"/>
            <w:vAlign w:val="center"/>
          </w:tcPr>
          <w:p w14:paraId="3F4548C6">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7398" w:type="dxa"/>
            <w:tcBorders>
              <w:tl2br w:val="nil"/>
              <w:tr2bl w:val="nil"/>
            </w:tcBorders>
            <w:noWrap w:val="0"/>
            <w:vAlign w:val="center"/>
          </w:tcPr>
          <w:p w14:paraId="54F8ED7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color w:val="auto"/>
                <w:kern w:val="0"/>
                <w:sz w:val="22"/>
                <w:szCs w:val="22"/>
                <w:lang w:val="en-US" w:eastAsia="zh-CN" w:bidi="ar"/>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3464" w:type="dxa"/>
            <w:vMerge w:val="continue"/>
            <w:tcBorders>
              <w:tl2br w:val="nil"/>
              <w:tr2bl w:val="nil"/>
            </w:tcBorders>
            <w:noWrap w:val="0"/>
            <w:vAlign w:val="center"/>
          </w:tcPr>
          <w:p w14:paraId="56A28DA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p>
        </w:tc>
        <w:tc>
          <w:tcPr>
            <w:tcW w:w="695" w:type="dxa"/>
            <w:vMerge w:val="continue"/>
            <w:tcBorders>
              <w:tl2br w:val="nil"/>
              <w:tr2bl w:val="nil"/>
            </w:tcBorders>
            <w:noWrap w:val="0"/>
            <w:vAlign w:val="center"/>
          </w:tcPr>
          <w:p w14:paraId="72E830D9">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p>
        </w:tc>
      </w:tr>
      <w:tr w14:paraId="47741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0E593ADE">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1134" w:type="dxa"/>
            <w:vMerge w:val="continue"/>
            <w:tcBorders>
              <w:tl2br w:val="nil"/>
              <w:tr2bl w:val="nil"/>
            </w:tcBorders>
            <w:noWrap w:val="0"/>
            <w:vAlign w:val="center"/>
          </w:tcPr>
          <w:p w14:paraId="0F9CC2C8">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7398" w:type="dxa"/>
            <w:tcBorders>
              <w:tl2br w:val="nil"/>
              <w:tr2bl w:val="nil"/>
            </w:tcBorders>
            <w:noWrap w:val="0"/>
            <w:vAlign w:val="center"/>
          </w:tcPr>
          <w:p w14:paraId="5F2462D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color w:val="auto"/>
                <w:kern w:val="0"/>
                <w:sz w:val="22"/>
                <w:szCs w:val="22"/>
                <w:lang w:val="en-US" w:eastAsia="zh-CN" w:bidi="ar"/>
              </w:rPr>
              <w:t>第三条 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3464" w:type="dxa"/>
            <w:vMerge w:val="continue"/>
            <w:tcBorders>
              <w:tl2br w:val="nil"/>
              <w:tr2bl w:val="nil"/>
            </w:tcBorders>
            <w:noWrap w:val="0"/>
            <w:vAlign w:val="center"/>
          </w:tcPr>
          <w:p w14:paraId="574E2A4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p>
        </w:tc>
        <w:tc>
          <w:tcPr>
            <w:tcW w:w="695" w:type="dxa"/>
            <w:vMerge w:val="continue"/>
            <w:tcBorders>
              <w:tl2br w:val="nil"/>
              <w:tr2bl w:val="nil"/>
            </w:tcBorders>
            <w:noWrap w:val="0"/>
            <w:vAlign w:val="center"/>
          </w:tcPr>
          <w:p w14:paraId="54A689E1">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p>
        </w:tc>
      </w:tr>
      <w:tr w14:paraId="69D1DB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18FB3014">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1134" w:type="dxa"/>
            <w:vMerge w:val="continue"/>
            <w:tcBorders>
              <w:tl2br w:val="nil"/>
              <w:tr2bl w:val="nil"/>
            </w:tcBorders>
            <w:noWrap w:val="0"/>
            <w:vAlign w:val="center"/>
          </w:tcPr>
          <w:p w14:paraId="1537EC10">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7398" w:type="dxa"/>
            <w:tcBorders>
              <w:tl2br w:val="nil"/>
              <w:tr2bl w:val="nil"/>
            </w:tcBorders>
            <w:noWrap w:val="0"/>
            <w:vAlign w:val="center"/>
          </w:tcPr>
          <w:p w14:paraId="6E7633A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color w:val="auto"/>
                <w:kern w:val="0"/>
                <w:sz w:val="22"/>
                <w:szCs w:val="22"/>
                <w:lang w:val="en-US" w:eastAsia="zh-CN" w:bidi="ar"/>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3464" w:type="dxa"/>
            <w:vMerge w:val="continue"/>
            <w:tcBorders>
              <w:tl2br w:val="nil"/>
              <w:tr2bl w:val="nil"/>
            </w:tcBorders>
            <w:noWrap w:val="0"/>
            <w:vAlign w:val="center"/>
          </w:tcPr>
          <w:p w14:paraId="4CE9B30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p>
        </w:tc>
        <w:tc>
          <w:tcPr>
            <w:tcW w:w="695" w:type="dxa"/>
            <w:vMerge w:val="continue"/>
            <w:tcBorders>
              <w:tl2br w:val="nil"/>
              <w:tr2bl w:val="nil"/>
            </w:tcBorders>
            <w:noWrap w:val="0"/>
            <w:vAlign w:val="center"/>
          </w:tcPr>
          <w:p w14:paraId="5A9529FF">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p>
        </w:tc>
      </w:tr>
      <w:tr w14:paraId="1D4AE0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039FD30B">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1134" w:type="dxa"/>
            <w:vMerge w:val="continue"/>
            <w:tcBorders>
              <w:tl2br w:val="nil"/>
              <w:tr2bl w:val="nil"/>
            </w:tcBorders>
            <w:noWrap w:val="0"/>
            <w:vAlign w:val="center"/>
          </w:tcPr>
          <w:p w14:paraId="70DCDC4B">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7398" w:type="dxa"/>
            <w:tcBorders>
              <w:tl2br w:val="nil"/>
              <w:tr2bl w:val="nil"/>
            </w:tcBorders>
            <w:noWrap w:val="0"/>
            <w:vAlign w:val="center"/>
          </w:tcPr>
          <w:p w14:paraId="3DD87DB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color w:val="auto"/>
                <w:kern w:val="0"/>
                <w:sz w:val="22"/>
                <w:szCs w:val="22"/>
                <w:lang w:val="en-US" w:eastAsia="zh-CN" w:bidi="ar"/>
              </w:rPr>
              <w:t>第五条 新建、扩建有色金属冶炼、电镀、铅蓄电池等企业应布设在依法合规设立并经过规划环评的产业园区。</w:t>
            </w:r>
          </w:p>
        </w:tc>
        <w:tc>
          <w:tcPr>
            <w:tcW w:w="3464" w:type="dxa"/>
            <w:vMerge w:val="continue"/>
            <w:tcBorders>
              <w:tl2br w:val="nil"/>
              <w:tr2bl w:val="nil"/>
            </w:tcBorders>
            <w:noWrap w:val="0"/>
            <w:vAlign w:val="center"/>
          </w:tcPr>
          <w:p w14:paraId="7D933E4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p>
        </w:tc>
        <w:tc>
          <w:tcPr>
            <w:tcW w:w="695" w:type="dxa"/>
            <w:vMerge w:val="continue"/>
            <w:tcBorders>
              <w:tl2br w:val="nil"/>
              <w:tr2bl w:val="nil"/>
            </w:tcBorders>
            <w:noWrap w:val="0"/>
            <w:vAlign w:val="center"/>
          </w:tcPr>
          <w:p w14:paraId="4555266B">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p>
        </w:tc>
      </w:tr>
      <w:tr w14:paraId="73512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20FD957B">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1134" w:type="dxa"/>
            <w:vMerge w:val="continue"/>
            <w:tcBorders>
              <w:tl2br w:val="nil"/>
              <w:tr2bl w:val="nil"/>
            </w:tcBorders>
            <w:noWrap w:val="0"/>
            <w:vAlign w:val="center"/>
          </w:tcPr>
          <w:p w14:paraId="5B747426">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7398" w:type="dxa"/>
            <w:tcBorders>
              <w:tl2br w:val="nil"/>
              <w:tr2bl w:val="nil"/>
            </w:tcBorders>
            <w:noWrap w:val="0"/>
            <w:vAlign w:val="center"/>
          </w:tcPr>
          <w:p w14:paraId="687DAE8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color w:val="auto"/>
                <w:kern w:val="0"/>
                <w:sz w:val="22"/>
                <w:szCs w:val="22"/>
                <w:lang w:val="en-US" w:eastAsia="zh-CN" w:bidi="ar"/>
              </w:rPr>
              <w:t>第六条 涉及环境防护距离的工业企业或项目应通过选址或调整布局原则上将环境防护距离控制在园区边界或用地红线内，提前合理规划项目地块布置、预防环境风险。</w:t>
            </w:r>
          </w:p>
        </w:tc>
        <w:tc>
          <w:tcPr>
            <w:tcW w:w="3464" w:type="dxa"/>
            <w:vMerge w:val="continue"/>
            <w:tcBorders>
              <w:tl2br w:val="nil"/>
              <w:tr2bl w:val="nil"/>
            </w:tcBorders>
            <w:noWrap w:val="0"/>
            <w:vAlign w:val="center"/>
          </w:tcPr>
          <w:p w14:paraId="4A8CA88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p>
        </w:tc>
        <w:tc>
          <w:tcPr>
            <w:tcW w:w="695" w:type="dxa"/>
            <w:vMerge w:val="continue"/>
            <w:tcBorders>
              <w:tl2br w:val="nil"/>
              <w:tr2bl w:val="nil"/>
            </w:tcBorders>
            <w:noWrap w:val="0"/>
            <w:vAlign w:val="center"/>
          </w:tcPr>
          <w:p w14:paraId="029B1672">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p>
        </w:tc>
      </w:tr>
      <w:tr w14:paraId="65B7BB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1907C9DC">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1134" w:type="dxa"/>
            <w:vMerge w:val="continue"/>
            <w:tcBorders>
              <w:tl2br w:val="nil"/>
              <w:tr2bl w:val="nil"/>
            </w:tcBorders>
            <w:noWrap w:val="0"/>
            <w:vAlign w:val="center"/>
          </w:tcPr>
          <w:p w14:paraId="4B05C800">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7398" w:type="dxa"/>
            <w:tcBorders>
              <w:tl2br w:val="nil"/>
              <w:tr2bl w:val="nil"/>
            </w:tcBorders>
            <w:noWrap w:val="0"/>
            <w:vAlign w:val="center"/>
          </w:tcPr>
          <w:p w14:paraId="0FC7043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color w:val="auto"/>
                <w:kern w:val="0"/>
                <w:sz w:val="22"/>
                <w:szCs w:val="22"/>
                <w:lang w:val="en-US" w:eastAsia="zh-CN" w:bidi="ar"/>
              </w:rPr>
              <w:t>第七条 有效规范空间开发秩序，合理控制空间开发强度，切实将各类开发活动限制在资源环境承载能力之内，为构建高效协调可持续的国土空间开发格局奠定坚实基础。</w:t>
            </w:r>
          </w:p>
        </w:tc>
        <w:tc>
          <w:tcPr>
            <w:tcW w:w="3464" w:type="dxa"/>
            <w:vMerge w:val="continue"/>
            <w:tcBorders>
              <w:tl2br w:val="nil"/>
              <w:tr2bl w:val="nil"/>
            </w:tcBorders>
            <w:noWrap w:val="0"/>
            <w:vAlign w:val="center"/>
          </w:tcPr>
          <w:p w14:paraId="0D8D4F8B">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p>
        </w:tc>
        <w:tc>
          <w:tcPr>
            <w:tcW w:w="695" w:type="dxa"/>
            <w:vMerge w:val="continue"/>
            <w:tcBorders>
              <w:tl2br w:val="nil"/>
              <w:tr2bl w:val="nil"/>
            </w:tcBorders>
            <w:noWrap w:val="0"/>
            <w:vAlign w:val="center"/>
          </w:tcPr>
          <w:p w14:paraId="7DF2C7E7">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p>
        </w:tc>
      </w:tr>
      <w:tr w14:paraId="0778F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5557EDE9">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1134" w:type="dxa"/>
            <w:vMerge w:val="restart"/>
            <w:tcBorders>
              <w:tl2br w:val="nil"/>
              <w:tr2bl w:val="nil"/>
            </w:tcBorders>
            <w:noWrap w:val="0"/>
            <w:vAlign w:val="center"/>
          </w:tcPr>
          <w:p w14:paraId="63A0F7E7">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bCs/>
                <w:color w:val="auto"/>
                <w:sz w:val="22"/>
                <w:szCs w:val="22"/>
              </w:rPr>
              <w:t>污染物排放管控</w:t>
            </w:r>
          </w:p>
        </w:tc>
        <w:tc>
          <w:tcPr>
            <w:tcW w:w="7398" w:type="dxa"/>
            <w:tcBorders>
              <w:tl2br w:val="nil"/>
              <w:tr2bl w:val="nil"/>
            </w:tcBorders>
            <w:noWrap w:val="0"/>
            <w:vAlign w:val="center"/>
          </w:tcPr>
          <w:p w14:paraId="117271F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bCs/>
                <w:color w:val="auto"/>
                <w:sz w:val="22"/>
                <w:szCs w:val="22"/>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w:t>
            </w:r>
            <w:r>
              <w:rPr>
                <w:rFonts w:hint="default" w:ascii="Times New Roman" w:hAnsi="Times New Roman" w:eastAsia="宋体" w:cs="Times New Roman"/>
                <w:bCs/>
                <w:color w:val="auto"/>
                <w:sz w:val="22"/>
                <w:szCs w:val="22"/>
                <w:lang w:eastAsia="zh-CN"/>
              </w:rPr>
              <w:t>“</w:t>
            </w:r>
            <w:r>
              <w:rPr>
                <w:rFonts w:hint="default" w:ascii="Times New Roman" w:hAnsi="Times New Roman" w:eastAsia="宋体" w:cs="Times New Roman"/>
                <w:bCs/>
                <w:color w:val="auto"/>
                <w:sz w:val="22"/>
                <w:szCs w:val="22"/>
              </w:rPr>
              <w:t>两高</w:t>
            </w:r>
            <w:r>
              <w:rPr>
                <w:rFonts w:hint="default" w:ascii="Times New Roman" w:hAnsi="Times New Roman" w:eastAsia="宋体" w:cs="Times New Roman"/>
                <w:bCs/>
                <w:color w:val="auto"/>
                <w:sz w:val="22"/>
                <w:szCs w:val="22"/>
                <w:lang w:eastAsia="zh-CN"/>
              </w:rPr>
              <w:t>”</w:t>
            </w:r>
            <w:r>
              <w:rPr>
                <w:rFonts w:hint="default" w:ascii="Times New Roman" w:hAnsi="Times New Roman" w:eastAsia="宋体" w:cs="Times New Roman"/>
                <w:bCs/>
                <w:color w:val="auto"/>
                <w:sz w:val="22"/>
                <w:szCs w:val="22"/>
              </w:rPr>
              <w:t>行业建设项目应满足超低排放要求。加强水泥和平板玻璃行业差别化管理，新改扩建项目严格落实相关产业政策要求，满足能效标杆水平、环保绩效A级指标要求。</w:t>
            </w:r>
          </w:p>
        </w:tc>
        <w:tc>
          <w:tcPr>
            <w:tcW w:w="3464" w:type="dxa"/>
            <w:vMerge w:val="restart"/>
            <w:tcBorders>
              <w:tl2br w:val="nil"/>
              <w:tr2bl w:val="nil"/>
            </w:tcBorders>
            <w:noWrap w:val="0"/>
            <w:vAlign w:val="center"/>
          </w:tcPr>
          <w:p w14:paraId="0682BA34">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1、</w:t>
            </w:r>
            <w:r>
              <w:rPr>
                <w:rFonts w:hint="eastAsia" w:ascii="Times New Roman" w:hAnsi="Times New Roman" w:eastAsia="宋体" w:cs="Times New Roman"/>
                <w:snapToGrid w:val="0"/>
                <w:color w:val="auto"/>
                <w:kern w:val="0"/>
                <w:sz w:val="22"/>
                <w:szCs w:val="22"/>
                <w:lang w:val="en-US" w:eastAsia="zh-CN"/>
              </w:rPr>
              <w:t>本</w:t>
            </w:r>
            <w:r>
              <w:rPr>
                <w:rFonts w:hint="default" w:ascii="Times New Roman" w:hAnsi="Times New Roman" w:cs="Times New Roman"/>
                <w:snapToGrid w:val="0"/>
                <w:color w:val="auto"/>
                <w:kern w:val="0"/>
                <w:sz w:val="22"/>
                <w:szCs w:val="22"/>
                <w:lang w:val="en-US" w:eastAsia="zh-CN"/>
              </w:rPr>
              <w:t>项目不属于石化、煤化工、燃煤发电（含热电）、</w:t>
            </w:r>
            <w:r>
              <w:rPr>
                <w:rFonts w:hint="default" w:ascii="Times New Roman" w:hAnsi="Times New Roman" w:eastAsia="宋体" w:cs="Times New Roman"/>
                <w:snapToGrid w:val="0"/>
                <w:color w:val="auto"/>
                <w:kern w:val="0"/>
                <w:sz w:val="22"/>
                <w:szCs w:val="22"/>
                <w:lang w:val="en-US" w:eastAsia="zh-CN"/>
              </w:rPr>
              <w:t>钢铁、有色金属冶炼、制浆造纸</w:t>
            </w:r>
            <w:r>
              <w:rPr>
                <w:rFonts w:hint="default" w:ascii="Times New Roman" w:hAnsi="Times New Roman" w:cs="Times New Roman"/>
                <w:snapToGrid w:val="0"/>
                <w:color w:val="auto"/>
                <w:kern w:val="0"/>
                <w:sz w:val="22"/>
                <w:szCs w:val="22"/>
                <w:lang w:val="en-US" w:eastAsia="zh-CN"/>
              </w:rPr>
              <w:t>、</w:t>
            </w:r>
            <w:r>
              <w:rPr>
                <w:rFonts w:hint="default" w:ascii="Times New Roman" w:hAnsi="Times New Roman" w:eastAsia="宋体" w:cs="Times New Roman"/>
                <w:snapToGrid w:val="0"/>
                <w:color w:val="auto"/>
                <w:kern w:val="0"/>
                <w:sz w:val="22"/>
                <w:szCs w:val="22"/>
                <w:lang w:val="en-US" w:eastAsia="zh-CN"/>
              </w:rPr>
              <w:t>水泥熟料、平板玻璃、电解铝</w:t>
            </w:r>
            <w:r>
              <w:rPr>
                <w:rFonts w:hint="default" w:ascii="Times New Roman" w:hAnsi="Times New Roman" w:cs="Times New Roman"/>
                <w:snapToGrid w:val="0"/>
                <w:color w:val="auto"/>
                <w:kern w:val="0"/>
                <w:sz w:val="22"/>
                <w:szCs w:val="22"/>
                <w:lang w:val="en-US" w:eastAsia="zh-CN"/>
              </w:rPr>
              <w:t>等行业；</w:t>
            </w:r>
          </w:p>
          <w:p w14:paraId="739E4B28">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cs="Times New Roman"/>
                <w:snapToGrid w:val="0"/>
                <w:color w:val="auto"/>
                <w:kern w:val="0"/>
                <w:sz w:val="22"/>
                <w:szCs w:val="22"/>
                <w:lang w:val="en-US" w:eastAsia="zh-CN"/>
              </w:rPr>
              <w:t>2、</w:t>
            </w:r>
            <w:r>
              <w:rPr>
                <w:rFonts w:hint="eastAsia" w:ascii="Times New Roman" w:hAnsi="Times New Roman" w:cs="Times New Roman"/>
                <w:snapToGrid w:val="0"/>
                <w:color w:val="auto"/>
                <w:kern w:val="0"/>
                <w:sz w:val="22"/>
                <w:szCs w:val="22"/>
                <w:lang w:val="en-US" w:eastAsia="zh-CN"/>
              </w:rPr>
              <w:t>本</w:t>
            </w:r>
            <w:r>
              <w:rPr>
                <w:rFonts w:hint="default" w:ascii="Times New Roman" w:hAnsi="Times New Roman" w:eastAsia="宋体" w:cs="Times New Roman"/>
                <w:snapToGrid w:val="0"/>
                <w:color w:val="auto"/>
                <w:kern w:val="0"/>
                <w:sz w:val="22"/>
                <w:szCs w:val="22"/>
                <w:lang w:val="en-US" w:eastAsia="zh-CN"/>
              </w:rPr>
              <w:t>项目所在地</w:t>
            </w:r>
            <w:r>
              <w:rPr>
                <w:rFonts w:hint="eastAsia" w:ascii="Times New Roman" w:hAnsi="Times New Roman" w:eastAsia="宋体" w:cs="Times New Roman"/>
                <w:snapToGrid w:val="0"/>
                <w:color w:val="auto"/>
                <w:kern w:val="0"/>
                <w:sz w:val="22"/>
                <w:szCs w:val="22"/>
                <w:lang w:val="en-US" w:eastAsia="zh-CN"/>
              </w:rPr>
              <w:t>九龙坡区</w:t>
            </w:r>
            <w:r>
              <w:rPr>
                <w:rFonts w:hint="default" w:ascii="Times New Roman" w:hAnsi="Times New Roman" w:eastAsia="宋体" w:cs="Times New Roman"/>
                <w:snapToGrid w:val="0"/>
                <w:color w:val="auto"/>
                <w:kern w:val="0"/>
                <w:sz w:val="22"/>
                <w:szCs w:val="22"/>
                <w:lang w:val="en-US" w:eastAsia="zh-CN"/>
              </w:rPr>
              <w:t>为大气环境质量达标区</w:t>
            </w:r>
            <w:r>
              <w:rPr>
                <w:rFonts w:hint="eastAsia" w:ascii="Times New Roman" w:hAnsi="Times New Roman" w:eastAsia="宋体" w:cs="Times New Roman"/>
                <w:snapToGrid w:val="0"/>
                <w:color w:val="auto"/>
                <w:kern w:val="0"/>
                <w:sz w:val="22"/>
                <w:szCs w:val="22"/>
                <w:lang w:val="en-US" w:eastAsia="zh-CN"/>
              </w:rPr>
              <w:t>，产生的熔炼废气、均质废气等</w:t>
            </w:r>
            <w:r>
              <w:rPr>
                <w:rFonts w:hint="eastAsia" w:ascii="Times New Roman" w:hAnsi="Times New Roman" w:eastAsia="宋体" w:cs="Times New Roman"/>
                <w:snapToGrid w:val="0"/>
                <w:color w:val="auto"/>
                <w:kern w:val="0"/>
                <w:sz w:val="22"/>
                <w:szCs w:val="22"/>
                <w:highlight w:val="none"/>
                <w:lang w:val="en-US" w:eastAsia="zh-CN"/>
              </w:rPr>
              <w:t>排放量在园区总量管控限值要求内</w:t>
            </w:r>
            <w:r>
              <w:rPr>
                <w:rFonts w:hint="default" w:ascii="Times New Roman" w:hAnsi="Times New Roman" w:eastAsia="宋体" w:cs="Times New Roman"/>
                <w:snapToGrid w:val="0"/>
                <w:color w:val="auto"/>
                <w:kern w:val="0"/>
                <w:sz w:val="22"/>
                <w:szCs w:val="22"/>
                <w:highlight w:val="none"/>
                <w:lang w:val="en-US" w:eastAsia="zh-CN"/>
              </w:rPr>
              <w:t>；</w:t>
            </w:r>
          </w:p>
          <w:p w14:paraId="19AC6185">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highlight w:val="none"/>
                <w:lang w:val="en-US" w:eastAsia="zh-CN"/>
              </w:rPr>
            </w:pPr>
            <w:r>
              <w:rPr>
                <w:rFonts w:hint="default" w:ascii="Times New Roman" w:hAnsi="Times New Roman" w:cs="Times New Roman"/>
                <w:snapToGrid w:val="0"/>
                <w:color w:val="auto"/>
                <w:kern w:val="0"/>
                <w:sz w:val="22"/>
                <w:szCs w:val="22"/>
                <w:highlight w:val="none"/>
                <w:lang w:val="en-US" w:eastAsia="zh-CN"/>
              </w:rPr>
              <w:t>3</w:t>
            </w:r>
            <w:r>
              <w:rPr>
                <w:rFonts w:hint="default" w:ascii="Times New Roman" w:hAnsi="Times New Roman" w:eastAsia="宋体" w:cs="Times New Roman"/>
                <w:snapToGrid w:val="0"/>
                <w:color w:val="auto"/>
                <w:kern w:val="0"/>
                <w:sz w:val="22"/>
                <w:szCs w:val="22"/>
                <w:highlight w:val="none"/>
                <w:lang w:val="en-US" w:eastAsia="zh-CN"/>
              </w:rPr>
              <w:t>、</w:t>
            </w:r>
            <w:r>
              <w:rPr>
                <w:rFonts w:hint="eastAsia" w:ascii="Times New Roman" w:hAnsi="Times New Roman" w:eastAsia="宋体" w:cs="Times New Roman"/>
                <w:snapToGrid w:val="0"/>
                <w:color w:val="auto"/>
                <w:kern w:val="0"/>
                <w:sz w:val="22"/>
                <w:szCs w:val="22"/>
                <w:highlight w:val="none"/>
                <w:lang w:val="en-US" w:eastAsia="zh-CN"/>
              </w:rPr>
              <w:t>本</w:t>
            </w:r>
            <w:r>
              <w:rPr>
                <w:rFonts w:hint="default" w:ascii="Times New Roman" w:hAnsi="Times New Roman" w:eastAsia="宋体" w:cs="Times New Roman"/>
                <w:snapToGrid w:val="0"/>
                <w:color w:val="auto"/>
                <w:kern w:val="0"/>
                <w:sz w:val="22"/>
                <w:szCs w:val="22"/>
                <w:highlight w:val="none"/>
                <w:lang w:val="en-US" w:eastAsia="zh-CN"/>
              </w:rPr>
              <w:t>项目</w:t>
            </w:r>
            <w:r>
              <w:rPr>
                <w:rFonts w:hint="eastAsia" w:ascii="Times New Roman" w:hAnsi="Times New Roman" w:eastAsia="宋体" w:cs="Times New Roman"/>
                <w:snapToGrid w:val="0"/>
                <w:color w:val="auto"/>
                <w:kern w:val="0"/>
                <w:sz w:val="22"/>
                <w:szCs w:val="22"/>
                <w:highlight w:val="none"/>
                <w:lang w:val="en-US" w:eastAsia="zh-CN"/>
              </w:rPr>
              <w:t>不属于重点行业，仅切削液产生微量的</w:t>
            </w:r>
            <w:r>
              <w:rPr>
                <w:rFonts w:hint="default" w:ascii="Times New Roman" w:hAnsi="Times New Roman" w:eastAsia="宋体" w:cs="Times New Roman"/>
                <w:snapToGrid w:val="0"/>
                <w:color w:val="auto"/>
                <w:kern w:val="0"/>
                <w:sz w:val="22"/>
                <w:szCs w:val="22"/>
                <w:highlight w:val="none"/>
                <w:lang w:val="en-US" w:eastAsia="zh-CN"/>
              </w:rPr>
              <w:t>VOCs</w:t>
            </w:r>
            <w:r>
              <w:rPr>
                <w:rFonts w:hint="default" w:ascii="Times New Roman" w:hAnsi="Times New Roman" w:cs="Times New Roman"/>
                <w:snapToGrid w:val="0"/>
                <w:color w:val="auto"/>
                <w:kern w:val="0"/>
                <w:sz w:val="22"/>
                <w:szCs w:val="22"/>
                <w:highlight w:val="none"/>
                <w:lang w:val="en-US" w:eastAsia="zh-CN"/>
              </w:rPr>
              <w:t>排放</w:t>
            </w:r>
            <w:r>
              <w:rPr>
                <w:rFonts w:hint="default" w:ascii="Times New Roman" w:hAnsi="Times New Roman" w:eastAsia="宋体" w:cs="Times New Roman"/>
                <w:snapToGrid w:val="0"/>
                <w:color w:val="auto"/>
                <w:kern w:val="0"/>
                <w:sz w:val="22"/>
                <w:szCs w:val="22"/>
                <w:highlight w:val="none"/>
                <w:lang w:val="en-US" w:eastAsia="zh-CN"/>
              </w:rPr>
              <w:t>；</w:t>
            </w:r>
          </w:p>
          <w:p w14:paraId="2EACBBB2">
            <w:pPr>
              <w:adjustRightInd w:val="0"/>
              <w:snapToGrid w:val="0"/>
              <w:spacing w:line="240" w:lineRule="auto"/>
              <w:ind w:firstLine="0" w:firstLineChars="0"/>
              <w:jc w:val="both"/>
              <w:rPr>
                <w:rFonts w:hint="default" w:ascii="Times New Roman" w:hAnsi="Times New Roman" w:cs="Times New Roman"/>
                <w:bCs/>
                <w:color w:val="auto"/>
                <w:sz w:val="22"/>
                <w:szCs w:val="22"/>
                <w:lang w:eastAsia="zh-CN"/>
              </w:rPr>
            </w:pPr>
            <w:r>
              <w:rPr>
                <w:rFonts w:hint="default" w:ascii="Times New Roman" w:hAnsi="Times New Roman" w:cs="Times New Roman"/>
                <w:snapToGrid w:val="0"/>
                <w:color w:val="auto"/>
                <w:kern w:val="0"/>
                <w:sz w:val="22"/>
                <w:szCs w:val="22"/>
                <w:lang w:val="en-US" w:eastAsia="zh-CN"/>
              </w:rPr>
              <w:t>4、</w:t>
            </w:r>
            <w:r>
              <w:rPr>
                <w:rFonts w:hint="eastAsia" w:ascii="Times New Roman" w:hAnsi="Times New Roman" w:cs="Times New Roman"/>
                <w:snapToGrid w:val="0"/>
                <w:color w:val="auto"/>
                <w:kern w:val="0"/>
                <w:sz w:val="22"/>
                <w:szCs w:val="22"/>
                <w:lang w:val="en-US" w:eastAsia="zh-CN"/>
              </w:rPr>
              <w:t>本项目不产生生产废水，生活污水</w:t>
            </w:r>
            <w:r>
              <w:rPr>
                <w:rFonts w:hint="eastAsia" w:ascii="Times New Roman" w:hAnsi="Times New Roman" w:cs="Times New Roman"/>
                <w:bCs/>
                <w:color w:val="auto"/>
                <w:sz w:val="22"/>
                <w:szCs w:val="22"/>
                <w:lang w:val="en-US" w:eastAsia="zh-CN"/>
              </w:rPr>
              <w:t>属于</w:t>
            </w:r>
            <w:r>
              <w:rPr>
                <w:rFonts w:hint="eastAsia" w:ascii="Times New Roman" w:hAnsi="Times New Roman" w:eastAsia="宋体" w:cs="Times New Roman"/>
                <w:bCs/>
                <w:color w:val="auto"/>
                <w:sz w:val="22"/>
                <w:szCs w:val="22"/>
                <w:lang w:eastAsia="zh-CN"/>
              </w:rPr>
              <w:t>西彭城镇污水处理厂</w:t>
            </w:r>
            <w:r>
              <w:rPr>
                <w:rFonts w:hint="eastAsia" w:ascii="Times New Roman" w:hAnsi="Times New Roman" w:eastAsia="宋体" w:cs="Times New Roman"/>
                <w:bCs/>
                <w:color w:val="auto"/>
                <w:sz w:val="22"/>
                <w:szCs w:val="22"/>
                <w:lang w:val="en-US" w:eastAsia="zh-CN"/>
              </w:rPr>
              <w:t>收水范围，生活污水</w:t>
            </w:r>
            <w:r>
              <w:rPr>
                <w:rFonts w:hint="eastAsia" w:ascii="Times New Roman" w:hAnsi="Times New Roman" w:eastAsia="宋体" w:cs="Times New Roman"/>
                <w:bCs/>
                <w:color w:val="auto"/>
                <w:sz w:val="22"/>
                <w:szCs w:val="22"/>
              </w:rPr>
              <w:t>依托</w:t>
            </w:r>
            <w:r>
              <w:rPr>
                <w:rFonts w:hint="eastAsia" w:ascii="Times New Roman" w:hAnsi="Times New Roman" w:eastAsia="宋体" w:cs="Times New Roman"/>
                <w:bCs/>
                <w:color w:val="auto"/>
                <w:sz w:val="22"/>
                <w:szCs w:val="22"/>
                <w:lang w:eastAsia="zh-CN"/>
              </w:rPr>
              <w:t>厂区</w:t>
            </w:r>
            <w:r>
              <w:rPr>
                <w:rFonts w:hint="eastAsia" w:ascii="Times New Roman" w:hAnsi="Times New Roman" w:eastAsia="宋体" w:cs="Times New Roman"/>
                <w:bCs/>
                <w:color w:val="auto"/>
                <w:sz w:val="22"/>
                <w:szCs w:val="22"/>
                <w:lang w:val="en-US" w:eastAsia="zh-CN"/>
              </w:rPr>
              <w:t>现有生化池</w:t>
            </w:r>
            <w:r>
              <w:rPr>
                <w:rFonts w:hint="eastAsia" w:ascii="Times New Roman" w:hAnsi="Times New Roman" w:eastAsia="宋体" w:cs="Times New Roman"/>
                <w:bCs/>
                <w:color w:val="auto"/>
                <w:sz w:val="22"/>
                <w:szCs w:val="22"/>
              </w:rPr>
              <w:t>处理</w:t>
            </w:r>
            <w:r>
              <w:rPr>
                <w:rFonts w:hint="eastAsia" w:ascii="Times New Roman" w:hAnsi="Times New Roman" w:eastAsia="宋体" w:cs="Times New Roman"/>
                <w:bCs/>
                <w:color w:val="auto"/>
                <w:sz w:val="22"/>
                <w:szCs w:val="22"/>
                <w:lang w:eastAsia="zh-CN"/>
              </w:rPr>
              <w:t>达标</w:t>
            </w:r>
            <w:r>
              <w:rPr>
                <w:rFonts w:hint="eastAsia" w:ascii="Times New Roman" w:hAnsi="Times New Roman" w:eastAsia="宋体" w:cs="Times New Roman"/>
                <w:bCs/>
                <w:color w:val="auto"/>
                <w:sz w:val="22"/>
                <w:szCs w:val="22"/>
              </w:rPr>
              <w:t>后进入</w:t>
            </w:r>
            <w:r>
              <w:rPr>
                <w:rFonts w:hint="eastAsia" w:ascii="Times New Roman" w:hAnsi="Times New Roman" w:eastAsia="宋体" w:cs="Times New Roman"/>
                <w:bCs/>
                <w:color w:val="auto"/>
                <w:sz w:val="22"/>
                <w:szCs w:val="22"/>
                <w:lang w:eastAsia="zh-CN"/>
              </w:rPr>
              <w:t>市政</w:t>
            </w:r>
            <w:r>
              <w:rPr>
                <w:rFonts w:hint="eastAsia" w:ascii="Times New Roman" w:hAnsi="Times New Roman" w:eastAsia="宋体" w:cs="Times New Roman"/>
                <w:bCs/>
                <w:color w:val="auto"/>
                <w:sz w:val="22"/>
                <w:szCs w:val="22"/>
              </w:rPr>
              <w:t>污水管网</w:t>
            </w:r>
            <w:r>
              <w:rPr>
                <w:rFonts w:hint="default" w:ascii="Times New Roman" w:hAnsi="Times New Roman" w:cs="Times New Roman"/>
                <w:bCs/>
                <w:color w:val="auto"/>
                <w:sz w:val="22"/>
                <w:szCs w:val="22"/>
                <w:lang w:eastAsia="zh-CN"/>
              </w:rPr>
              <w:t>；</w:t>
            </w:r>
          </w:p>
          <w:p w14:paraId="45D76EF9">
            <w:pPr>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Cs/>
                <w:color w:val="auto"/>
                <w:sz w:val="22"/>
                <w:szCs w:val="22"/>
                <w:lang w:val="en-US" w:eastAsia="zh-CN"/>
              </w:rPr>
            </w:pPr>
            <w:r>
              <w:rPr>
                <w:rFonts w:hint="default" w:ascii="Times New Roman" w:hAnsi="Times New Roman" w:cs="Times New Roman"/>
                <w:bCs/>
                <w:color w:val="auto"/>
                <w:sz w:val="22"/>
                <w:szCs w:val="22"/>
                <w:lang w:val="en-US" w:eastAsia="zh-CN"/>
              </w:rPr>
              <w:t>5、</w:t>
            </w:r>
            <w:r>
              <w:rPr>
                <w:rFonts w:hint="eastAsia" w:ascii="Times New Roman" w:hAnsi="Times New Roman" w:cs="Times New Roman"/>
                <w:bCs/>
                <w:color w:val="auto"/>
                <w:sz w:val="22"/>
                <w:szCs w:val="22"/>
                <w:lang w:val="en-US" w:eastAsia="zh-CN"/>
              </w:rPr>
              <w:t>本项目属于有色金属合金制造及铸造，不属于重点行业，不涉及重金属污染物排放；</w:t>
            </w:r>
          </w:p>
          <w:p w14:paraId="0B67237B">
            <w:pPr>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val="0"/>
                <w:color w:val="auto"/>
                <w:sz w:val="22"/>
                <w:szCs w:val="22"/>
              </w:rPr>
            </w:pPr>
            <w:r>
              <w:rPr>
                <w:rFonts w:hint="eastAsia" w:ascii="Times New Roman" w:hAnsi="Times New Roman" w:cs="Times New Roman"/>
                <w:bCs/>
                <w:color w:val="auto"/>
                <w:sz w:val="22"/>
                <w:szCs w:val="22"/>
                <w:lang w:val="en-US" w:eastAsia="zh-CN"/>
              </w:rPr>
              <w:t>6、本项目</w:t>
            </w:r>
            <w:r>
              <w:rPr>
                <w:rFonts w:hint="default" w:ascii="Times New Roman" w:hAnsi="Times New Roman" w:cs="Times New Roman"/>
                <w:bCs/>
                <w:color w:val="auto"/>
                <w:sz w:val="22"/>
                <w:szCs w:val="22"/>
                <w:lang w:val="en-US" w:eastAsia="zh-CN"/>
              </w:rPr>
              <w:t>产生的固废进行分类收集、分类运输及处置，满足</w:t>
            </w:r>
            <w:r>
              <w:rPr>
                <w:rFonts w:hint="default" w:ascii="Times New Roman" w:hAnsi="Times New Roman" w:eastAsia="宋体" w:cs="Times New Roman"/>
                <w:snapToGrid w:val="0"/>
                <w:color w:val="auto"/>
                <w:kern w:val="0"/>
                <w:sz w:val="22"/>
                <w:szCs w:val="22"/>
                <w:lang w:val="en-US" w:eastAsia="zh-CN"/>
              </w:rPr>
              <w:t>减量化、资源化和无害化原则</w:t>
            </w:r>
          </w:p>
        </w:tc>
        <w:tc>
          <w:tcPr>
            <w:tcW w:w="695" w:type="dxa"/>
            <w:vMerge w:val="restart"/>
            <w:tcBorders>
              <w:tl2br w:val="nil"/>
              <w:tr2bl w:val="nil"/>
            </w:tcBorders>
            <w:noWrap w:val="0"/>
            <w:vAlign w:val="center"/>
          </w:tcPr>
          <w:p w14:paraId="07882797">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bCs/>
                <w:color w:val="auto"/>
                <w:sz w:val="22"/>
                <w:szCs w:val="22"/>
                <w:lang w:val="en-US" w:eastAsia="zh-CN"/>
              </w:rPr>
              <w:t>符合</w:t>
            </w:r>
          </w:p>
        </w:tc>
      </w:tr>
      <w:tr w14:paraId="0D0EE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6D5630F8">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1134" w:type="dxa"/>
            <w:vMerge w:val="continue"/>
            <w:tcBorders>
              <w:tl2br w:val="nil"/>
              <w:tr2bl w:val="nil"/>
            </w:tcBorders>
            <w:noWrap w:val="0"/>
            <w:vAlign w:val="center"/>
          </w:tcPr>
          <w:p w14:paraId="47F7DC95">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7398" w:type="dxa"/>
            <w:tcBorders>
              <w:tl2br w:val="nil"/>
              <w:tr2bl w:val="nil"/>
            </w:tcBorders>
            <w:noWrap w:val="0"/>
            <w:vAlign w:val="center"/>
          </w:tcPr>
          <w:p w14:paraId="7676514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color w:val="auto"/>
                <w:kern w:val="0"/>
                <w:sz w:val="22"/>
                <w:szCs w:val="22"/>
                <w:lang w:val="en-US" w:eastAsia="zh-CN" w:bidi="ar"/>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3464" w:type="dxa"/>
            <w:vMerge w:val="continue"/>
            <w:tcBorders>
              <w:tl2br w:val="nil"/>
              <w:tr2bl w:val="nil"/>
            </w:tcBorders>
            <w:noWrap w:val="0"/>
            <w:vAlign w:val="center"/>
          </w:tcPr>
          <w:p w14:paraId="14EEE468">
            <w:pPr>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val="0"/>
                <w:color w:val="auto"/>
                <w:sz w:val="22"/>
                <w:szCs w:val="22"/>
              </w:rPr>
            </w:pPr>
          </w:p>
        </w:tc>
        <w:tc>
          <w:tcPr>
            <w:tcW w:w="695" w:type="dxa"/>
            <w:vMerge w:val="continue"/>
            <w:tcBorders>
              <w:tl2br w:val="nil"/>
              <w:tr2bl w:val="nil"/>
            </w:tcBorders>
            <w:noWrap w:val="0"/>
            <w:vAlign w:val="center"/>
          </w:tcPr>
          <w:p w14:paraId="008A3761">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p>
        </w:tc>
      </w:tr>
      <w:tr w14:paraId="1880F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50EDCE62">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1134" w:type="dxa"/>
            <w:vMerge w:val="continue"/>
            <w:tcBorders>
              <w:tl2br w:val="nil"/>
              <w:tr2bl w:val="nil"/>
            </w:tcBorders>
            <w:noWrap w:val="0"/>
            <w:vAlign w:val="center"/>
          </w:tcPr>
          <w:p w14:paraId="563593DF">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7398" w:type="dxa"/>
            <w:tcBorders>
              <w:tl2br w:val="nil"/>
              <w:tr2bl w:val="nil"/>
            </w:tcBorders>
            <w:noWrap w:val="0"/>
            <w:vAlign w:val="center"/>
          </w:tcPr>
          <w:p w14:paraId="7F0760D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color w:val="auto"/>
                <w:kern w:val="0"/>
                <w:sz w:val="22"/>
                <w:szCs w:val="22"/>
                <w:lang w:val="en-US" w:eastAsia="zh-CN" w:bidi="ar"/>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3464" w:type="dxa"/>
            <w:vMerge w:val="continue"/>
            <w:tcBorders>
              <w:tl2br w:val="nil"/>
              <w:tr2bl w:val="nil"/>
            </w:tcBorders>
            <w:noWrap w:val="0"/>
            <w:vAlign w:val="center"/>
          </w:tcPr>
          <w:p w14:paraId="68EBD4F2">
            <w:pPr>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val="0"/>
                <w:color w:val="auto"/>
                <w:sz w:val="22"/>
                <w:szCs w:val="22"/>
              </w:rPr>
            </w:pPr>
          </w:p>
        </w:tc>
        <w:tc>
          <w:tcPr>
            <w:tcW w:w="695" w:type="dxa"/>
            <w:vMerge w:val="continue"/>
            <w:tcBorders>
              <w:tl2br w:val="nil"/>
              <w:tr2bl w:val="nil"/>
            </w:tcBorders>
            <w:noWrap w:val="0"/>
            <w:vAlign w:val="center"/>
          </w:tcPr>
          <w:p w14:paraId="6AA9B793">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p>
        </w:tc>
      </w:tr>
      <w:tr w14:paraId="341D5D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3E699136">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1134" w:type="dxa"/>
            <w:vMerge w:val="continue"/>
            <w:tcBorders>
              <w:tl2br w:val="nil"/>
              <w:tr2bl w:val="nil"/>
            </w:tcBorders>
            <w:noWrap w:val="0"/>
            <w:vAlign w:val="center"/>
          </w:tcPr>
          <w:p w14:paraId="7913DE12">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7398" w:type="dxa"/>
            <w:tcBorders>
              <w:tl2br w:val="nil"/>
              <w:tr2bl w:val="nil"/>
            </w:tcBorders>
            <w:noWrap w:val="0"/>
            <w:vAlign w:val="center"/>
          </w:tcPr>
          <w:p w14:paraId="01ACE61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color w:val="auto"/>
                <w:kern w:val="0"/>
                <w:sz w:val="22"/>
                <w:szCs w:val="22"/>
                <w:lang w:val="en-US" w:eastAsia="zh-CN" w:bidi="ar"/>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3464" w:type="dxa"/>
            <w:vMerge w:val="continue"/>
            <w:tcBorders>
              <w:tl2br w:val="nil"/>
              <w:tr2bl w:val="nil"/>
            </w:tcBorders>
            <w:noWrap w:val="0"/>
            <w:vAlign w:val="center"/>
          </w:tcPr>
          <w:p w14:paraId="58D539A7">
            <w:pPr>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val="0"/>
                <w:color w:val="auto"/>
                <w:sz w:val="22"/>
                <w:szCs w:val="22"/>
              </w:rPr>
            </w:pPr>
          </w:p>
        </w:tc>
        <w:tc>
          <w:tcPr>
            <w:tcW w:w="695" w:type="dxa"/>
            <w:vMerge w:val="continue"/>
            <w:tcBorders>
              <w:tl2br w:val="nil"/>
              <w:tr2bl w:val="nil"/>
            </w:tcBorders>
            <w:noWrap w:val="0"/>
            <w:vAlign w:val="center"/>
          </w:tcPr>
          <w:p w14:paraId="32467E9E">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p>
        </w:tc>
      </w:tr>
      <w:tr w14:paraId="4E5E7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5054298D">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1134" w:type="dxa"/>
            <w:vMerge w:val="continue"/>
            <w:tcBorders>
              <w:tl2br w:val="nil"/>
              <w:tr2bl w:val="nil"/>
            </w:tcBorders>
            <w:noWrap w:val="0"/>
            <w:vAlign w:val="center"/>
          </w:tcPr>
          <w:p w14:paraId="084E11BB">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7398" w:type="dxa"/>
            <w:tcBorders>
              <w:tl2br w:val="nil"/>
              <w:tr2bl w:val="nil"/>
            </w:tcBorders>
            <w:noWrap w:val="0"/>
            <w:vAlign w:val="center"/>
          </w:tcPr>
          <w:p w14:paraId="4E53059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color w:val="auto"/>
                <w:kern w:val="0"/>
                <w:sz w:val="22"/>
                <w:szCs w:val="22"/>
                <w:lang w:val="en-US" w:eastAsia="zh-CN" w:bidi="ar"/>
              </w:rPr>
              <w:t>第十二条 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tc>
        <w:tc>
          <w:tcPr>
            <w:tcW w:w="3464" w:type="dxa"/>
            <w:vMerge w:val="continue"/>
            <w:tcBorders>
              <w:tl2br w:val="nil"/>
              <w:tr2bl w:val="nil"/>
            </w:tcBorders>
            <w:noWrap w:val="0"/>
            <w:vAlign w:val="center"/>
          </w:tcPr>
          <w:p w14:paraId="16D72891">
            <w:pPr>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val="0"/>
                <w:color w:val="auto"/>
                <w:sz w:val="22"/>
                <w:szCs w:val="22"/>
              </w:rPr>
            </w:pPr>
          </w:p>
        </w:tc>
        <w:tc>
          <w:tcPr>
            <w:tcW w:w="695" w:type="dxa"/>
            <w:vMerge w:val="continue"/>
            <w:tcBorders>
              <w:tl2br w:val="nil"/>
              <w:tr2bl w:val="nil"/>
            </w:tcBorders>
            <w:noWrap w:val="0"/>
            <w:vAlign w:val="center"/>
          </w:tcPr>
          <w:p w14:paraId="3425522F">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p>
        </w:tc>
      </w:tr>
      <w:tr w14:paraId="25C6E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5E20CF28">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1134" w:type="dxa"/>
            <w:vMerge w:val="continue"/>
            <w:tcBorders>
              <w:tl2br w:val="nil"/>
              <w:tr2bl w:val="nil"/>
            </w:tcBorders>
            <w:noWrap w:val="0"/>
            <w:vAlign w:val="center"/>
          </w:tcPr>
          <w:p w14:paraId="5C43482D">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7398" w:type="dxa"/>
            <w:tcBorders>
              <w:tl2br w:val="nil"/>
              <w:tr2bl w:val="nil"/>
            </w:tcBorders>
            <w:noWrap w:val="0"/>
            <w:vAlign w:val="center"/>
          </w:tcPr>
          <w:p w14:paraId="067FCCB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color w:val="auto"/>
                <w:kern w:val="0"/>
                <w:sz w:val="22"/>
                <w:szCs w:val="22"/>
                <w:lang w:val="en-US" w:eastAsia="zh-CN" w:bidi="ar"/>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3464" w:type="dxa"/>
            <w:vMerge w:val="continue"/>
            <w:tcBorders>
              <w:tl2br w:val="nil"/>
              <w:tr2bl w:val="nil"/>
            </w:tcBorders>
            <w:noWrap w:val="0"/>
            <w:vAlign w:val="center"/>
          </w:tcPr>
          <w:p w14:paraId="5590F890">
            <w:pPr>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val="0"/>
                <w:color w:val="auto"/>
                <w:sz w:val="22"/>
                <w:szCs w:val="22"/>
              </w:rPr>
            </w:pPr>
          </w:p>
        </w:tc>
        <w:tc>
          <w:tcPr>
            <w:tcW w:w="695" w:type="dxa"/>
            <w:vMerge w:val="continue"/>
            <w:tcBorders>
              <w:tl2br w:val="nil"/>
              <w:tr2bl w:val="nil"/>
            </w:tcBorders>
            <w:noWrap w:val="0"/>
            <w:vAlign w:val="center"/>
          </w:tcPr>
          <w:p w14:paraId="323DD13F">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p>
        </w:tc>
      </w:tr>
      <w:tr w14:paraId="39909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0B2867EC">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1134" w:type="dxa"/>
            <w:vMerge w:val="continue"/>
            <w:tcBorders>
              <w:tl2br w:val="nil"/>
              <w:tr2bl w:val="nil"/>
            </w:tcBorders>
            <w:noWrap w:val="0"/>
            <w:vAlign w:val="center"/>
          </w:tcPr>
          <w:p w14:paraId="41245053">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7398" w:type="dxa"/>
            <w:tcBorders>
              <w:tl2br w:val="nil"/>
              <w:tr2bl w:val="nil"/>
            </w:tcBorders>
            <w:noWrap w:val="0"/>
            <w:vAlign w:val="center"/>
          </w:tcPr>
          <w:p w14:paraId="1293246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color w:val="auto"/>
                <w:kern w:val="0"/>
                <w:sz w:val="22"/>
                <w:szCs w:val="22"/>
                <w:lang w:val="en-US" w:eastAsia="zh-CN" w:bidi="ar"/>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3464" w:type="dxa"/>
            <w:vMerge w:val="continue"/>
            <w:tcBorders>
              <w:tl2br w:val="nil"/>
              <w:tr2bl w:val="nil"/>
            </w:tcBorders>
            <w:noWrap w:val="0"/>
            <w:vAlign w:val="center"/>
          </w:tcPr>
          <w:p w14:paraId="2B00D85F">
            <w:pPr>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val="0"/>
                <w:color w:val="auto"/>
                <w:sz w:val="22"/>
                <w:szCs w:val="22"/>
              </w:rPr>
            </w:pPr>
          </w:p>
        </w:tc>
        <w:tc>
          <w:tcPr>
            <w:tcW w:w="695" w:type="dxa"/>
            <w:vMerge w:val="continue"/>
            <w:tcBorders>
              <w:tl2br w:val="nil"/>
              <w:tr2bl w:val="nil"/>
            </w:tcBorders>
            <w:noWrap w:val="0"/>
            <w:vAlign w:val="center"/>
          </w:tcPr>
          <w:p w14:paraId="7474C614">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p>
        </w:tc>
      </w:tr>
      <w:tr w14:paraId="2CF66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2B211D9C">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1134" w:type="dxa"/>
            <w:vMerge w:val="continue"/>
            <w:tcBorders>
              <w:tl2br w:val="nil"/>
              <w:tr2bl w:val="nil"/>
            </w:tcBorders>
            <w:noWrap w:val="0"/>
            <w:vAlign w:val="center"/>
          </w:tcPr>
          <w:p w14:paraId="378DB4D7">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7398" w:type="dxa"/>
            <w:tcBorders>
              <w:tl2br w:val="nil"/>
              <w:tr2bl w:val="nil"/>
            </w:tcBorders>
            <w:noWrap w:val="0"/>
            <w:vAlign w:val="center"/>
          </w:tcPr>
          <w:p w14:paraId="6F98C598">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color w:val="auto"/>
                <w:kern w:val="0"/>
                <w:sz w:val="22"/>
                <w:szCs w:val="22"/>
                <w:lang w:val="en-US" w:eastAsia="zh-CN" w:bidi="ar"/>
              </w:rPr>
              <w:t>第十五条 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3464" w:type="dxa"/>
            <w:vMerge w:val="continue"/>
            <w:tcBorders>
              <w:tl2br w:val="nil"/>
              <w:tr2bl w:val="nil"/>
            </w:tcBorders>
            <w:noWrap w:val="0"/>
            <w:vAlign w:val="center"/>
          </w:tcPr>
          <w:p w14:paraId="5A6F17B0">
            <w:pPr>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val="0"/>
                <w:color w:val="auto"/>
                <w:sz w:val="22"/>
                <w:szCs w:val="22"/>
              </w:rPr>
            </w:pPr>
          </w:p>
        </w:tc>
        <w:tc>
          <w:tcPr>
            <w:tcW w:w="695" w:type="dxa"/>
            <w:vMerge w:val="continue"/>
            <w:tcBorders>
              <w:tl2br w:val="nil"/>
              <w:tr2bl w:val="nil"/>
            </w:tcBorders>
            <w:noWrap w:val="0"/>
            <w:vAlign w:val="center"/>
          </w:tcPr>
          <w:p w14:paraId="1BF7A0B6">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p>
        </w:tc>
      </w:tr>
      <w:tr w14:paraId="024A88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2959988A">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1134" w:type="dxa"/>
            <w:vMerge w:val="restart"/>
            <w:tcBorders>
              <w:tl2br w:val="nil"/>
              <w:tr2bl w:val="nil"/>
            </w:tcBorders>
            <w:noWrap w:val="0"/>
            <w:vAlign w:val="center"/>
          </w:tcPr>
          <w:p w14:paraId="6296AD35">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bCs/>
                <w:color w:val="auto"/>
                <w:sz w:val="22"/>
                <w:szCs w:val="22"/>
              </w:rPr>
              <w:t>环境风险防控</w:t>
            </w:r>
          </w:p>
        </w:tc>
        <w:tc>
          <w:tcPr>
            <w:tcW w:w="7398" w:type="dxa"/>
            <w:tcBorders>
              <w:tl2br w:val="nil"/>
              <w:tr2bl w:val="nil"/>
            </w:tcBorders>
            <w:noWrap w:val="0"/>
            <w:vAlign w:val="top"/>
          </w:tcPr>
          <w:p w14:paraId="5433EA5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color w:val="auto"/>
                <w:sz w:val="22"/>
                <w:szCs w:val="22"/>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3464" w:type="dxa"/>
            <w:vMerge w:val="restart"/>
            <w:tcBorders>
              <w:tl2br w:val="nil"/>
              <w:tr2bl w:val="nil"/>
            </w:tcBorders>
            <w:noWrap w:val="0"/>
            <w:vAlign w:val="center"/>
          </w:tcPr>
          <w:p w14:paraId="4C91BCC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eastAsia" w:ascii="Times New Roman" w:hAnsi="Times New Roman" w:eastAsia="宋体" w:cs="Times New Roman"/>
                <w:snapToGrid w:val="0"/>
                <w:color w:val="auto"/>
                <w:kern w:val="0"/>
                <w:sz w:val="22"/>
                <w:szCs w:val="22"/>
                <w:lang w:val="en-US" w:eastAsia="zh-CN"/>
              </w:rPr>
              <w:t>本</w:t>
            </w:r>
            <w:r>
              <w:rPr>
                <w:rFonts w:hint="default" w:ascii="Times New Roman" w:hAnsi="Times New Roman" w:eastAsia="宋体" w:cs="Times New Roman"/>
                <w:snapToGrid w:val="0"/>
                <w:color w:val="auto"/>
                <w:kern w:val="0"/>
                <w:sz w:val="22"/>
                <w:szCs w:val="22"/>
                <w:lang w:val="en-US" w:eastAsia="zh-CN"/>
              </w:rPr>
              <w:t>项目不属于化工项目，不属于重大环境安全隐患的工业项目，在严格执行本评价提出的各项环境风险防范措施后，项目环境风险</w:t>
            </w:r>
            <w:r>
              <w:rPr>
                <w:rFonts w:hint="eastAsia" w:ascii="Times New Roman" w:hAnsi="Times New Roman" w:eastAsia="宋体" w:cs="Times New Roman"/>
                <w:snapToGrid w:val="0"/>
                <w:color w:val="auto"/>
                <w:kern w:val="0"/>
                <w:sz w:val="22"/>
                <w:szCs w:val="22"/>
                <w:lang w:val="en-US" w:eastAsia="zh-CN"/>
              </w:rPr>
              <w:t>可防可控</w:t>
            </w:r>
          </w:p>
        </w:tc>
        <w:tc>
          <w:tcPr>
            <w:tcW w:w="695" w:type="dxa"/>
            <w:vMerge w:val="restart"/>
            <w:tcBorders>
              <w:tl2br w:val="nil"/>
              <w:tr2bl w:val="nil"/>
            </w:tcBorders>
            <w:noWrap w:val="0"/>
            <w:vAlign w:val="center"/>
          </w:tcPr>
          <w:p w14:paraId="404F48D3">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bCs/>
                <w:color w:val="auto"/>
                <w:sz w:val="22"/>
                <w:szCs w:val="22"/>
                <w:lang w:val="en-US" w:eastAsia="zh-CN"/>
              </w:rPr>
              <w:t>符合</w:t>
            </w:r>
          </w:p>
        </w:tc>
      </w:tr>
      <w:tr w14:paraId="046BB5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2DE8E8AD">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1134" w:type="dxa"/>
            <w:vMerge w:val="continue"/>
            <w:tcBorders>
              <w:tl2br w:val="nil"/>
              <w:tr2bl w:val="nil"/>
            </w:tcBorders>
            <w:noWrap w:val="0"/>
            <w:vAlign w:val="center"/>
          </w:tcPr>
          <w:p w14:paraId="773DD5C3">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7398" w:type="dxa"/>
            <w:tcBorders>
              <w:tl2br w:val="nil"/>
              <w:tr2bl w:val="nil"/>
            </w:tcBorders>
            <w:noWrap w:val="0"/>
            <w:vAlign w:val="top"/>
          </w:tcPr>
          <w:p w14:paraId="1575B27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color w:val="auto"/>
                <w:sz w:val="22"/>
                <w:szCs w:val="22"/>
              </w:rPr>
              <w:t>第十七条 强化化工园区涉水突发环境事件四级环境风险防范体系建设。持续推进重点化工园区（化工集中区）建设有毒有害气体监测预警体系和水质生物毒性预警体系。</w:t>
            </w:r>
          </w:p>
        </w:tc>
        <w:tc>
          <w:tcPr>
            <w:tcW w:w="3464" w:type="dxa"/>
            <w:vMerge w:val="continue"/>
            <w:tcBorders>
              <w:tl2br w:val="nil"/>
              <w:tr2bl w:val="nil"/>
            </w:tcBorders>
            <w:noWrap w:val="0"/>
            <w:vAlign w:val="center"/>
          </w:tcPr>
          <w:p w14:paraId="78615C6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p>
        </w:tc>
        <w:tc>
          <w:tcPr>
            <w:tcW w:w="695" w:type="dxa"/>
            <w:vMerge w:val="continue"/>
            <w:tcBorders>
              <w:tl2br w:val="nil"/>
              <w:tr2bl w:val="nil"/>
            </w:tcBorders>
            <w:noWrap w:val="0"/>
            <w:vAlign w:val="center"/>
          </w:tcPr>
          <w:p w14:paraId="341A354D">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p>
        </w:tc>
      </w:tr>
      <w:tr w14:paraId="7A619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2268CCEB">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1134" w:type="dxa"/>
            <w:vMerge w:val="restart"/>
            <w:tcBorders>
              <w:tl2br w:val="nil"/>
              <w:tr2bl w:val="nil"/>
            </w:tcBorders>
            <w:noWrap w:val="0"/>
            <w:vAlign w:val="center"/>
          </w:tcPr>
          <w:p w14:paraId="5391E617">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bCs/>
                <w:color w:val="auto"/>
                <w:sz w:val="22"/>
                <w:szCs w:val="22"/>
              </w:rPr>
              <w:t>资源开发利用效率</w:t>
            </w:r>
          </w:p>
        </w:tc>
        <w:tc>
          <w:tcPr>
            <w:tcW w:w="7398" w:type="dxa"/>
            <w:tcBorders>
              <w:tl2br w:val="nil"/>
              <w:tr2bl w:val="nil"/>
            </w:tcBorders>
            <w:noWrap w:val="0"/>
            <w:vAlign w:val="top"/>
          </w:tcPr>
          <w:p w14:paraId="67811FB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color w:val="auto"/>
                <w:sz w:val="22"/>
                <w:szCs w:val="22"/>
              </w:rPr>
              <w:t>第十八条 实施能源领域碳达峰碳中和行动，科学有序推动能源生产消费方式绿色低碳变革。实施可再生能源替代，减少化石能源消费。加强产业布局和能耗</w:t>
            </w:r>
            <w:r>
              <w:rPr>
                <w:rFonts w:hint="default"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rPr>
              <w:t>双控</w:t>
            </w:r>
            <w:r>
              <w:rPr>
                <w:rFonts w:hint="default"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rPr>
              <w:t>政策衔接，促进重点用能领域用能结构优化和能效提升。</w:t>
            </w:r>
          </w:p>
        </w:tc>
        <w:tc>
          <w:tcPr>
            <w:tcW w:w="3464" w:type="dxa"/>
            <w:vMerge w:val="restart"/>
            <w:tcBorders>
              <w:tl2br w:val="nil"/>
              <w:tr2bl w:val="nil"/>
            </w:tcBorders>
            <w:noWrap w:val="0"/>
            <w:vAlign w:val="center"/>
          </w:tcPr>
          <w:p w14:paraId="39B62B35">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1、</w:t>
            </w:r>
            <w:r>
              <w:rPr>
                <w:rFonts w:hint="eastAsia" w:ascii="Times New Roman" w:hAnsi="Times New Roman" w:eastAsia="宋体" w:cs="Times New Roman"/>
                <w:snapToGrid w:val="0"/>
                <w:color w:val="auto"/>
                <w:kern w:val="0"/>
                <w:sz w:val="22"/>
                <w:szCs w:val="22"/>
                <w:lang w:val="en-US" w:eastAsia="zh-CN"/>
              </w:rPr>
              <w:t>本</w:t>
            </w:r>
            <w:r>
              <w:rPr>
                <w:rFonts w:hint="default" w:ascii="Times New Roman" w:hAnsi="Times New Roman" w:eastAsia="宋体" w:cs="Times New Roman"/>
                <w:snapToGrid w:val="0"/>
                <w:color w:val="auto"/>
                <w:kern w:val="0"/>
                <w:sz w:val="22"/>
                <w:szCs w:val="22"/>
                <w:lang w:val="en-US" w:eastAsia="zh-CN"/>
              </w:rPr>
              <w:t>项目采用</w:t>
            </w:r>
            <w:r>
              <w:rPr>
                <w:rFonts w:hint="eastAsia" w:ascii="Times New Roman" w:hAnsi="Times New Roman" w:eastAsia="宋体" w:cs="Times New Roman"/>
                <w:snapToGrid w:val="0"/>
                <w:color w:val="auto"/>
                <w:kern w:val="0"/>
                <w:sz w:val="22"/>
                <w:szCs w:val="22"/>
                <w:lang w:val="en-US" w:eastAsia="zh-CN"/>
              </w:rPr>
              <w:t>天然气、电能等</w:t>
            </w:r>
            <w:r>
              <w:rPr>
                <w:rFonts w:hint="default" w:ascii="Times New Roman" w:hAnsi="Times New Roman" w:eastAsia="宋体" w:cs="Times New Roman"/>
                <w:snapToGrid w:val="0"/>
                <w:color w:val="auto"/>
                <w:kern w:val="0"/>
                <w:sz w:val="22"/>
                <w:szCs w:val="22"/>
                <w:lang w:val="en-US" w:eastAsia="zh-CN"/>
              </w:rPr>
              <w:t>清洁能源；</w:t>
            </w:r>
          </w:p>
          <w:p w14:paraId="27B9C9A0">
            <w:pPr>
              <w:adjustRightInd w:val="0"/>
              <w:snapToGrid w:val="0"/>
              <w:spacing w:line="240" w:lineRule="auto"/>
              <w:ind w:firstLine="0" w:firstLineChars="0"/>
              <w:jc w:val="both"/>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cs="Times New Roman"/>
                <w:snapToGrid w:val="0"/>
                <w:color w:val="auto"/>
                <w:kern w:val="0"/>
                <w:sz w:val="22"/>
                <w:szCs w:val="22"/>
                <w:lang w:val="en-US" w:eastAsia="zh-CN"/>
              </w:rPr>
              <w:t>2</w:t>
            </w:r>
            <w:r>
              <w:rPr>
                <w:rFonts w:hint="default" w:ascii="Times New Roman" w:hAnsi="Times New Roman" w:eastAsia="宋体" w:cs="Times New Roman"/>
                <w:snapToGrid w:val="0"/>
                <w:color w:val="auto"/>
                <w:kern w:val="0"/>
                <w:sz w:val="22"/>
                <w:szCs w:val="22"/>
                <w:lang w:val="en-US" w:eastAsia="zh-CN"/>
              </w:rPr>
              <w:t>、</w:t>
            </w:r>
            <w:r>
              <w:rPr>
                <w:rFonts w:hint="eastAsia" w:ascii="Times New Roman" w:hAnsi="Times New Roman" w:eastAsia="宋体" w:cs="Times New Roman"/>
                <w:snapToGrid w:val="0"/>
                <w:color w:val="auto"/>
                <w:kern w:val="0"/>
                <w:sz w:val="22"/>
                <w:szCs w:val="22"/>
                <w:lang w:val="en-US" w:eastAsia="zh-CN"/>
              </w:rPr>
              <w:t>本项目达到</w:t>
            </w:r>
            <w:r>
              <w:rPr>
                <w:rFonts w:hint="default" w:ascii="Times New Roman" w:hAnsi="Times New Roman" w:eastAsia="宋体" w:cs="Times New Roman"/>
                <w:color w:val="auto"/>
                <w:sz w:val="22"/>
                <w:szCs w:val="22"/>
              </w:rPr>
              <w:t>清洁生产先进水平</w:t>
            </w:r>
            <w:r>
              <w:rPr>
                <w:rFonts w:hint="default" w:ascii="Times New Roman" w:hAnsi="Times New Roman" w:eastAsia="宋体" w:cs="Times New Roman"/>
                <w:snapToGrid w:val="0"/>
                <w:color w:val="auto"/>
                <w:kern w:val="0"/>
                <w:sz w:val="22"/>
                <w:szCs w:val="22"/>
                <w:lang w:val="en-US" w:eastAsia="zh-CN"/>
              </w:rPr>
              <w:t>；</w:t>
            </w:r>
          </w:p>
          <w:p w14:paraId="04445434">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cs="Times New Roman"/>
                <w:snapToGrid w:val="0"/>
                <w:color w:val="auto"/>
                <w:kern w:val="0"/>
                <w:sz w:val="22"/>
                <w:szCs w:val="22"/>
                <w:lang w:val="en-US" w:eastAsia="zh-CN"/>
              </w:rPr>
              <w:t>3</w:t>
            </w:r>
            <w:r>
              <w:rPr>
                <w:rFonts w:hint="default" w:ascii="Times New Roman" w:hAnsi="Times New Roman" w:eastAsia="宋体" w:cs="Times New Roman"/>
                <w:snapToGrid w:val="0"/>
                <w:color w:val="auto"/>
                <w:kern w:val="0"/>
                <w:sz w:val="22"/>
                <w:szCs w:val="22"/>
                <w:lang w:val="en-US" w:eastAsia="zh-CN"/>
              </w:rPr>
              <w:t>、</w:t>
            </w:r>
            <w:r>
              <w:rPr>
                <w:rFonts w:hint="eastAsia" w:ascii="Times New Roman" w:hAnsi="Times New Roman" w:eastAsia="宋体" w:cs="Times New Roman"/>
                <w:snapToGrid w:val="0"/>
                <w:color w:val="auto"/>
                <w:kern w:val="0"/>
                <w:sz w:val="22"/>
                <w:szCs w:val="22"/>
                <w:lang w:val="en-US" w:eastAsia="zh-CN"/>
              </w:rPr>
              <w:t>本</w:t>
            </w:r>
            <w:r>
              <w:rPr>
                <w:rFonts w:hint="default" w:ascii="Times New Roman" w:hAnsi="Times New Roman" w:eastAsia="宋体" w:cs="Times New Roman"/>
                <w:snapToGrid w:val="0"/>
                <w:color w:val="auto"/>
                <w:kern w:val="0"/>
                <w:sz w:val="22"/>
                <w:szCs w:val="22"/>
                <w:lang w:val="en-US" w:eastAsia="zh-CN"/>
              </w:rPr>
              <w:t>项目采取</w:t>
            </w:r>
            <w:r>
              <w:rPr>
                <w:rFonts w:hint="eastAsia" w:ascii="Times New Roman" w:hAnsi="Times New Roman" w:eastAsia="宋体" w:cs="Times New Roman"/>
                <w:snapToGrid w:val="0"/>
                <w:color w:val="auto"/>
                <w:kern w:val="0"/>
                <w:sz w:val="22"/>
                <w:szCs w:val="22"/>
                <w:lang w:val="en-US" w:eastAsia="zh-CN"/>
              </w:rPr>
              <w:t>循环冷却水等</w:t>
            </w:r>
            <w:r>
              <w:rPr>
                <w:rFonts w:hint="default" w:ascii="Times New Roman" w:hAnsi="Times New Roman" w:eastAsia="宋体" w:cs="Times New Roman"/>
                <w:snapToGrid w:val="0"/>
                <w:color w:val="auto"/>
                <w:kern w:val="0"/>
                <w:sz w:val="22"/>
                <w:szCs w:val="22"/>
                <w:lang w:val="en-US" w:eastAsia="zh-CN"/>
              </w:rPr>
              <w:t>措施</w:t>
            </w:r>
            <w:r>
              <w:rPr>
                <w:rFonts w:hint="eastAsia" w:ascii="Times New Roman" w:hAnsi="Times New Roman" w:eastAsia="宋体" w:cs="Times New Roman"/>
                <w:snapToGrid w:val="0"/>
                <w:color w:val="auto"/>
                <w:kern w:val="0"/>
                <w:sz w:val="22"/>
                <w:szCs w:val="22"/>
                <w:lang w:val="en-US" w:eastAsia="zh-CN"/>
              </w:rPr>
              <w:t>，</w:t>
            </w:r>
            <w:r>
              <w:rPr>
                <w:rFonts w:hint="default" w:ascii="Times New Roman" w:hAnsi="Times New Roman" w:eastAsia="宋体" w:cs="Times New Roman"/>
                <w:snapToGrid w:val="0"/>
                <w:color w:val="auto"/>
                <w:kern w:val="0"/>
                <w:sz w:val="22"/>
                <w:szCs w:val="22"/>
                <w:lang w:val="en-US" w:eastAsia="zh-CN"/>
              </w:rPr>
              <w:t>尽可能的实现资源节约集约利用</w:t>
            </w:r>
          </w:p>
        </w:tc>
        <w:tc>
          <w:tcPr>
            <w:tcW w:w="695" w:type="dxa"/>
            <w:vMerge w:val="restart"/>
            <w:tcBorders>
              <w:tl2br w:val="nil"/>
              <w:tr2bl w:val="nil"/>
            </w:tcBorders>
            <w:noWrap w:val="0"/>
            <w:vAlign w:val="center"/>
          </w:tcPr>
          <w:p w14:paraId="238EAAC5">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bCs/>
                <w:color w:val="auto"/>
                <w:sz w:val="22"/>
                <w:szCs w:val="22"/>
                <w:lang w:val="en-US" w:eastAsia="zh-CN"/>
              </w:rPr>
              <w:t>符合</w:t>
            </w:r>
          </w:p>
        </w:tc>
      </w:tr>
      <w:tr w14:paraId="48A4F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4624B97B">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1134" w:type="dxa"/>
            <w:vMerge w:val="continue"/>
            <w:tcBorders>
              <w:tl2br w:val="nil"/>
              <w:tr2bl w:val="nil"/>
            </w:tcBorders>
            <w:noWrap w:val="0"/>
            <w:vAlign w:val="center"/>
          </w:tcPr>
          <w:p w14:paraId="7313DEA2">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7398" w:type="dxa"/>
            <w:tcBorders>
              <w:tl2br w:val="nil"/>
              <w:tr2bl w:val="nil"/>
            </w:tcBorders>
            <w:noWrap w:val="0"/>
            <w:vAlign w:val="top"/>
          </w:tcPr>
          <w:p w14:paraId="13822CA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color w:val="auto"/>
                <w:sz w:val="22"/>
                <w:szCs w:val="22"/>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3464" w:type="dxa"/>
            <w:vMerge w:val="continue"/>
            <w:tcBorders>
              <w:tl2br w:val="nil"/>
              <w:tr2bl w:val="nil"/>
            </w:tcBorders>
            <w:noWrap w:val="0"/>
            <w:vAlign w:val="center"/>
          </w:tcPr>
          <w:p w14:paraId="7D995E6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p>
        </w:tc>
        <w:tc>
          <w:tcPr>
            <w:tcW w:w="695" w:type="dxa"/>
            <w:vMerge w:val="continue"/>
            <w:tcBorders>
              <w:tl2br w:val="nil"/>
              <w:tr2bl w:val="nil"/>
            </w:tcBorders>
            <w:noWrap w:val="0"/>
            <w:vAlign w:val="center"/>
          </w:tcPr>
          <w:p w14:paraId="740E4C2F">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p>
        </w:tc>
      </w:tr>
      <w:tr w14:paraId="0BE23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408D5ABC">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1134" w:type="dxa"/>
            <w:vMerge w:val="continue"/>
            <w:tcBorders>
              <w:tl2br w:val="nil"/>
              <w:tr2bl w:val="nil"/>
            </w:tcBorders>
            <w:noWrap w:val="0"/>
            <w:vAlign w:val="center"/>
          </w:tcPr>
          <w:p w14:paraId="17F3A6EC">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7398" w:type="dxa"/>
            <w:tcBorders>
              <w:tl2br w:val="nil"/>
              <w:tr2bl w:val="nil"/>
            </w:tcBorders>
            <w:noWrap w:val="0"/>
            <w:vAlign w:val="top"/>
          </w:tcPr>
          <w:p w14:paraId="1AFB948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color w:val="auto"/>
                <w:sz w:val="22"/>
                <w:szCs w:val="22"/>
              </w:rPr>
              <w:t>第二十条 新建、扩建</w:t>
            </w:r>
            <w:r>
              <w:rPr>
                <w:rFonts w:hint="default"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rPr>
              <w:t>两高</w:t>
            </w:r>
            <w:r>
              <w:rPr>
                <w:rFonts w:hint="default"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rPr>
              <w:t>项目应采用先进适用的工艺技术和装备，单位产品物耗、能耗、水耗等达到清洁生产先进水平。</w:t>
            </w:r>
          </w:p>
        </w:tc>
        <w:tc>
          <w:tcPr>
            <w:tcW w:w="3464" w:type="dxa"/>
            <w:vMerge w:val="continue"/>
            <w:tcBorders>
              <w:tl2br w:val="nil"/>
              <w:tr2bl w:val="nil"/>
            </w:tcBorders>
            <w:noWrap w:val="0"/>
            <w:vAlign w:val="center"/>
          </w:tcPr>
          <w:p w14:paraId="61A6A06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p>
        </w:tc>
        <w:tc>
          <w:tcPr>
            <w:tcW w:w="695" w:type="dxa"/>
            <w:vMerge w:val="continue"/>
            <w:tcBorders>
              <w:tl2br w:val="nil"/>
              <w:tr2bl w:val="nil"/>
            </w:tcBorders>
            <w:noWrap w:val="0"/>
            <w:vAlign w:val="center"/>
          </w:tcPr>
          <w:p w14:paraId="0D9EF852">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p>
        </w:tc>
      </w:tr>
      <w:tr w14:paraId="7D3329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753CC4F0">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1134" w:type="dxa"/>
            <w:vMerge w:val="continue"/>
            <w:tcBorders>
              <w:tl2br w:val="nil"/>
              <w:tr2bl w:val="nil"/>
            </w:tcBorders>
            <w:noWrap w:val="0"/>
            <w:vAlign w:val="center"/>
          </w:tcPr>
          <w:p w14:paraId="06AE9F4E">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7398" w:type="dxa"/>
            <w:tcBorders>
              <w:tl2br w:val="nil"/>
              <w:tr2bl w:val="nil"/>
            </w:tcBorders>
            <w:noWrap w:val="0"/>
            <w:vAlign w:val="top"/>
          </w:tcPr>
          <w:p w14:paraId="1210DB5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color w:val="auto"/>
                <w:sz w:val="22"/>
                <w:szCs w:val="22"/>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3464" w:type="dxa"/>
            <w:vMerge w:val="continue"/>
            <w:tcBorders>
              <w:tl2br w:val="nil"/>
              <w:tr2bl w:val="nil"/>
            </w:tcBorders>
            <w:noWrap w:val="0"/>
            <w:vAlign w:val="center"/>
          </w:tcPr>
          <w:p w14:paraId="34763D0F">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p>
        </w:tc>
        <w:tc>
          <w:tcPr>
            <w:tcW w:w="695" w:type="dxa"/>
            <w:vMerge w:val="continue"/>
            <w:tcBorders>
              <w:tl2br w:val="nil"/>
              <w:tr2bl w:val="nil"/>
            </w:tcBorders>
            <w:noWrap w:val="0"/>
            <w:vAlign w:val="center"/>
          </w:tcPr>
          <w:p w14:paraId="10441626">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p>
        </w:tc>
      </w:tr>
      <w:tr w14:paraId="67BD1E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09BB217D">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1134" w:type="dxa"/>
            <w:vMerge w:val="continue"/>
            <w:tcBorders>
              <w:tl2br w:val="nil"/>
              <w:tr2bl w:val="nil"/>
            </w:tcBorders>
            <w:noWrap w:val="0"/>
            <w:vAlign w:val="center"/>
          </w:tcPr>
          <w:p w14:paraId="453BAC20">
            <w:pPr>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2"/>
                <w:szCs w:val="22"/>
              </w:rPr>
            </w:pPr>
          </w:p>
        </w:tc>
        <w:tc>
          <w:tcPr>
            <w:tcW w:w="7398" w:type="dxa"/>
            <w:tcBorders>
              <w:tl2br w:val="nil"/>
              <w:tr2bl w:val="nil"/>
            </w:tcBorders>
            <w:noWrap w:val="0"/>
            <w:vAlign w:val="top"/>
          </w:tcPr>
          <w:p w14:paraId="3843A32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r>
              <w:rPr>
                <w:rFonts w:hint="default" w:ascii="Times New Roman" w:hAnsi="Times New Roman" w:eastAsia="宋体" w:cs="Times New Roman"/>
                <w:color w:val="auto"/>
                <w:sz w:val="22"/>
                <w:szCs w:val="22"/>
              </w:rP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3464" w:type="dxa"/>
            <w:vMerge w:val="continue"/>
            <w:tcBorders>
              <w:tl2br w:val="nil"/>
              <w:tr2bl w:val="nil"/>
            </w:tcBorders>
            <w:noWrap w:val="0"/>
            <w:vAlign w:val="center"/>
          </w:tcPr>
          <w:p w14:paraId="70B7F89D">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b/>
                <w:bCs w:val="0"/>
                <w:color w:val="auto"/>
                <w:sz w:val="22"/>
                <w:szCs w:val="22"/>
              </w:rPr>
            </w:pPr>
          </w:p>
        </w:tc>
        <w:tc>
          <w:tcPr>
            <w:tcW w:w="695" w:type="dxa"/>
            <w:vMerge w:val="continue"/>
            <w:tcBorders>
              <w:tl2br w:val="nil"/>
              <w:tr2bl w:val="nil"/>
            </w:tcBorders>
            <w:noWrap w:val="0"/>
            <w:vAlign w:val="center"/>
          </w:tcPr>
          <w:p w14:paraId="18A27498">
            <w:pPr>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z w:val="22"/>
                <w:szCs w:val="22"/>
              </w:rPr>
            </w:pPr>
          </w:p>
        </w:tc>
      </w:tr>
      <w:tr w14:paraId="34180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restart"/>
            <w:tcBorders>
              <w:tl2br w:val="nil"/>
              <w:tr2bl w:val="nil"/>
            </w:tcBorders>
            <w:noWrap w:val="0"/>
            <w:vAlign w:val="center"/>
          </w:tcPr>
          <w:p w14:paraId="69149C52">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lang w:bidi="ar"/>
              </w:rPr>
              <w:t>九龙坡区总体管控要求</w:t>
            </w:r>
          </w:p>
        </w:tc>
        <w:tc>
          <w:tcPr>
            <w:tcW w:w="1134" w:type="dxa"/>
            <w:vMerge w:val="restart"/>
            <w:tcBorders>
              <w:tl2br w:val="nil"/>
              <w:tr2bl w:val="nil"/>
            </w:tcBorders>
            <w:noWrap w:val="0"/>
            <w:vAlign w:val="center"/>
          </w:tcPr>
          <w:p w14:paraId="014A1C7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空间布局约束</w:t>
            </w:r>
          </w:p>
        </w:tc>
        <w:tc>
          <w:tcPr>
            <w:tcW w:w="7398" w:type="dxa"/>
            <w:tcBorders>
              <w:tl2br w:val="nil"/>
              <w:tr2bl w:val="nil"/>
            </w:tcBorders>
            <w:noWrap w:val="0"/>
            <w:vAlign w:val="center"/>
          </w:tcPr>
          <w:p w14:paraId="1A02DC41">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第一条 执行重点管控单元市级总体要求第一条、第二条、第三条、第四条、第五条和第七条。</w:t>
            </w:r>
          </w:p>
        </w:tc>
        <w:tc>
          <w:tcPr>
            <w:tcW w:w="3464" w:type="dxa"/>
            <w:tcBorders>
              <w:tl2br w:val="nil"/>
              <w:tr2bl w:val="nil"/>
            </w:tcBorders>
            <w:noWrap w:val="0"/>
            <w:vAlign w:val="center"/>
          </w:tcPr>
          <w:p w14:paraId="1C62CC8C">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本项目符合市级总体要求</w:t>
            </w:r>
          </w:p>
        </w:tc>
        <w:tc>
          <w:tcPr>
            <w:tcW w:w="695" w:type="dxa"/>
            <w:tcBorders>
              <w:tl2br w:val="nil"/>
              <w:tr2bl w:val="nil"/>
            </w:tcBorders>
            <w:noWrap w:val="0"/>
            <w:vAlign w:val="center"/>
          </w:tcPr>
          <w:p w14:paraId="679D4B44">
            <w:pPr>
              <w:keepNext w:val="0"/>
              <w:keepLines w:val="0"/>
              <w:pageBreakBefore w:val="0"/>
              <w:widowControl/>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lang w:bidi="ar"/>
              </w:rPr>
              <w:t>符合</w:t>
            </w:r>
          </w:p>
        </w:tc>
      </w:tr>
      <w:tr w14:paraId="48F44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3C53B33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continue"/>
            <w:tcBorders>
              <w:tl2br w:val="nil"/>
              <w:tr2bl w:val="nil"/>
            </w:tcBorders>
            <w:noWrap w:val="0"/>
            <w:vAlign w:val="center"/>
          </w:tcPr>
          <w:p w14:paraId="1802B64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38C41AE4">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第二条 以完善优势产业链发展作为方向，科学合理优化工业用地空间布局，推进产城融合高质量发展。有序推动九龙工业园区“东三街”和九龙街道工业用地转型升级，重点发展制造服务业；推动九龙西城新能源、装备制造、新材料等产业往下游延伸。西彭工业园区内紧邻居住用地、中小学用地等的工业用地后续应严格控制高噪声、异味明显的项目入驻，并根据实际情况设置一定防护距离。</w:t>
            </w:r>
          </w:p>
        </w:tc>
        <w:tc>
          <w:tcPr>
            <w:tcW w:w="3464" w:type="dxa"/>
            <w:tcBorders>
              <w:tl2br w:val="nil"/>
              <w:tr2bl w:val="nil"/>
            </w:tcBorders>
            <w:noWrap w:val="0"/>
            <w:vAlign w:val="center"/>
          </w:tcPr>
          <w:p w14:paraId="648F4E6F">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rPr>
            </w:pPr>
            <w:r>
              <w:rPr>
                <w:rFonts w:hint="eastAsia" w:ascii="Times New Roman" w:hAnsi="Times New Roman" w:eastAsia="宋体" w:cs="Times New Roman"/>
                <w:color w:val="auto"/>
                <w:sz w:val="22"/>
                <w:szCs w:val="22"/>
                <w:lang w:val="en-US" w:eastAsia="zh-CN"/>
              </w:rPr>
              <w:t>本</w:t>
            </w:r>
            <w:r>
              <w:rPr>
                <w:rFonts w:hint="default" w:ascii="Times New Roman" w:hAnsi="Times New Roman" w:eastAsia="宋体" w:cs="Times New Roman"/>
                <w:color w:val="auto"/>
                <w:sz w:val="22"/>
                <w:szCs w:val="22"/>
                <w:lang w:eastAsia="zh-CN"/>
              </w:rPr>
              <w:t>项目符合园区产业政策，</w:t>
            </w:r>
            <w:r>
              <w:rPr>
                <w:rFonts w:hint="eastAsia" w:ascii="Times New Roman" w:hAnsi="Times New Roman" w:eastAsia="宋体" w:cs="Times New Roman"/>
                <w:color w:val="auto"/>
                <w:sz w:val="22"/>
                <w:szCs w:val="22"/>
                <w:lang w:val="en-US" w:eastAsia="zh-CN"/>
              </w:rPr>
              <w:t>北侧、西侧及南侧</w:t>
            </w:r>
            <w:r>
              <w:rPr>
                <w:rFonts w:hint="default" w:ascii="Times New Roman" w:hAnsi="Times New Roman" w:eastAsia="宋体" w:cs="Times New Roman"/>
                <w:color w:val="auto"/>
                <w:sz w:val="22"/>
                <w:szCs w:val="22"/>
                <w:lang w:eastAsia="zh-CN"/>
              </w:rPr>
              <w:t>均为工业用地，</w:t>
            </w:r>
            <w:r>
              <w:rPr>
                <w:rFonts w:hint="eastAsia" w:ascii="Times New Roman" w:hAnsi="Times New Roman" w:eastAsia="宋体" w:cs="Times New Roman"/>
                <w:color w:val="auto"/>
                <w:sz w:val="22"/>
                <w:szCs w:val="22"/>
                <w:lang w:val="en-US" w:eastAsia="zh-CN"/>
              </w:rPr>
              <w:t>东侧为规划居住用地，本项目位于西彭组团B分区，属于西南铝片区，属于在现有厂区扩建项目，不属于新建引入的喷漆、酸洗等项目；项目北侧、西侧及南侧均为规划的工业用地，相邻东侧为公用设施用地B04-3-1/02及居住用地B04-6-1/02及B04-6-5/02，本项目生产区布置位于厂区西北侧，布局设计已远离前述居住用地，最近距离约300m。同时，本项目设备选型采用低噪声设备。另外，本项目属于熔炼异味项目，周边居住用地位于本项目东侧，属于侧风向，项目下风向均为工业用地，居住用地距离本项目生产区最近距离约300m，因此熔炼异味对周边居民影响有限</w:t>
            </w:r>
          </w:p>
        </w:tc>
        <w:tc>
          <w:tcPr>
            <w:tcW w:w="695" w:type="dxa"/>
            <w:tcBorders>
              <w:tl2br w:val="nil"/>
              <w:tr2bl w:val="nil"/>
            </w:tcBorders>
            <w:noWrap w:val="0"/>
            <w:vAlign w:val="center"/>
          </w:tcPr>
          <w:p w14:paraId="612A0466">
            <w:pPr>
              <w:keepNext w:val="0"/>
              <w:keepLines w:val="0"/>
              <w:pageBreakBefore w:val="0"/>
              <w:widowControl/>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符合</w:t>
            </w:r>
          </w:p>
        </w:tc>
      </w:tr>
      <w:tr w14:paraId="311699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4491C7F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restart"/>
            <w:tcBorders>
              <w:tl2br w:val="nil"/>
              <w:tr2bl w:val="nil"/>
            </w:tcBorders>
            <w:noWrap w:val="0"/>
            <w:vAlign w:val="center"/>
          </w:tcPr>
          <w:p w14:paraId="0C05BE3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污染物排放管控</w:t>
            </w:r>
          </w:p>
        </w:tc>
        <w:tc>
          <w:tcPr>
            <w:tcW w:w="7398" w:type="dxa"/>
            <w:tcBorders>
              <w:tl2br w:val="nil"/>
              <w:tr2bl w:val="nil"/>
            </w:tcBorders>
            <w:noWrap w:val="0"/>
            <w:vAlign w:val="center"/>
          </w:tcPr>
          <w:p w14:paraId="5BE94351">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第三条 执行重点管控单元市级总体要求第八条、第九条、第十一条、第十二条、第十四条和第十五条。</w:t>
            </w:r>
          </w:p>
        </w:tc>
        <w:tc>
          <w:tcPr>
            <w:tcW w:w="3464" w:type="dxa"/>
            <w:tcBorders>
              <w:tl2br w:val="nil"/>
              <w:tr2bl w:val="nil"/>
            </w:tcBorders>
            <w:noWrap w:val="0"/>
            <w:vAlign w:val="center"/>
          </w:tcPr>
          <w:p w14:paraId="75360F8E">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lang w:val="en-US" w:eastAsia="zh-CN"/>
              </w:rPr>
              <w:t>本项目符合市级总体要求</w:t>
            </w:r>
          </w:p>
        </w:tc>
        <w:tc>
          <w:tcPr>
            <w:tcW w:w="695" w:type="dxa"/>
            <w:tcBorders>
              <w:tl2br w:val="nil"/>
              <w:tr2bl w:val="nil"/>
            </w:tcBorders>
            <w:noWrap w:val="0"/>
            <w:vAlign w:val="center"/>
          </w:tcPr>
          <w:p w14:paraId="243C3A26">
            <w:pPr>
              <w:keepNext w:val="0"/>
              <w:keepLines w:val="0"/>
              <w:pageBreakBefore w:val="0"/>
              <w:widowControl/>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符合</w:t>
            </w:r>
          </w:p>
        </w:tc>
      </w:tr>
      <w:tr w14:paraId="21E57F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5E6A1CD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continue"/>
            <w:tcBorders>
              <w:tl2br w:val="nil"/>
              <w:tr2bl w:val="nil"/>
            </w:tcBorders>
            <w:noWrap w:val="0"/>
            <w:vAlign w:val="center"/>
          </w:tcPr>
          <w:p w14:paraId="5E7D3DF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234BA822">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第四条 以重点行业为抓手，深化挥发性有机物治理，减缓工居混杂矛盾。以工业涂装、汽车维修、油品储运销等行业为重点，推动重点行业持续提升低（无）VOCs含量、低反应活性的原辅材料替代比例，推进重点监管企业VOCs综合整治。加强投诉较为集中的重点区域废气排放企业监督检查，加强重点排污企业污染治理设施和在线监控建设和运维。</w:t>
            </w:r>
          </w:p>
        </w:tc>
        <w:tc>
          <w:tcPr>
            <w:tcW w:w="3464" w:type="dxa"/>
            <w:tcBorders>
              <w:tl2br w:val="nil"/>
              <w:tr2bl w:val="nil"/>
            </w:tcBorders>
            <w:noWrap w:val="0"/>
            <w:vAlign w:val="center"/>
          </w:tcPr>
          <w:p w14:paraId="065A0BD3">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本</w:t>
            </w:r>
            <w:r>
              <w:rPr>
                <w:rFonts w:hint="default" w:ascii="Times New Roman" w:hAnsi="Times New Roman" w:eastAsia="宋体" w:cs="Times New Roman"/>
                <w:color w:val="auto"/>
                <w:sz w:val="22"/>
                <w:szCs w:val="22"/>
                <w:lang w:eastAsia="zh-CN"/>
              </w:rPr>
              <w:t>项目</w:t>
            </w:r>
            <w:r>
              <w:rPr>
                <w:rFonts w:hint="eastAsia" w:ascii="Times New Roman" w:hAnsi="Times New Roman" w:eastAsia="宋体" w:cs="Times New Roman"/>
                <w:color w:val="auto"/>
                <w:sz w:val="22"/>
                <w:szCs w:val="22"/>
                <w:lang w:val="en-US" w:eastAsia="zh-CN"/>
              </w:rPr>
              <w:t>不</w:t>
            </w:r>
            <w:r>
              <w:rPr>
                <w:rFonts w:hint="default" w:ascii="Times New Roman" w:hAnsi="Times New Roman" w:eastAsia="宋体" w:cs="Times New Roman"/>
                <w:color w:val="auto"/>
                <w:sz w:val="22"/>
                <w:szCs w:val="22"/>
                <w:lang w:eastAsia="zh-CN"/>
              </w:rPr>
              <w:t>使用</w:t>
            </w:r>
            <w:r>
              <w:rPr>
                <w:rFonts w:hint="eastAsia" w:ascii="Times New Roman" w:hAnsi="Times New Roman" w:eastAsia="宋体" w:cs="Times New Roman"/>
                <w:color w:val="auto"/>
                <w:sz w:val="22"/>
                <w:szCs w:val="22"/>
                <w:lang w:val="en-US" w:eastAsia="zh-CN"/>
              </w:rPr>
              <w:t>含</w:t>
            </w:r>
            <w:r>
              <w:rPr>
                <w:rFonts w:hint="default" w:ascii="Times New Roman" w:hAnsi="Times New Roman" w:eastAsia="宋体" w:cs="Times New Roman"/>
                <w:color w:val="auto"/>
                <w:sz w:val="22"/>
                <w:szCs w:val="22"/>
                <w:lang w:val="en-US" w:eastAsia="zh-CN"/>
              </w:rPr>
              <w:t>VOC</w:t>
            </w:r>
            <w:r>
              <w:rPr>
                <w:rFonts w:hint="eastAsia" w:ascii="Times New Roman" w:hAnsi="Times New Roman" w:eastAsia="宋体" w:cs="Times New Roman"/>
                <w:color w:val="auto"/>
                <w:sz w:val="22"/>
                <w:szCs w:val="22"/>
                <w:lang w:val="en-US" w:eastAsia="zh-CN"/>
              </w:rPr>
              <w:t>s原材料</w:t>
            </w:r>
            <w:r>
              <w:rPr>
                <w:rFonts w:hint="eastAsia" w:ascii="Times New Roman" w:hAnsi="Times New Roman" w:eastAsia="宋体" w:cs="Times New Roman"/>
                <w:snapToGrid w:val="0"/>
                <w:color w:val="auto"/>
                <w:kern w:val="0"/>
                <w:sz w:val="22"/>
                <w:szCs w:val="22"/>
                <w:highlight w:val="none"/>
                <w:lang w:val="en-US" w:eastAsia="zh-CN"/>
              </w:rPr>
              <w:t>，仅切削液产生微量的</w:t>
            </w:r>
            <w:r>
              <w:rPr>
                <w:rFonts w:hint="default" w:ascii="Times New Roman" w:hAnsi="Times New Roman" w:eastAsia="宋体" w:cs="Times New Roman"/>
                <w:snapToGrid w:val="0"/>
                <w:color w:val="auto"/>
                <w:kern w:val="0"/>
                <w:sz w:val="22"/>
                <w:szCs w:val="22"/>
                <w:highlight w:val="none"/>
                <w:lang w:val="en-US" w:eastAsia="zh-CN"/>
              </w:rPr>
              <w:t>VOCs</w:t>
            </w:r>
            <w:r>
              <w:rPr>
                <w:rFonts w:hint="default" w:ascii="Times New Roman" w:hAnsi="Times New Roman" w:cs="Times New Roman"/>
                <w:snapToGrid w:val="0"/>
                <w:color w:val="auto"/>
                <w:kern w:val="0"/>
                <w:sz w:val="22"/>
                <w:szCs w:val="22"/>
                <w:highlight w:val="none"/>
                <w:lang w:val="en-US" w:eastAsia="zh-CN"/>
              </w:rPr>
              <w:t>排放</w:t>
            </w:r>
          </w:p>
        </w:tc>
        <w:tc>
          <w:tcPr>
            <w:tcW w:w="695" w:type="dxa"/>
            <w:tcBorders>
              <w:tl2br w:val="nil"/>
              <w:tr2bl w:val="nil"/>
            </w:tcBorders>
            <w:noWrap w:val="0"/>
            <w:vAlign w:val="center"/>
          </w:tcPr>
          <w:p w14:paraId="3DBB37FD">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符合</w:t>
            </w:r>
          </w:p>
        </w:tc>
      </w:tr>
      <w:tr w14:paraId="3645CB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7869A9F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2"/>
                <w:szCs w:val="22"/>
                <w:lang w:bidi="ar"/>
              </w:rPr>
            </w:pPr>
          </w:p>
        </w:tc>
        <w:tc>
          <w:tcPr>
            <w:tcW w:w="1134" w:type="dxa"/>
            <w:vMerge w:val="continue"/>
            <w:tcBorders>
              <w:tl2br w:val="nil"/>
              <w:tr2bl w:val="nil"/>
            </w:tcBorders>
            <w:noWrap w:val="0"/>
            <w:vAlign w:val="center"/>
          </w:tcPr>
          <w:p w14:paraId="1F8C7C1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46F84694">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 xml:space="preserve">第五条 以餐饮油烟为重点，强化生活污染防治。加大居民生活油烟排放治理，推动具备条件的餐饮单位安装餐饮油烟在线监控设施，加强对重点区域无油烟净化设施露天摊位的管理。 </w:t>
            </w:r>
          </w:p>
        </w:tc>
        <w:tc>
          <w:tcPr>
            <w:tcW w:w="3464" w:type="dxa"/>
            <w:tcBorders>
              <w:tl2br w:val="nil"/>
              <w:tr2bl w:val="nil"/>
            </w:tcBorders>
            <w:noWrap w:val="0"/>
            <w:vAlign w:val="center"/>
          </w:tcPr>
          <w:p w14:paraId="36462BA1">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lang w:val="en-US" w:eastAsia="zh-CN"/>
              </w:rPr>
              <w:t>本</w:t>
            </w:r>
            <w:r>
              <w:rPr>
                <w:rFonts w:hint="default" w:ascii="Times New Roman" w:hAnsi="Times New Roman" w:eastAsia="宋体" w:cs="Times New Roman"/>
                <w:color w:val="auto"/>
                <w:sz w:val="22"/>
                <w:szCs w:val="22"/>
                <w:lang w:eastAsia="zh-CN"/>
              </w:rPr>
              <w:t>项目不涉及</w:t>
            </w:r>
            <w:r>
              <w:rPr>
                <w:rFonts w:hint="eastAsia" w:ascii="Times New Roman" w:hAnsi="Times New Roman" w:eastAsia="宋体" w:cs="Times New Roman"/>
                <w:color w:val="auto"/>
                <w:sz w:val="22"/>
                <w:szCs w:val="22"/>
                <w:lang w:val="en-US" w:eastAsia="zh-CN"/>
              </w:rPr>
              <w:t>前述</w:t>
            </w:r>
            <w:r>
              <w:rPr>
                <w:rFonts w:hint="default" w:ascii="Times New Roman" w:hAnsi="Times New Roman" w:eastAsia="宋体" w:cs="Times New Roman"/>
                <w:color w:val="auto"/>
                <w:sz w:val="22"/>
                <w:szCs w:val="22"/>
                <w:lang w:eastAsia="zh-CN"/>
              </w:rPr>
              <w:t>内容</w:t>
            </w:r>
          </w:p>
        </w:tc>
        <w:tc>
          <w:tcPr>
            <w:tcW w:w="695" w:type="dxa"/>
            <w:tcBorders>
              <w:tl2br w:val="nil"/>
              <w:tr2bl w:val="nil"/>
            </w:tcBorders>
            <w:noWrap w:val="0"/>
            <w:vAlign w:val="center"/>
          </w:tcPr>
          <w:p w14:paraId="28E0FB96">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符合</w:t>
            </w:r>
          </w:p>
        </w:tc>
      </w:tr>
      <w:tr w14:paraId="6702E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2F3BA12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2"/>
                <w:szCs w:val="22"/>
                <w:lang w:bidi="ar"/>
              </w:rPr>
            </w:pPr>
          </w:p>
        </w:tc>
        <w:tc>
          <w:tcPr>
            <w:tcW w:w="1134" w:type="dxa"/>
            <w:vMerge w:val="continue"/>
            <w:tcBorders>
              <w:tl2br w:val="nil"/>
              <w:tr2bl w:val="nil"/>
            </w:tcBorders>
            <w:noWrap w:val="0"/>
            <w:vAlign w:val="center"/>
          </w:tcPr>
          <w:p w14:paraId="1998223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5E70B1AA">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 xml:space="preserve">第六条 以交通和扬尘污染治理为关键，提升环境空气质量。加快淘汰国三及以下排放标准柴油车、汽油车，以运输企业和用车大户为重点，建立车辆档案并制定淘汰计划；严格落实中心城区高排放车辆限行措施；大力推广新能源车；加快发展城市轨道交通、智能交通和慢行交通，加快建设滨江步道，鼓励绿色出行；以九龙半岛、西部片区等区域为重点，加强施工扬尘监管，逐步推进建筑面积2万平方米以上的工地安装在线监控系统。 </w:t>
            </w:r>
          </w:p>
        </w:tc>
        <w:tc>
          <w:tcPr>
            <w:tcW w:w="3464" w:type="dxa"/>
            <w:tcBorders>
              <w:tl2br w:val="nil"/>
              <w:tr2bl w:val="nil"/>
            </w:tcBorders>
            <w:noWrap w:val="0"/>
            <w:vAlign w:val="center"/>
          </w:tcPr>
          <w:p w14:paraId="21CEC756">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lang w:val="en-US" w:eastAsia="zh-CN"/>
              </w:rPr>
              <w:t>本</w:t>
            </w:r>
            <w:r>
              <w:rPr>
                <w:rFonts w:hint="default" w:ascii="Times New Roman" w:hAnsi="Times New Roman" w:eastAsia="宋体" w:cs="Times New Roman"/>
                <w:color w:val="auto"/>
                <w:sz w:val="22"/>
                <w:szCs w:val="22"/>
                <w:lang w:eastAsia="zh-CN"/>
              </w:rPr>
              <w:t>项目不涉及</w:t>
            </w:r>
            <w:r>
              <w:rPr>
                <w:rFonts w:hint="eastAsia" w:ascii="Times New Roman" w:hAnsi="Times New Roman" w:eastAsia="宋体" w:cs="Times New Roman"/>
                <w:color w:val="auto"/>
                <w:sz w:val="22"/>
                <w:szCs w:val="22"/>
                <w:lang w:val="en-US" w:eastAsia="zh-CN"/>
              </w:rPr>
              <w:t>前述</w:t>
            </w:r>
            <w:r>
              <w:rPr>
                <w:rFonts w:hint="default" w:ascii="Times New Roman" w:hAnsi="Times New Roman" w:eastAsia="宋体" w:cs="Times New Roman"/>
                <w:color w:val="auto"/>
                <w:sz w:val="22"/>
                <w:szCs w:val="22"/>
                <w:lang w:eastAsia="zh-CN"/>
              </w:rPr>
              <w:t>内容</w:t>
            </w:r>
          </w:p>
        </w:tc>
        <w:tc>
          <w:tcPr>
            <w:tcW w:w="695" w:type="dxa"/>
            <w:tcBorders>
              <w:tl2br w:val="nil"/>
              <w:tr2bl w:val="nil"/>
            </w:tcBorders>
            <w:noWrap w:val="0"/>
            <w:vAlign w:val="center"/>
          </w:tcPr>
          <w:p w14:paraId="45CF2B8B">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符合</w:t>
            </w:r>
          </w:p>
        </w:tc>
      </w:tr>
      <w:tr w14:paraId="2C33A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258D525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2"/>
                <w:szCs w:val="22"/>
                <w:lang w:bidi="ar"/>
              </w:rPr>
            </w:pPr>
          </w:p>
        </w:tc>
        <w:tc>
          <w:tcPr>
            <w:tcW w:w="1134" w:type="dxa"/>
            <w:vMerge w:val="continue"/>
            <w:tcBorders>
              <w:tl2br w:val="nil"/>
              <w:tr2bl w:val="nil"/>
            </w:tcBorders>
            <w:noWrap w:val="0"/>
            <w:vAlign w:val="center"/>
          </w:tcPr>
          <w:p w14:paraId="5C776BA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1414F3A9">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 xml:space="preserve">第七条 以“三河六溪”污染综合治理为核心，改善次级河流水质。持续推进“三河六溪”污染综合治理。实施跳磴河水质提升攻坚行动，整治突出水环境问题，完成重点流域雨污分流整治、河道清淤疏浚等措施；推进桃花溪流域雨污分流整治；实施大溪河流域整治，强化流域跨界协同治理机制；深化六条滨河污染治理，因地制宜开展水体内源污染治理和生态修复，增强河湖水体自净功能。 </w:t>
            </w:r>
          </w:p>
        </w:tc>
        <w:tc>
          <w:tcPr>
            <w:tcW w:w="3464" w:type="dxa"/>
            <w:tcBorders>
              <w:tl2br w:val="nil"/>
              <w:tr2bl w:val="nil"/>
            </w:tcBorders>
            <w:noWrap w:val="0"/>
            <w:vAlign w:val="center"/>
          </w:tcPr>
          <w:p w14:paraId="785B2D8E">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lang w:val="en-US" w:eastAsia="zh-CN"/>
              </w:rPr>
              <w:t>本</w:t>
            </w:r>
            <w:r>
              <w:rPr>
                <w:rFonts w:hint="default" w:ascii="Times New Roman" w:hAnsi="Times New Roman" w:eastAsia="宋体" w:cs="Times New Roman"/>
                <w:color w:val="auto"/>
                <w:sz w:val="22"/>
                <w:szCs w:val="22"/>
                <w:lang w:eastAsia="zh-CN"/>
              </w:rPr>
              <w:t>项目不涉及</w:t>
            </w:r>
            <w:r>
              <w:rPr>
                <w:rFonts w:hint="eastAsia" w:ascii="Times New Roman" w:hAnsi="Times New Roman" w:eastAsia="宋体" w:cs="Times New Roman"/>
                <w:color w:val="auto"/>
                <w:sz w:val="22"/>
                <w:szCs w:val="22"/>
                <w:lang w:val="en-US" w:eastAsia="zh-CN"/>
              </w:rPr>
              <w:t>前述</w:t>
            </w:r>
            <w:r>
              <w:rPr>
                <w:rFonts w:hint="default" w:ascii="Times New Roman" w:hAnsi="Times New Roman" w:eastAsia="宋体" w:cs="Times New Roman"/>
                <w:color w:val="auto"/>
                <w:sz w:val="22"/>
                <w:szCs w:val="22"/>
                <w:lang w:eastAsia="zh-CN"/>
              </w:rPr>
              <w:t>内容</w:t>
            </w:r>
          </w:p>
        </w:tc>
        <w:tc>
          <w:tcPr>
            <w:tcW w:w="695" w:type="dxa"/>
            <w:tcBorders>
              <w:tl2br w:val="nil"/>
              <w:tr2bl w:val="nil"/>
            </w:tcBorders>
            <w:noWrap w:val="0"/>
            <w:vAlign w:val="center"/>
          </w:tcPr>
          <w:p w14:paraId="20D98176">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符合</w:t>
            </w:r>
          </w:p>
        </w:tc>
      </w:tr>
      <w:tr w14:paraId="4DF06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59BDB9B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2"/>
                <w:szCs w:val="22"/>
                <w:lang w:bidi="ar"/>
              </w:rPr>
            </w:pPr>
          </w:p>
        </w:tc>
        <w:tc>
          <w:tcPr>
            <w:tcW w:w="1134" w:type="dxa"/>
            <w:vMerge w:val="continue"/>
            <w:tcBorders>
              <w:tl2br w:val="nil"/>
              <w:tr2bl w:val="nil"/>
            </w:tcBorders>
            <w:noWrap w:val="0"/>
            <w:vAlign w:val="center"/>
          </w:tcPr>
          <w:p w14:paraId="7E8AC97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0537C8C7">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第八条 以农业种植和水产养殖为重点，强化面源污染防治。严格控制化肥农药使用量，推进化肥农药减量增效；加强九龙西城西彭镇高标准农田管护运营；以九龙西城水产养殖污染防治为重点，全面推进池塘水产养殖综合治理，提高养殖尾水治理设施覆盖率</w:t>
            </w:r>
            <w:r>
              <w:rPr>
                <w:rFonts w:hint="default" w:ascii="Times New Roman" w:hAnsi="Times New Roman" w:eastAsia="宋体" w:cs="Times New Roman"/>
                <w:color w:val="auto"/>
                <w:sz w:val="22"/>
                <w:szCs w:val="22"/>
              </w:rPr>
              <w:t>。</w:t>
            </w:r>
          </w:p>
        </w:tc>
        <w:tc>
          <w:tcPr>
            <w:tcW w:w="3464" w:type="dxa"/>
            <w:tcBorders>
              <w:tl2br w:val="nil"/>
              <w:tr2bl w:val="nil"/>
            </w:tcBorders>
            <w:noWrap w:val="0"/>
            <w:vAlign w:val="center"/>
          </w:tcPr>
          <w:p w14:paraId="1D2CDCAB">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lang w:val="en-US" w:eastAsia="zh-CN"/>
              </w:rPr>
              <w:t>本</w:t>
            </w:r>
            <w:r>
              <w:rPr>
                <w:rFonts w:hint="default" w:ascii="Times New Roman" w:hAnsi="Times New Roman" w:eastAsia="宋体" w:cs="Times New Roman"/>
                <w:color w:val="auto"/>
                <w:sz w:val="22"/>
                <w:szCs w:val="22"/>
                <w:lang w:eastAsia="zh-CN"/>
              </w:rPr>
              <w:t>项目不涉及</w:t>
            </w:r>
            <w:r>
              <w:rPr>
                <w:rFonts w:hint="eastAsia" w:ascii="Times New Roman" w:hAnsi="Times New Roman" w:eastAsia="宋体" w:cs="Times New Roman"/>
                <w:color w:val="auto"/>
                <w:sz w:val="22"/>
                <w:szCs w:val="22"/>
                <w:lang w:val="en-US" w:eastAsia="zh-CN"/>
              </w:rPr>
              <w:t>前述</w:t>
            </w:r>
            <w:r>
              <w:rPr>
                <w:rFonts w:hint="default" w:ascii="Times New Roman" w:hAnsi="Times New Roman" w:eastAsia="宋体" w:cs="Times New Roman"/>
                <w:color w:val="auto"/>
                <w:sz w:val="22"/>
                <w:szCs w:val="22"/>
                <w:lang w:eastAsia="zh-CN"/>
              </w:rPr>
              <w:t>内容</w:t>
            </w:r>
          </w:p>
        </w:tc>
        <w:tc>
          <w:tcPr>
            <w:tcW w:w="695" w:type="dxa"/>
            <w:tcBorders>
              <w:tl2br w:val="nil"/>
              <w:tr2bl w:val="nil"/>
            </w:tcBorders>
            <w:noWrap w:val="0"/>
            <w:vAlign w:val="center"/>
          </w:tcPr>
          <w:p w14:paraId="5074DAAA">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符合</w:t>
            </w:r>
          </w:p>
        </w:tc>
      </w:tr>
      <w:tr w14:paraId="0741A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029DE3E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restart"/>
            <w:tcBorders>
              <w:tl2br w:val="nil"/>
              <w:tr2bl w:val="nil"/>
            </w:tcBorders>
            <w:noWrap w:val="0"/>
            <w:vAlign w:val="center"/>
          </w:tcPr>
          <w:p w14:paraId="6474AFE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环境风险防控</w:t>
            </w:r>
          </w:p>
        </w:tc>
        <w:tc>
          <w:tcPr>
            <w:tcW w:w="7398" w:type="dxa"/>
            <w:tcBorders>
              <w:tl2br w:val="nil"/>
              <w:tr2bl w:val="nil"/>
            </w:tcBorders>
            <w:noWrap w:val="0"/>
            <w:vAlign w:val="center"/>
          </w:tcPr>
          <w:p w14:paraId="6110B207">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第九条 执行重点管控单元市级总体要求第十六条。</w:t>
            </w:r>
          </w:p>
        </w:tc>
        <w:tc>
          <w:tcPr>
            <w:tcW w:w="3464" w:type="dxa"/>
            <w:tcBorders>
              <w:tl2br w:val="nil"/>
              <w:tr2bl w:val="nil"/>
            </w:tcBorders>
            <w:noWrap w:val="0"/>
            <w:vAlign w:val="center"/>
          </w:tcPr>
          <w:p w14:paraId="2A0E8745">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lang w:val="en-US" w:eastAsia="zh-CN"/>
              </w:rPr>
              <w:t>本项目符合市级总体要求</w:t>
            </w:r>
          </w:p>
        </w:tc>
        <w:tc>
          <w:tcPr>
            <w:tcW w:w="695" w:type="dxa"/>
            <w:tcBorders>
              <w:tl2br w:val="nil"/>
              <w:tr2bl w:val="nil"/>
            </w:tcBorders>
            <w:noWrap w:val="0"/>
            <w:vAlign w:val="center"/>
          </w:tcPr>
          <w:p w14:paraId="5C9B6F4E">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lang w:bidi="ar"/>
              </w:rPr>
              <w:t>符合</w:t>
            </w:r>
          </w:p>
        </w:tc>
      </w:tr>
      <w:tr w14:paraId="7BC368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32E94DF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continue"/>
            <w:tcBorders>
              <w:tl2br w:val="nil"/>
              <w:tr2bl w:val="nil"/>
            </w:tcBorders>
            <w:noWrap w:val="0"/>
            <w:vAlign w:val="center"/>
          </w:tcPr>
          <w:p w14:paraId="6F9F82B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45131BD9">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第十条 以保障饮用水源安全为目标，完善区域环境风险措施。加强长江沿江1km范围内化工企业及危化品仓库环境风险监管，进一步完善西彭工业园区铜罐驿组团流域级环境风险防范措施；西彭工业园区应与下游饮用水水源取水口运营单位建立水源地突发环境事件应急联动机制。</w:t>
            </w:r>
          </w:p>
        </w:tc>
        <w:tc>
          <w:tcPr>
            <w:tcW w:w="3464" w:type="dxa"/>
            <w:tcBorders>
              <w:tl2br w:val="nil"/>
              <w:tr2bl w:val="nil"/>
            </w:tcBorders>
            <w:noWrap w:val="0"/>
            <w:vAlign w:val="center"/>
          </w:tcPr>
          <w:p w14:paraId="562F80B8">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bCs/>
                <w:color w:val="auto"/>
                <w:sz w:val="22"/>
                <w:szCs w:val="22"/>
                <w:lang w:val="en-US" w:eastAsia="zh-CN"/>
              </w:rPr>
              <w:t>本项目涉及少量环境风险物质润滑油、液压油、柴油、切削液、废矿物油等，润滑油、液压油、柴油、切削液等辅料分类存放于油品库内，油品库已进行了重点防渗措施，四周设置围堰或托盘处理；危废贮存库按照《危险废物贮存污染控制标准》（GB18597-2023）相关标准要求进行建设。建设单位已建立了严格的风险防范措施，并入园区风险体系</w:t>
            </w:r>
          </w:p>
        </w:tc>
        <w:tc>
          <w:tcPr>
            <w:tcW w:w="695" w:type="dxa"/>
            <w:tcBorders>
              <w:tl2br w:val="nil"/>
              <w:tr2bl w:val="nil"/>
            </w:tcBorders>
            <w:noWrap w:val="0"/>
            <w:vAlign w:val="center"/>
          </w:tcPr>
          <w:p w14:paraId="27FAF94B">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符合</w:t>
            </w:r>
          </w:p>
        </w:tc>
      </w:tr>
      <w:tr w14:paraId="4D4E77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694C9F7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continue"/>
            <w:tcBorders>
              <w:tl2br w:val="nil"/>
              <w:tr2bl w:val="nil"/>
            </w:tcBorders>
            <w:noWrap w:val="0"/>
            <w:vAlign w:val="center"/>
          </w:tcPr>
          <w:p w14:paraId="1C604C6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7BD3386C">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 xml:space="preserve">第十一条 以保障“一住两公”重点建设用地安全为目标，持续推进污染土壤治理，守牢土地安全利用底线。根据土壤污染状况合理确定土地用途，推进工业企业腾退地块土壤污染状况调查评估及治理修复。未依法完成土壤污染状况调查和风险评估的地块，不得开工建设与风险管控和修复无关的项目。 </w:t>
            </w:r>
          </w:p>
        </w:tc>
        <w:tc>
          <w:tcPr>
            <w:tcW w:w="3464" w:type="dxa"/>
            <w:tcBorders>
              <w:tl2br w:val="nil"/>
              <w:tr2bl w:val="nil"/>
            </w:tcBorders>
            <w:noWrap w:val="0"/>
            <w:vAlign w:val="center"/>
          </w:tcPr>
          <w:p w14:paraId="0B1F3930">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val="en-US" w:eastAsia="zh-CN"/>
              </w:rPr>
              <w:t>本</w:t>
            </w:r>
            <w:r>
              <w:rPr>
                <w:rFonts w:hint="default" w:ascii="Times New Roman" w:hAnsi="Times New Roman" w:eastAsia="宋体" w:cs="Times New Roman"/>
                <w:color w:val="auto"/>
                <w:sz w:val="22"/>
                <w:szCs w:val="22"/>
                <w:lang w:eastAsia="zh-CN"/>
              </w:rPr>
              <w:t>项目不涉及</w:t>
            </w:r>
            <w:r>
              <w:rPr>
                <w:rFonts w:hint="eastAsia" w:ascii="Times New Roman" w:hAnsi="Times New Roman" w:eastAsia="宋体" w:cs="Times New Roman"/>
                <w:color w:val="auto"/>
                <w:sz w:val="22"/>
                <w:szCs w:val="22"/>
                <w:lang w:val="en-US" w:eastAsia="zh-CN"/>
              </w:rPr>
              <w:t>前述</w:t>
            </w:r>
            <w:r>
              <w:rPr>
                <w:rFonts w:hint="default" w:ascii="Times New Roman" w:hAnsi="Times New Roman" w:eastAsia="宋体" w:cs="Times New Roman"/>
                <w:color w:val="auto"/>
                <w:sz w:val="22"/>
                <w:szCs w:val="22"/>
                <w:lang w:eastAsia="zh-CN"/>
              </w:rPr>
              <w:t>内容</w:t>
            </w:r>
          </w:p>
        </w:tc>
        <w:tc>
          <w:tcPr>
            <w:tcW w:w="695" w:type="dxa"/>
            <w:tcBorders>
              <w:tl2br w:val="nil"/>
              <w:tr2bl w:val="nil"/>
            </w:tcBorders>
            <w:noWrap w:val="0"/>
            <w:vAlign w:val="center"/>
          </w:tcPr>
          <w:p w14:paraId="63D68E8A">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符合</w:t>
            </w:r>
          </w:p>
        </w:tc>
      </w:tr>
      <w:tr w14:paraId="6D822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4890415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restart"/>
            <w:tcBorders>
              <w:tl2br w:val="nil"/>
              <w:tr2bl w:val="nil"/>
            </w:tcBorders>
            <w:noWrap w:val="0"/>
            <w:vAlign w:val="center"/>
          </w:tcPr>
          <w:p w14:paraId="3CF4BC3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资源开发效率要求</w:t>
            </w:r>
          </w:p>
        </w:tc>
        <w:tc>
          <w:tcPr>
            <w:tcW w:w="7398" w:type="dxa"/>
            <w:tcBorders>
              <w:tl2br w:val="nil"/>
              <w:tr2bl w:val="nil"/>
            </w:tcBorders>
            <w:noWrap w:val="0"/>
            <w:vAlign w:val="center"/>
          </w:tcPr>
          <w:p w14:paraId="4D2AD31F">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 xml:space="preserve">第十二条 执行重点管控单元市级总体要求第十八条、第十九条、第二十条、第二十一条。 </w:t>
            </w:r>
          </w:p>
        </w:tc>
        <w:tc>
          <w:tcPr>
            <w:tcW w:w="3464" w:type="dxa"/>
            <w:tcBorders>
              <w:tl2br w:val="nil"/>
              <w:tr2bl w:val="nil"/>
            </w:tcBorders>
            <w:noWrap w:val="0"/>
            <w:vAlign w:val="center"/>
          </w:tcPr>
          <w:p w14:paraId="680F3779">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本项目符合市级总体要求</w:t>
            </w:r>
          </w:p>
        </w:tc>
        <w:tc>
          <w:tcPr>
            <w:tcW w:w="695" w:type="dxa"/>
            <w:tcBorders>
              <w:tl2br w:val="nil"/>
              <w:tr2bl w:val="nil"/>
            </w:tcBorders>
            <w:noWrap w:val="0"/>
            <w:vAlign w:val="center"/>
          </w:tcPr>
          <w:p w14:paraId="7D59A796">
            <w:pPr>
              <w:keepNext w:val="0"/>
              <w:keepLines w:val="0"/>
              <w:pageBreakBefore w:val="0"/>
              <w:widowControl/>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lang w:bidi="ar"/>
              </w:rPr>
              <w:t>符合</w:t>
            </w:r>
          </w:p>
        </w:tc>
      </w:tr>
      <w:tr w14:paraId="5E4CC0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7F5344D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continue"/>
            <w:tcBorders>
              <w:tl2br w:val="nil"/>
              <w:tr2bl w:val="nil"/>
            </w:tcBorders>
            <w:noWrap w:val="0"/>
            <w:vAlign w:val="center"/>
          </w:tcPr>
          <w:p w14:paraId="1DE052A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53463997">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 xml:space="preserve">第十三条 以促进产业绿色低碳循环发展为导向，推动减污降碳协同共治。结合西彭工业园区近零碳园区建设，深化有色金属冶炼及压延加工业、化学原料及化学制品制造业和汽车制造业等行业减污降碳。 </w:t>
            </w:r>
          </w:p>
        </w:tc>
        <w:tc>
          <w:tcPr>
            <w:tcW w:w="3464" w:type="dxa"/>
            <w:tcBorders>
              <w:tl2br w:val="nil"/>
              <w:tr2bl w:val="nil"/>
            </w:tcBorders>
            <w:noWrap w:val="0"/>
            <w:vAlign w:val="center"/>
          </w:tcPr>
          <w:p w14:paraId="1348820F">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本项目使用天然气、电等清洁能源，已</w:t>
            </w:r>
            <w:r>
              <w:rPr>
                <w:rFonts w:hint="default" w:ascii="Times New Roman" w:hAnsi="Times New Roman" w:eastAsia="宋体" w:cs="Times New Roman"/>
                <w:color w:val="auto"/>
                <w:sz w:val="22"/>
                <w:szCs w:val="22"/>
                <w:lang w:val="en-US" w:eastAsia="zh-CN"/>
              </w:rPr>
              <w:t>结合西彭工业园区近零碳园区建设，</w:t>
            </w:r>
            <w:r>
              <w:rPr>
                <w:rFonts w:hint="eastAsia" w:ascii="Times New Roman" w:hAnsi="Times New Roman" w:eastAsia="宋体" w:cs="Times New Roman"/>
                <w:color w:val="auto"/>
                <w:sz w:val="22"/>
                <w:szCs w:val="22"/>
                <w:lang w:val="en-US" w:eastAsia="zh-CN"/>
              </w:rPr>
              <w:t>正在开展能评工作，并提出了减排潜力、排放控制管理措施</w:t>
            </w:r>
          </w:p>
        </w:tc>
        <w:tc>
          <w:tcPr>
            <w:tcW w:w="695" w:type="dxa"/>
            <w:tcBorders>
              <w:tl2br w:val="nil"/>
              <w:tr2bl w:val="nil"/>
            </w:tcBorders>
            <w:noWrap w:val="0"/>
            <w:vAlign w:val="center"/>
          </w:tcPr>
          <w:p w14:paraId="3280BD9D">
            <w:pPr>
              <w:keepNext w:val="0"/>
              <w:keepLines w:val="0"/>
              <w:pageBreakBefore w:val="0"/>
              <w:widowControl/>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符合</w:t>
            </w:r>
          </w:p>
        </w:tc>
      </w:tr>
      <w:tr w14:paraId="7D58E4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6A6E824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continue"/>
            <w:tcBorders>
              <w:tl2br w:val="nil"/>
              <w:tr2bl w:val="nil"/>
            </w:tcBorders>
            <w:noWrap w:val="0"/>
            <w:vAlign w:val="center"/>
          </w:tcPr>
          <w:p w14:paraId="7F7AABD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093F7D13">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 xml:space="preserve">第十四条 提升工业、城镇生活、农业节水能力，推进再生水循环利用，提高水资源利用效率。加强工业节水改造，限制高耗水行业发展，加强重点监控用水单位监管。加强城镇节水，开展公共建筑节水改造、城镇供水管网漏损治理工程。加强农业节水，推进九龙西城西彭镇5000亩农业节水设施建设。深入挖掘非常规水资源开发利用潜力，推进再生水、雨水等非常规水资源的开发利用。 </w:t>
            </w:r>
          </w:p>
        </w:tc>
        <w:tc>
          <w:tcPr>
            <w:tcW w:w="3464" w:type="dxa"/>
            <w:tcBorders>
              <w:tl2br w:val="nil"/>
              <w:tr2bl w:val="nil"/>
            </w:tcBorders>
            <w:noWrap w:val="0"/>
            <w:vAlign w:val="center"/>
          </w:tcPr>
          <w:p w14:paraId="7917940E">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2"/>
                <w:szCs w:val="22"/>
                <w:lang w:val="en-US" w:eastAsia="zh-CN" w:bidi="ar"/>
              </w:rPr>
            </w:pPr>
            <w:r>
              <w:rPr>
                <w:rFonts w:hint="eastAsia" w:ascii="Times New Roman" w:hAnsi="Times New Roman" w:eastAsia="宋体" w:cs="Times New Roman"/>
                <w:color w:val="auto"/>
                <w:sz w:val="22"/>
                <w:szCs w:val="22"/>
                <w:lang w:val="en-US" w:eastAsia="zh-CN"/>
              </w:rPr>
              <w:t>本项目不涉及生产用水，仅涉及冷却水用水，循环使用，降低水耗</w:t>
            </w:r>
          </w:p>
        </w:tc>
        <w:tc>
          <w:tcPr>
            <w:tcW w:w="695" w:type="dxa"/>
            <w:tcBorders>
              <w:tl2br w:val="nil"/>
              <w:tr2bl w:val="nil"/>
            </w:tcBorders>
            <w:noWrap w:val="0"/>
            <w:vAlign w:val="center"/>
          </w:tcPr>
          <w:p w14:paraId="77DBF1A5">
            <w:pPr>
              <w:keepNext w:val="0"/>
              <w:keepLines w:val="0"/>
              <w:pageBreakBefore w:val="0"/>
              <w:widowControl/>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符合</w:t>
            </w:r>
          </w:p>
        </w:tc>
      </w:tr>
      <w:tr w14:paraId="72EC7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restart"/>
            <w:tcBorders>
              <w:tl2br w:val="nil"/>
              <w:tr2bl w:val="nil"/>
            </w:tcBorders>
            <w:noWrap w:val="0"/>
            <w:vAlign w:val="center"/>
          </w:tcPr>
          <w:p w14:paraId="332C6C9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lang w:bidi="ar"/>
              </w:rPr>
              <w:t>管控单元管控要求</w:t>
            </w:r>
          </w:p>
        </w:tc>
        <w:tc>
          <w:tcPr>
            <w:tcW w:w="1134" w:type="dxa"/>
            <w:vMerge w:val="restart"/>
            <w:tcBorders>
              <w:tl2br w:val="nil"/>
              <w:tr2bl w:val="nil"/>
            </w:tcBorders>
            <w:noWrap w:val="0"/>
            <w:vAlign w:val="center"/>
          </w:tcPr>
          <w:p w14:paraId="4738074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空间布局约束</w:t>
            </w:r>
          </w:p>
        </w:tc>
        <w:tc>
          <w:tcPr>
            <w:tcW w:w="7398" w:type="dxa"/>
            <w:tcBorders>
              <w:tl2br w:val="nil"/>
              <w:tr2bl w:val="nil"/>
            </w:tcBorders>
            <w:noWrap w:val="0"/>
            <w:vAlign w:val="center"/>
          </w:tcPr>
          <w:p w14:paraId="323960BD">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1.紧邻现状及规划居住用地、中小学用地等的工业用地后续引入项目时应考虑以污染较轻的项目为主，禁止新建涉及喷漆、酸洗、熔炼等异味较大的生产工艺项目。</w:t>
            </w:r>
          </w:p>
        </w:tc>
        <w:tc>
          <w:tcPr>
            <w:tcW w:w="3464" w:type="dxa"/>
            <w:tcBorders>
              <w:tl2br w:val="nil"/>
              <w:tr2bl w:val="nil"/>
            </w:tcBorders>
            <w:noWrap w:val="0"/>
            <w:vAlign w:val="center"/>
          </w:tcPr>
          <w:p w14:paraId="29E78046">
            <w:pPr>
              <w:keepNext w:val="0"/>
              <w:keepLines w:val="0"/>
              <w:widowControl/>
              <w:suppressLineNumbers w:val="0"/>
              <w:jc w:val="left"/>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本项目符合园区产业政策，北侧、西侧及南侧均为工业用地，东侧为规划居住用地，本项目位于西彭组团B分区，属于西南铝片区，属于在现有厂区扩建项目，不属于新建引入的喷漆、酸洗等项目；项目北侧、西侧及南侧均为规划的工业用地，相邻东侧为公用设施用地B04-3-1/02及居住用地B04-6-1/02及B04-6-5/02，本项目生产区布置位于厂区西北侧，布局设计已远离前述居住用地，最近距离约300m。同时，本项目设备选型采用低噪声设备。另外，本项目属于熔炼异味项目，周边居住用地位于本项目东侧，属于侧风向，项目下风向均为工业用地，居住用地距离本项目生产区最近距离约300m，因此熔炼异味对周边居民影响有限</w:t>
            </w:r>
          </w:p>
        </w:tc>
        <w:tc>
          <w:tcPr>
            <w:tcW w:w="695" w:type="dxa"/>
            <w:tcBorders>
              <w:tl2br w:val="nil"/>
              <w:tr2bl w:val="nil"/>
            </w:tcBorders>
            <w:noWrap w:val="0"/>
            <w:vAlign w:val="center"/>
          </w:tcPr>
          <w:p w14:paraId="6225DA4C">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符合</w:t>
            </w:r>
          </w:p>
        </w:tc>
      </w:tr>
      <w:tr w14:paraId="0DD299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39936FB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2"/>
                <w:szCs w:val="22"/>
                <w:lang w:bidi="ar"/>
              </w:rPr>
            </w:pPr>
          </w:p>
        </w:tc>
        <w:tc>
          <w:tcPr>
            <w:tcW w:w="1134" w:type="dxa"/>
            <w:vMerge w:val="continue"/>
            <w:tcBorders>
              <w:tl2br w:val="nil"/>
              <w:tr2bl w:val="nil"/>
            </w:tcBorders>
            <w:noWrap w:val="0"/>
            <w:vAlign w:val="center"/>
          </w:tcPr>
          <w:p w14:paraId="3AA71AA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6A417492">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2.推动九龙西城新能源、装备制造、新材料等产业往下游延伸；西彭工业园区禁止新建、扩建木质家具制造、报废汽车拆解、平板玻璃制造</w:t>
            </w:r>
            <w:r>
              <w:rPr>
                <w:rFonts w:hint="eastAsia" w:ascii="Times New Roman" w:hAnsi="Times New Roman" w:eastAsia="宋体" w:cs="Times New Roman"/>
                <w:color w:val="auto"/>
                <w:sz w:val="22"/>
                <w:szCs w:val="22"/>
                <w:lang w:val="en-US" w:eastAsia="zh-CN"/>
              </w:rPr>
              <w:t>等</w:t>
            </w:r>
            <w:r>
              <w:rPr>
                <w:rFonts w:hint="default" w:ascii="Times New Roman" w:hAnsi="Times New Roman" w:eastAsia="宋体" w:cs="Times New Roman"/>
                <w:color w:val="auto"/>
                <w:sz w:val="22"/>
                <w:szCs w:val="22"/>
                <w:lang w:val="en-US" w:eastAsia="zh-CN"/>
              </w:rPr>
              <w:t>工业项目。</w:t>
            </w:r>
          </w:p>
        </w:tc>
        <w:tc>
          <w:tcPr>
            <w:tcW w:w="3464" w:type="dxa"/>
            <w:tcBorders>
              <w:tl2br w:val="nil"/>
              <w:tr2bl w:val="nil"/>
            </w:tcBorders>
            <w:noWrap w:val="0"/>
            <w:vAlign w:val="center"/>
          </w:tcPr>
          <w:p w14:paraId="61A4C2E3">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本项目属于有色金属合金制造及铸造行业，属于西彭组团重点发展行业</w:t>
            </w:r>
          </w:p>
        </w:tc>
        <w:tc>
          <w:tcPr>
            <w:tcW w:w="695" w:type="dxa"/>
            <w:tcBorders>
              <w:tl2br w:val="nil"/>
              <w:tr2bl w:val="nil"/>
            </w:tcBorders>
            <w:noWrap w:val="0"/>
            <w:vAlign w:val="center"/>
          </w:tcPr>
          <w:p w14:paraId="5C67F41A">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符合</w:t>
            </w:r>
          </w:p>
        </w:tc>
      </w:tr>
      <w:tr w14:paraId="559E2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2A54861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2"/>
                <w:szCs w:val="22"/>
                <w:lang w:bidi="ar"/>
              </w:rPr>
            </w:pPr>
          </w:p>
        </w:tc>
        <w:tc>
          <w:tcPr>
            <w:tcW w:w="1134" w:type="dxa"/>
            <w:vMerge w:val="continue"/>
            <w:tcBorders>
              <w:tl2br w:val="nil"/>
              <w:tr2bl w:val="nil"/>
            </w:tcBorders>
            <w:noWrap w:val="0"/>
            <w:vAlign w:val="center"/>
          </w:tcPr>
          <w:p w14:paraId="02680BE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6AB508CD">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3.重庆奇爽实业（集团）有限公司、红蜻蜓（重庆）植物油脂有限公司、重庆小可食品有限公司、重庆豆奇食品有限公司不再扩大用地规模、不新增污染物排放。</w:t>
            </w:r>
          </w:p>
        </w:tc>
        <w:tc>
          <w:tcPr>
            <w:tcW w:w="3464" w:type="dxa"/>
            <w:tcBorders>
              <w:tl2br w:val="nil"/>
              <w:tr2bl w:val="nil"/>
            </w:tcBorders>
            <w:noWrap w:val="0"/>
            <w:vAlign w:val="center"/>
          </w:tcPr>
          <w:p w14:paraId="5CAB9263">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本</w:t>
            </w:r>
            <w:r>
              <w:rPr>
                <w:rFonts w:hint="default" w:ascii="Times New Roman" w:hAnsi="Times New Roman" w:eastAsia="宋体" w:cs="Times New Roman"/>
                <w:color w:val="auto"/>
                <w:sz w:val="22"/>
                <w:szCs w:val="22"/>
                <w:lang w:val="en-US" w:eastAsia="zh-CN"/>
              </w:rPr>
              <w:t>项目不涉及</w:t>
            </w:r>
            <w:r>
              <w:rPr>
                <w:rFonts w:hint="eastAsia" w:ascii="Times New Roman" w:hAnsi="Times New Roman" w:eastAsia="宋体" w:cs="Times New Roman"/>
                <w:color w:val="auto"/>
                <w:sz w:val="22"/>
                <w:szCs w:val="22"/>
                <w:lang w:val="en-US" w:eastAsia="zh-CN"/>
              </w:rPr>
              <w:t>前述</w:t>
            </w:r>
            <w:r>
              <w:rPr>
                <w:rFonts w:hint="default" w:ascii="Times New Roman" w:hAnsi="Times New Roman" w:eastAsia="宋体" w:cs="Times New Roman"/>
                <w:color w:val="auto"/>
                <w:sz w:val="22"/>
                <w:szCs w:val="22"/>
                <w:lang w:val="en-US" w:eastAsia="zh-CN"/>
              </w:rPr>
              <w:t>内容</w:t>
            </w:r>
          </w:p>
        </w:tc>
        <w:tc>
          <w:tcPr>
            <w:tcW w:w="695" w:type="dxa"/>
            <w:tcBorders>
              <w:tl2br w:val="nil"/>
              <w:tr2bl w:val="nil"/>
            </w:tcBorders>
            <w:noWrap w:val="0"/>
            <w:vAlign w:val="center"/>
          </w:tcPr>
          <w:p w14:paraId="3AE6F30C">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符合</w:t>
            </w:r>
          </w:p>
        </w:tc>
      </w:tr>
      <w:tr w14:paraId="60C059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67C8BD9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restart"/>
            <w:tcBorders>
              <w:tl2br w:val="nil"/>
              <w:tr2bl w:val="nil"/>
            </w:tcBorders>
            <w:noWrap w:val="0"/>
            <w:vAlign w:val="center"/>
          </w:tcPr>
          <w:p w14:paraId="241574B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污染物排放管控</w:t>
            </w:r>
          </w:p>
        </w:tc>
        <w:tc>
          <w:tcPr>
            <w:tcW w:w="7398" w:type="dxa"/>
            <w:tcBorders>
              <w:tl2br w:val="nil"/>
              <w:tr2bl w:val="nil"/>
            </w:tcBorders>
            <w:noWrap w:val="0"/>
            <w:vAlign w:val="center"/>
          </w:tcPr>
          <w:p w14:paraId="52DF0542">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1.推动重点行业持续提升低（无）VOCS含量、低反应活性的原辅材料替代比例，推进重点监管企业VOCS综合整治，加强重点排污企业污染治理设施和在线监控建设和运维。</w:t>
            </w:r>
          </w:p>
        </w:tc>
        <w:tc>
          <w:tcPr>
            <w:tcW w:w="3464" w:type="dxa"/>
            <w:tcBorders>
              <w:tl2br w:val="nil"/>
              <w:tr2bl w:val="nil"/>
            </w:tcBorders>
            <w:noWrap w:val="0"/>
            <w:vAlign w:val="center"/>
          </w:tcPr>
          <w:p w14:paraId="6A58BE07">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本项目主要原材料不含VOCs，仅剥皮锯切工序中使用切削液，切削液循环使用产生，在使用期间产生极少量VOCs</w:t>
            </w:r>
          </w:p>
        </w:tc>
        <w:tc>
          <w:tcPr>
            <w:tcW w:w="695" w:type="dxa"/>
            <w:tcBorders>
              <w:tl2br w:val="nil"/>
              <w:tr2bl w:val="nil"/>
            </w:tcBorders>
            <w:noWrap w:val="0"/>
            <w:vAlign w:val="center"/>
          </w:tcPr>
          <w:p w14:paraId="3E9C3C02">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符合</w:t>
            </w:r>
          </w:p>
        </w:tc>
      </w:tr>
      <w:tr w14:paraId="53B01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3FF818F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continue"/>
            <w:tcBorders>
              <w:tl2br w:val="nil"/>
              <w:tr2bl w:val="nil"/>
            </w:tcBorders>
            <w:noWrap w:val="0"/>
            <w:vAlign w:val="center"/>
          </w:tcPr>
          <w:p w14:paraId="4D8AF6F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18A2C814">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2.推进西彭工业园区污水处理厂提标扩建工程。新改建铜罐驿沿江片区、西彭镇和陶家镇等区域污水管网，改造管网错混接点；推进铜罐驿污水处理厂配套管网建设工作。</w:t>
            </w:r>
          </w:p>
        </w:tc>
        <w:tc>
          <w:tcPr>
            <w:tcW w:w="3464" w:type="dxa"/>
            <w:tcBorders>
              <w:tl2br w:val="nil"/>
              <w:tr2bl w:val="nil"/>
            </w:tcBorders>
            <w:noWrap w:val="0"/>
            <w:vAlign w:val="center"/>
          </w:tcPr>
          <w:p w14:paraId="5F0F2389">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c>
          <w:tcPr>
            <w:tcW w:w="695" w:type="dxa"/>
            <w:tcBorders>
              <w:tl2br w:val="nil"/>
              <w:tr2bl w:val="nil"/>
            </w:tcBorders>
            <w:noWrap w:val="0"/>
            <w:vAlign w:val="center"/>
          </w:tcPr>
          <w:p w14:paraId="67D46D48">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r>
      <w:tr w14:paraId="786E5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21E3280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continue"/>
            <w:tcBorders>
              <w:tl2br w:val="nil"/>
              <w:tr2bl w:val="nil"/>
            </w:tcBorders>
            <w:noWrap w:val="0"/>
            <w:vAlign w:val="center"/>
          </w:tcPr>
          <w:p w14:paraId="368B4EF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38A96DD5">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3.加快淘汰国三及以下排放标准柴油车、汽油车，以运输企业和用车大户为重点，建立车辆档案并制定淘汰计划。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w:t>
            </w:r>
          </w:p>
        </w:tc>
        <w:tc>
          <w:tcPr>
            <w:tcW w:w="3464" w:type="dxa"/>
            <w:tcBorders>
              <w:tl2br w:val="nil"/>
              <w:tr2bl w:val="nil"/>
            </w:tcBorders>
            <w:noWrap w:val="0"/>
            <w:vAlign w:val="center"/>
          </w:tcPr>
          <w:p w14:paraId="3A33AD2F">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c>
          <w:tcPr>
            <w:tcW w:w="695" w:type="dxa"/>
            <w:tcBorders>
              <w:tl2br w:val="nil"/>
              <w:tr2bl w:val="nil"/>
            </w:tcBorders>
            <w:noWrap w:val="0"/>
            <w:vAlign w:val="center"/>
          </w:tcPr>
          <w:p w14:paraId="4E3230B0">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r>
      <w:tr w14:paraId="5A4322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6DD175F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continue"/>
            <w:tcBorders>
              <w:tl2br w:val="nil"/>
              <w:tr2bl w:val="nil"/>
            </w:tcBorders>
            <w:noWrap w:val="0"/>
            <w:vAlign w:val="center"/>
          </w:tcPr>
          <w:p w14:paraId="040567A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0F2FE387">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4.加强施工扬尘监管，逐步推进建筑面积2万平方米以上的工地安装在线监控系统。</w:t>
            </w:r>
          </w:p>
        </w:tc>
        <w:tc>
          <w:tcPr>
            <w:tcW w:w="3464" w:type="dxa"/>
            <w:tcBorders>
              <w:tl2br w:val="nil"/>
              <w:tr2bl w:val="nil"/>
            </w:tcBorders>
            <w:noWrap w:val="0"/>
            <w:vAlign w:val="center"/>
          </w:tcPr>
          <w:p w14:paraId="38EF7790">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c>
          <w:tcPr>
            <w:tcW w:w="695" w:type="dxa"/>
            <w:tcBorders>
              <w:tl2br w:val="nil"/>
              <w:tr2bl w:val="nil"/>
            </w:tcBorders>
            <w:noWrap w:val="0"/>
            <w:vAlign w:val="center"/>
          </w:tcPr>
          <w:p w14:paraId="5090B98D">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r>
      <w:tr w14:paraId="06B86C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0E5F03F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restart"/>
            <w:tcBorders>
              <w:tl2br w:val="nil"/>
              <w:tr2bl w:val="nil"/>
            </w:tcBorders>
            <w:noWrap w:val="0"/>
            <w:vAlign w:val="center"/>
          </w:tcPr>
          <w:p w14:paraId="47746AD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环境风险防控</w:t>
            </w:r>
          </w:p>
        </w:tc>
        <w:tc>
          <w:tcPr>
            <w:tcW w:w="7398" w:type="dxa"/>
            <w:tcBorders>
              <w:tl2br w:val="nil"/>
              <w:tr2bl w:val="nil"/>
            </w:tcBorders>
            <w:noWrap w:val="0"/>
            <w:vAlign w:val="center"/>
          </w:tcPr>
          <w:p w14:paraId="3362AFB3">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1.西彭组团和铜罐驿组团沿江1km范围内规划仓储用地禁止新引入从事危险化学品储存、运输的仓储物流项目。</w:t>
            </w:r>
          </w:p>
        </w:tc>
        <w:tc>
          <w:tcPr>
            <w:tcW w:w="3464" w:type="dxa"/>
            <w:tcBorders>
              <w:tl2br w:val="nil"/>
              <w:tr2bl w:val="nil"/>
            </w:tcBorders>
            <w:noWrap w:val="0"/>
            <w:vAlign w:val="center"/>
          </w:tcPr>
          <w:p w14:paraId="6AF84B46">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本项目不属于</w:t>
            </w:r>
            <w:r>
              <w:rPr>
                <w:rFonts w:hint="default" w:ascii="Times New Roman" w:hAnsi="Times New Roman" w:eastAsia="宋体" w:cs="Times New Roman"/>
                <w:color w:val="auto"/>
                <w:sz w:val="22"/>
                <w:szCs w:val="22"/>
                <w:lang w:val="en-US" w:eastAsia="zh-CN"/>
              </w:rPr>
              <w:t>危险化学品储存、运输的仓储物流项目</w:t>
            </w:r>
          </w:p>
        </w:tc>
        <w:tc>
          <w:tcPr>
            <w:tcW w:w="695" w:type="dxa"/>
            <w:tcBorders>
              <w:tl2br w:val="nil"/>
              <w:tr2bl w:val="nil"/>
            </w:tcBorders>
            <w:noWrap w:val="0"/>
            <w:vAlign w:val="center"/>
          </w:tcPr>
          <w:p w14:paraId="3B3D18B1">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符合</w:t>
            </w:r>
          </w:p>
        </w:tc>
      </w:tr>
      <w:tr w14:paraId="106129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183D334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continue"/>
            <w:tcBorders>
              <w:tl2br w:val="nil"/>
              <w:tr2bl w:val="nil"/>
            </w:tcBorders>
            <w:noWrap w:val="0"/>
            <w:vAlign w:val="center"/>
          </w:tcPr>
          <w:p w14:paraId="09E01C1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019CA16A">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2.禁止新建、扩建化工项目。</w:t>
            </w:r>
          </w:p>
        </w:tc>
        <w:tc>
          <w:tcPr>
            <w:tcW w:w="3464" w:type="dxa"/>
            <w:tcBorders>
              <w:tl2br w:val="nil"/>
              <w:tr2bl w:val="nil"/>
            </w:tcBorders>
            <w:noWrap w:val="0"/>
            <w:vAlign w:val="center"/>
          </w:tcPr>
          <w:p w14:paraId="5035B8D6">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本</w:t>
            </w:r>
            <w:r>
              <w:rPr>
                <w:rFonts w:hint="default" w:ascii="Times New Roman" w:hAnsi="Times New Roman" w:eastAsia="宋体" w:cs="Times New Roman"/>
                <w:color w:val="auto"/>
                <w:sz w:val="22"/>
                <w:szCs w:val="22"/>
                <w:lang w:val="en-US" w:eastAsia="zh-CN"/>
              </w:rPr>
              <w:t>项目不属于化工项目</w:t>
            </w:r>
          </w:p>
        </w:tc>
        <w:tc>
          <w:tcPr>
            <w:tcW w:w="695" w:type="dxa"/>
            <w:tcBorders>
              <w:tl2br w:val="nil"/>
              <w:tr2bl w:val="nil"/>
            </w:tcBorders>
            <w:noWrap w:val="0"/>
            <w:vAlign w:val="center"/>
          </w:tcPr>
          <w:p w14:paraId="0E1EC42D">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符合</w:t>
            </w:r>
          </w:p>
        </w:tc>
      </w:tr>
      <w:tr w14:paraId="79EC0A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72D2CEF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continue"/>
            <w:tcBorders>
              <w:tl2br w:val="nil"/>
              <w:tr2bl w:val="nil"/>
            </w:tcBorders>
            <w:noWrap w:val="0"/>
            <w:vAlign w:val="center"/>
          </w:tcPr>
          <w:p w14:paraId="302843C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73832857">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3.推进铜罐驿组团金竹沟闸坝的修建。</w:t>
            </w:r>
          </w:p>
        </w:tc>
        <w:tc>
          <w:tcPr>
            <w:tcW w:w="3464" w:type="dxa"/>
            <w:tcBorders>
              <w:tl2br w:val="nil"/>
              <w:tr2bl w:val="nil"/>
            </w:tcBorders>
            <w:noWrap w:val="0"/>
            <w:vAlign w:val="center"/>
          </w:tcPr>
          <w:p w14:paraId="5D9C0AFF">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c>
          <w:tcPr>
            <w:tcW w:w="695" w:type="dxa"/>
            <w:tcBorders>
              <w:tl2br w:val="nil"/>
              <w:tr2bl w:val="nil"/>
            </w:tcBorders>
            <w:noWrap w:val="0"/>
            <w:vAlign w:val="center"/>
          </w:tcPr>
          <w:p w14:paraId="52AEDA06">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r>
      <w:tr w14:paraId="088B1B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44D2FC0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continue"/>
            <w:tcBorders>
              <w:tl2br w:val="nil"/>
              <w:tr2bl w:val="nil"/>
            </w:tcBorders>
            <w:noWrap w:val="0"/>
            <w:vAlign w:val="center"/>
          </w:tcPr>
          <w:p w14:paraId="7A80658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0F788518">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4.西彭工业园区应与下游饮用水水源取水口运营单位建立水源地突发环境事件应急联动机制。</w:t>
            </w:r>
          </w:p>
        </w:tc>
        <w:tc>
          <w:tcPr>
            <w:tcW w:w="3464" w:type="dxa"/>
            <w:tcBorders>
              <w:tl2br w:val="nil"/>
              <w:tr2bl w:val="nil"/>
            </w:tcBorders>
            <w:noWrap w:val="0"/>
            <w:vAlign w:val="center"/>
          </w:tcPr>
          <w:p w14:paraId="5EA081BE">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c>
          <w:tcPr>
            <w:tcW w:w="695" w:type="dxa"/>
            <w:tcBorders>
              <w:tl2br w:val="nil"/>
              <w:tr2bl w:val="nil"/>
            </w:tcBorders>
            <w:noWrap w:val="0"/>
            <w:vAlign w:val="center"/>
          </w:tcPr>
          <w:p w14:paraId="747EC503">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r>
      <w:tr w14:paraId="6B7495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4A05980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continue"/>
            <w:tcBorders>
              <w:tl2br w:val="nil"/>
              <w:tr2bl w:val="nil"/>
            </w:tcBorders>
            <w:noWrap w:val="0"/>
            <w:vAlign w:val="center"/>
          </w:tcPr>
          <w:p w14:paraId="0960E91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41BF99C6">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5.禁止新建、扩建排放废水含有五类重金属（铬、镉、汞、砷、铅）、剧毒物质和持久性有机污染物的工业项目。</w:t>
            </w:r>
          </w:p>
        </w:tc>
        <w:tc>
          <w:tcPr>
            <w:tcW w:w="3464" w:type="dxa"/>
            <w:tcBorders>
              <w:tl2br w:val="nil"/>
              <w:tr2bl w:val="nil"/>
            </w:tcBorders>
            <w:noWrap w:val="0"/>
            <w:vAlign w:val="center"/>
          </w:tcPr>
          <w:p w14:paraId="1380565D">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本项目</w:t>
            </w:r>
            <w:r>
              <w:rPr>
                <w:rFonts w:hint="default" w:ascii="Times New Roman" w:hAnsi="Times New Roman" w:eastAsia="宋体" w:cs="Times New Roman"/>
                <w:color w:val="auto"/>
                <w:sz w:val="22"/>
                <w:szCs w:val="22"/>
                <w:lang w:val="en-US" w:eastAsia="zh-CN"/>
              </w:rPr>
              <w:t>废水不涉及五类重金属、剧毒物质和持久性有机污染物排放</w:t>
            </w:r>
          </w:p>
        </w:tc>
        <w:tc>
          <w:tcPr>
            <w:tcW w:w="695" w:type="dxa"/>
            <w:tcBorders>
              <w:tl2br w:val="nil"/>
              <w:tr2bl w:val="nil"/>
            </w:tcBorders>
            <w:noWrap w:val="0"/>
            <w:vAlign w:val="center"/>
          </w:tcPr>
          <w:p w14:paraId="328CC212">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符合</w:t>
            </w:r>
          </w:p>
        </w:tc>
      </w:tr>
      <w:tr w14:paraId="433DA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751890F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restart"/>
            <w:tcBorders>
              <w:tl2br w:val="nil"/>
              <w:tr2bl w:val="nil"/>
            </w:tcBorders>
            <w:noWrap w:val="0"/>
            <w:vAlign w:val="center"/>
          </w:tcPr>
          <w:p w14:paraId="7D4B96B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资源开发效率要求</w:t>
            </w:r>
          </w:p>
        </w:tc>
        <w:tc>
          <w:tcPr>
            <w:tcW w:w="7398" w:type="dxa"/>
            <w:tcBorders>
              <w:tl2br w:val="nil"/>
              <w:tr2bl w:val="nil"/>
            </w:tcBorders>
            <w:noWrap w:val="0"/>
            <w:vAlign w:val="center"/>
          </w:tcPr>
          <w:p w14:paraId="52F10FBF">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1.禁止新建、扩建燃用煤、重油等高污染燃料的工业项目，重庆和友实业股份有限公司不再新增燃煤总量。</w:t>
            </w:r>
          </w:p>
        </w:tc>
        <w:tc>
          <w:tcPr>
            <w:tcW w:w="3464" w:type="dxa"/>
            <w:tcBorders>
              <w:tl2br w:val="nil"/>
              <w:tr2bl w:val="nil"/>
            </w:tcBorders>
            <w:noWrap w:val="0"/>
            <w:vAlign w:val="center"/>
          </w:tcPr>
          <w:p w14:paraId="451D3639">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本</w:t>
            </w:r>
            <w:r>
              <w:rPr>
                <w:rFonts w:hint="default" w:ascii="Times New Roman" w:hAnsi="Times New Roman" w:eastAsia="宋体" w:cs="Times New Roman"/>
                <w:color w:val="auto"/>
                <w:sz w:val="22"/>
                <w:szCs w:val="22"/>
                <w:lang w:val="en-US" w:eastAsia="zh-CN"/>
              </w:rPr>
              <w:t>项目</w:t>
            </w:r>
            <w:r>
              <w:rPr>
                <w:rFonts w:hint="eastAsia" w:ascii="Times New Roman" w:hAnsi="Times New Roman" w:eastAsia="宋体" w:cs="Times New Roman"/>
                <w:color w:val="auto"/>
                <w:sz w:val="22"/>
                <w:szCs w:val="22"/>
                <w:lang w:val="en-US" w:eastAsia="zh-CN"/>
              </w:rPr>
              <w:t>以</w:t>
            </w:r>
            <w:r>
              <w:rPr>
                <w:rFonts w:hint="default" w:ascii="Times New Roman" w:hAnsi="Times New Roman" w:eastAsia="宋体" w:cs="Times New Roman"/>
                <w:color w:val="auto"/>
                <w:sz w:val="22"/>
                <w:szCs w:val="22"/>
                <w:lang w:val="en-US" w:eastAsia="zh-CN"/>
              </w:rPr>
              <w:t>电和天然气为能源</w:t>
            </w:r>
            <w:r>
              <w:rPr>
                <w:rFonts w:hint="eastAsia" w:ascii="Times New Roman" w:hAnsi="Times New Roman" w:eastAsia="宋体" w:cs="Times New Roman"/>
                <w:color w:val="auto"/>
                <w:sz w:val="22"/>
                <w:szCs w:val="22"/>
                <w:lang w:val="en-US" w:eastAsia="zh-CN"/>
              </w:rPr>
              <w:t>，不使用</w:t>
            </w:r>
            <w:r>
              <w:rPr>
                <w:rFonts w:hint="default" w:ascii="Times New Roman" w:hAnsi="Times New Roman" w:eastAsia="宋体" w:cs="Times New Roman"/>
                <w:color w:val="auto"/>
                <w:sz w:val="22"/>
                <w:szCs w:val="22"/>
                <w:lang w:val="en-US" w:eastAsia="zh-CN"/>
              </w:rPr>
              <w:t>煤、重油等高污染燃料</w:t>
            </w:r>
          </w:p>
        </w:tc>
        <w:tc>
          <w:tcPr>
            <w:tcW w:w="695" w:type="dxa"/>
            <w:tcBorders>
              <w:tl2br w:val="nil"/>
              <w:tr2bl w:val="nil"/>
            </w:tcBorders>
            <w:noWrap w:val="0"/>
            <w:vAlign w:val="center"/>
          </w:tcPr>
          <w:p w14:paraId="1BA6BAE1">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符合</w:t>
            </w:r>
          </w:p>
        </w:tc>
      </w:tr>
      <w:tr w14:paraId="3D9EED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6BB1086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continue"/>
            <w:tcBorders>
              <w:tl2br w:val="nil"/>
              <w:tr2bl w:val="nil"/>
            </w:tcBorders>
            <w:noWrap w:val="0"/>
            <w:vAlign w:val="center"/>
          </w:tcPr>
          <w:p w14:paraId="6C2F9C5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7DE2562E">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2.新建和改、扩建的工业项目清洁生产水平应达到国内先进水平。</w:t>
            </w:r>
          </w:p>
        </w:tc>
        <w:tc>
          <w:tcPr>
            <w:tcW w:w="3464" w:type="dxa"/>
            <w:tcBorders>
              <w:tl2br w:val="nil"/>
              <w:tr2bl w:val="nil"/>
            </w:tcBorders>
            <w:noWrap w:val="0"/>
            <w:vAlign w:val="center"/>
          </w:tcPr>
          <w:p w14:paraId="4D6271B4">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本项目</w:t>
            </w:r>
            <w:r>
              <w:rPr>
                <w:rFonts w:hint="default" w:ascii="Times New Roman" w:hAnsi="Times New Roman" w:eastAsia="宋体" w:cs="Times New Roman"/>
                <w:color w:val="auto"/>
                <w:sz w:val="22"/>
                <w:szCs w:val="22"/>
                <w:lang w:val="en-US" w:eastAsia="zh-CN"/>
              </w:rPr>
              <w:t>在严格落实各项环保措施后，清洁生产水平可达到国家清洁生产标准的国内先进水平</w:t>
            </w:r>
          </w:p>
        </w:tc>
        <w:tc>
          <w:tcPr>
            <w:tcW w:w="695" w:type="dxa"/>
            <w:tcBorders>
              <w:tl2br w:val="nil"/>
              <w:tr2bl w:val="nil"/>
            </w:tcBorders>
            <w:noWrap w:val="0"/>
            <w:vAlign w:val="center"/>
          </w:tcPr>
          <w:p w14:paraId="76CC0FDE">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符合</w:t>
            </w:r>
          </w:p>
        </w:tc>
      </w:tr>
      <w:tr w14:paraId="73097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3C59272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continue"/>
            <w:tcBorders>
              <w:tl2br w:val="nil"/>
              <w:tr2bl w:val="nil"/>
            </w:tcBorders>
            <w:noWrap w:val="0"/>
            <w:vAlign w:val="center"/>
          </w:tcPr>
          <w:p w14:paraId="2028C2C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7B6D92BA">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3.提高有色金属冶炼及压延加工业、化学原料及化学制品制造业和汽车制造业等工业企业的节能水平，降低区域的能耗强度。加强重点行业能效管理，升级工艺技术，提高用能设备能效水平。</w:t>
            </w:r>
          </w:p>
        </w:tc>
        <w:tc>
          <w:tcPr>
            <w:tcW w:w="3464" w:type="dxa"/>
            <w:tcBorders>
              <w:tl2br w:val="nil"/>
              <w:tr2bl w:val="nil"/>
            </w:tcBorders>
            <w:noWrap w:val="0"/>
            <w:vAlign w:val="center"/>
          </w:tcPr>
          <w:p w14:paraId="7C759387">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本项目提高节能水平，降低企业能耗，提升用能设备能效水平</w:t>
            </w:r>
          </w:p>
        </w:tc>
        <w:tc>
          <w:tcPr>
            <w:tcW w:w="695" w:type="dxa"/>
            <w:tcBorders>
              <w:tl2br w:val="nil"/>
              <w:tr2bl w:val="nil"/>
            </w:tcBorders>
            <w:noWrap w:val="0"/>
            <w:vAlign w:val="center"/>
          </w:tcPr>
          <w:p w14:paraId="4C019D44">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符合</w:t>
            </w:r>
          </w:p>
        </w:tc>
      </w:tr>
      <w:tr w14:paraId="5C5E1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tcBorders>
              <w:tl2br w:val="nil"/>
              <w:tr2bl w:val="nil"/>
            </w:tcBorders>
            <w:noWrap w:val="0"/>
            <w:vAlign w:val="center"/>
          </w:tcPr>
          <w:p w14:paraId="2BDE133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1134" w:type="dxa"/>
            <w:vMerge w:val="continue"/>
            <w:tcBorders>
              <w:tl2br w:val="nil"/>
              <w:tr2bl w:val="nil"/>
            </w:tcBorders>
            <w:noWrap w:val="0"/>
            <w:vAlign w:val="center"/>
          </w:tcPr>
          <w:p w14:paraId="6E2287C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rPr>
            </w:pPr>
          </w:p>
        </w:tc>
        <w:tc>
          <w:tcPr>
            <w:tcW w:w="7398" w:type="dxa"/>
            <w:tcBorders>
              <w:tl2br w:val="nil"/>
              <w:tr2bl w:val="nil"/>
            </w:tcBorders>
            <w:noWrap w:val="0"/>
            <w:vAlign w:val="center"/>
          </w:tcPr>
          <w:p w14:paraId="7951D6A5">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4.加强工业节水改造，限制高耗水行业发展，加强重点监控用水单位监管。加强城镇节水，开展公共建筑节水改造、城镇供水管网漏损治理工程。</w:t>
            </w:r>
          </w:p>
        </w:tc>
        <w:tc>
          <w:tcPr>
            <w:tcW w:w="3464" w:type="dxa"/>
            <w:tcBorders>
              <w:tl2br w:val="nil"/>
              <w:tr2bl w:val="nil"/>
            </w:tcBorders>
            <w:noWrap w:val="0"/>
            <w:vAlign w:val="center"/>
          </w:tcPr>
          <w:p w14:paraId="48D39EEE">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本项目不涉及生产用水，仅涉及冷却水用水，循环使用，降低水耗</w:t>
            </w:r>
          </w:p>
        </w:tc>
        <w:tc>
          <w:tcPr>
            <w:tcW w:w="695" w:type="dxa"/>
            <w:tcBorders>
              <w:tl2br w:val="nil"/>
              <w:tr2bl w:val="nil"/>
            </w:tcBorders>
            <w:noWrap w:val="0"/>
            <w:vAlign w:val="center"/>
          </w:tcPr>
          <w:p w14:paraId="1E38E7FF">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符合</w:t>
            </w:r>
          </w:p>
        </w:tc>
      </w:tr>
    </w:tbl>
    <w:p w14:paraId="1981FE6E">
      <w:pPr>
        <w:pStyle w:val="2"/>
        <w:rPr>
          <w:rFonts w:hint="default"/>
          <w:color w:val="auto"/>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p w14:paraId="5C47E64D">
      <w:pPr>
        <w:pStyle w:val="2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二、建设项目工程分析</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5"/>
        <w:gridCol w:w="8453"/>
      </w:tblGrid>
      <w:tr w14:paraId="7D8AF9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525" w:type="dxa"/>
            <w:tcBorders>
              <w:tl2br w:val="nil"/>
              <w:tr2bl w:val="nil"/>
            </w:tcBorders>
            <w:noWrap w:val="0"/>
            <w:vAlign w:val="center"/>
          </w:tcPr>
          <w:p w14:paraId="56E51E21">
            <w:pPr>
              <w:bidi w:val="0"/>
              <w:jc w:val="center"/>
              <w:rPr>
                <w:rFonts w:hint="default" w:ascii="Times New Roman" w:hAnsi="Times New Roman" w:cs="Times New Roman"/>
                <w:color w:val="auto"/>
                <w:sz w:val="26"/>
                <w:szCs w:val="26"/>
              </w:rPr>
            </w:pPr>
            <w:r>
              <w:rPr>
                <w:rFonts w:hint="default" w:ascii="Times New Roman" w:hAnsi="Times New Roman" w:cs="Times New Roman"/>
                <w:color w:val="auto"/>
                <w:sz w:val="26"/>
                <w:szCs w:val="26"/>
                <w:lang w:val="en-US" w:eastAsia="zh-CN"/>
              </w:rPr>
              <w:t>建设内容</w:t>
            </w:r>
          </w:p>
        </w:tc>
        <w:tc>
          <w:tcPr>
            <w:tcW w:w="8453" w:type="dxa"/>
            <w:tcBorders>
              <w:tl2br w:val="nil"/>
              <w:tr2bl w:val="nil"/>
            </w:tcBorders>
            <w:noWrap w:val="0"/>
            <w:vAlign w:val="top"/>
          </w:tcPr>
          <w:p w14:paraId="7E31F2C6">
            <w:pPr>
              <w:keepNext w:val="0"/>
              <w:keepLines w:val="0"/>
              <w:pageBreakBefore w:val="0"/>
              <w:widowControl w:val="0"/>
              <w:kinsoku/>
              <w:wordWrap/>
              <w:overflowPunct/>
              <w:topLinePunct w:val="0"/>
              <w:autoSpaceDE/>
              <w:autoSpaceDN/>
              <w:bidi w:val="0"/>
              <w:spacing w:line="460" w:lineRule="exact"/>
              <w:textAlignment w:val="auto"/>
              <w:rPr>
                <w:rFonts w:hint="default"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lang w:val="en-US" w:eastAsia="zh-CN"/>
              </w:rPr>
              <w:t>2.1项目由来</w:t>
            </w:r>
          </w:p>
          <w:p w14:paraId="45266E86">
            <w:pPr>
              <w:keepNext w:val="0"/>
              <w:keepLines w:val="0"/>
              <w:pageBreakBefore w:val="0"/>
              <w:widowControl w:val="0"/>
              <w:kinsoku/>
              <w:wordWrap/>
              <w:overflowPunct/>
              <w:topLinePunct w:val="0"/>
              <w:autoSpaceDE/>
              <w:autoSpaceDN/>
              <w:bidi w:val="0"/>
              <w:spacing w:line="460" w:lineRule="exact"/>
              <w:textAlignment w:val="auto"/>
              <w:rPr>
                <w:rFonts w:hint="eastAsia"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lang w:val="en-US" w:eastAsia="zh-CN"/>
              </w:rPr>
              <w:t>2.1.1企业简介</w:t>
            </w:r>
          </w:p>
          <w:p w14:paraId="0C2CCBCB">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Times New Roman" w:hAnsi="Times New Roman" w:eastAsia="宋体" w:cs="Times New Roman"/>
                <w:bCs/>
                <w:color w:val="auto"/>
                <w:sz w:val="26"/>
                <w:szCs w:val="26"/>
                <w:lang w:val="en-US" w:eastAsia="zh-CN"/>
              </w:rPr>
            </w:pPr>
            <w:r>
              <w:rPr>
                <w:rFonts w:hint="eastAsia" w:ascii="Times New Roman" w:hAnsi="Times New Roman" w:eastAsia="宋体" w:cs="Times New Roman"/>
                <w:bCs/>
                <w:color w:val="auto"/>
                <w:sz w:val="26"/>
                <w:szCs w:val="26"/>
                <w:lang w:val="en-US" w:eastAsia="zh-CN"/>
              </w:rPr>
              <w:t>重庆市西南铝实业有限公司（以下简称西南铝实业）原为西南铝业（集团）有限责任公司的下属企业，已于2020年改制成有限责任公司。</w:t>
            </w:r>
            <w:r>
              <w:rPr>
                <w:rFonts w:hint="default" w:ascii="Times New Roman" w:hAnsi="Times New Roman" w:eastAsia="宋体" w:cs="Times New Roman"/>
                <w:bCs/>
                <w:color w:val="auto"/>
                <w:sz w:val="26"/>
                <w:szCs w:val="26"/>
                <w:lang w:val="en-US" w:eastAsia="zh-CN"/>
              </w:rPr>
              <w:t>2017</w:t>
            </w:r>
            <w:r>
              <w:rPr>
                <w:rFonts w:hint="eastAsia" w:ascii="Times New Roman" w:hAnsi="Times New Roman" w:eastAsia="宋体" w:cs="Times New Roman"/>
                <w:bCs/>
                <w:color w:val="auto"/>
                <w:sz w:val="26"/>
                <w:szCs w:val="26"/>
                <w:lang w:val="en-US" w:eastAsia="zh-CN"/>
              </w:rPr>
              <w:t>年</w:t>
            </w:r>
            <w:r>
              <w:rPr>
                <w:rFonts w:hint="default" w:ascii="Times New Roman" w:hAnsi="Times New Roman" w:eastAsia="宋体" w:cs="Times New Roman"/>
                <w:bCs/>
                <w:color w:val="auto"/>
                <w:sz w:val="26"/>
                <w:szCs w:val="26"/>
                <w:lang w:val="en-US" w:eastAsia="zh-CN"/>
              </w:rPr>
              <w:t>10</w:t>
            </w:r>
            <w:r>
              <w:rPr>
                <w:rFonts w:hint="eastAsia" w:ascii="Times New Roman" w:hAnsi="Times New Roman" w:eastAsia="宋体" w:cs="Times New Roman"/>
                <w:bCs/>
                <w:color w:val="auto"/>
                <w:sz w:val="26"/>
                <w:szCs w:val="26"/>
                <w:lang w:val="en-US" w:eastAsia="zh-CN"/>
              </w:rPr>
              <w:t>月底，按照西南铝的统一部署，西南铝实业对西南铝下属</w:t>
            </w:r>
            <w:r>
              <w:rPr>
                <w:rFonts w:hint="default" w:ascii="Times New Roman" w:hAnsi="Times New Roman" w:eastAsia="宋体" w:cs="Times New Roman"/>
                <w:bCs/>
                <w:color w:val="auto"/>
                <w:sz w:val="26"/>
                <w:szCs w:val="26"/>
                <w:lang w:val="en-US" w:eastAsia="zh-CN"/>
              </w:rPr>
              <w:t>5</w:t>
            </w:r>
            <w:r>
              <w:rPr>
                <w:rFonts w:hint="eastAsia" w:ascii="Times New Roman" w:hAnsi="Times New Roman" w:eastAsia="宋体" w:cs="Times New Roman"/>
                <w:bCs/>
                <w:color w:val="auto"/>
                <w:sz w:val="26"/>
                <w:szCs w:val="26"/>
                <w:lang w:val="en-US" w:eastAsia="zh-CN"/>
              </w:rPr>
              <w:t>家大集体企业（重庆渝西化工厂、重庆庆西实业公司、重庆市西铝工业公司、重庆西铝金属结构加工厂和重庆市建筑总公司）和重庆西铝铝箔深加工厂进行了整合。重庆渝西化工厂、重庆庆西实业公司、重庆西铝铝箔深加工厂</w:t>
            </w:r>
            <w:r>
              <w:rPr>
                <w:rFonts w:hint="default" w:ascii="Times New Roman" w:hAnsi="Times New Roman" w:eastAsia="宋体" w:cs="Times New Roman"/>
                <w:bCs/>
                <w:color w:val="auto"/>
                <w:sz w:val="26"/>
                <w:szCs w:val="26"/>
                <w:lang w:val="en-US" w:eastAsia="zh-CN"/>
              </w:rPr>
              <w:t>3</w:t>
            </w:r>
            <w:r>
              <w:rPr>
                <w:rFonts w:hint="eastAsia" w:ascii="Times New Roman" w:hAnsi="Times New Roman" w:eastAsia="宋体" w:cs="Times New Roman"/>
                <w:bCs/>
                <w:color w:val="auto"/>
                <w:sz w:val="26"/>
                <w:szCs w:val="26"/>
                <w:lang w:val="en-US" w:eastAsia="zh-CN"/>
              </w:rPr>
              <w:t>家企业已办理了销户，原生产业务全部转移到西南铝实业；重庆市西铝工业公司、重庆西铝金属结构加工厂暂保留法人资格，隶属于西南铝实业。</w:t>
            </w:r>
          </w:p>
          <w:p w14:paraId="10FDB7A4">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eastAsia="宋体" w:cs="Times New Roman"/>
                <w:bCs/>
                <w:color w:val="auto"/>
                <w:sz w:val="26"/>
                <w:szCs w:val="26"/>
                <w:lang w:val="en-US" w:eastAsia="zh-CN"/>
              </w:rPr>
            </w:pPr>
            <w:r>
              <w:rPr>
                <w:rFonts w:hint="eastAsia" w:ascii="Times New Roman" w:hAnsi="Times New Roman" w:eastAsia="宋体" w:cs="Times New Roman"/>
                <w:bCs/>
                <w:color w:val="auto"/>
                <w:sz w:val="26"/>
                <w:szCs w:val="26"/>
                <w:lang w:val="en-US" w:eastAsia="zh-CN"/>
              </w:rPr>
              <w:t>目前</w:t>
            </w:r>
            <w:bookmarkStart w:id="3" w:name="_Hlk126849518"/>
            <w:r>
              <w:rPr>
                <w:rFonts w:hint="eastAsia" w:ascii="Times New Roman" w:hAnsi="Times New Roman" w:eastAsia="宋体" w:cs="Times New Roman"/>
                <w:bCs/>
                <w:color w:val="auto"/>
                <w:sz w:val="26"/>
                <w:szCs w:val="26"/>
                <w:lang w:val="en-US" w:eastAsia="zh-CN"/>
              </w:rPr>
              <w:t>，重庆市西南铝实业有限公司名下涉及3个分厂，分别为重庆市西南铝实业有限公司（老一区）</w:t>
            </w:r>
            <w:bookmarkEnd w:id="3"/>
            <w:r>
              <w:rPr>
                <w:rFonts w:hint="eastAsia" w:ascii="Times New Roman" w:hAnsi="Times New Roman" w:eastAsia="宋体" w:cs="Times New Roman"/>
                <w:bCs/>
                <w:color w:val="auto"/>
                <w:sz w:val="26"/>
                <w:szCs w:val="26"/>
                <w:lang w:val="en-US" w:eastAsia="zh-CN"/>
              </w:rPr>
              <w:t>、重庆市西南铝实业有限公司（铸造二车间）、重庆市华庆包装有限责任公司。根据企业实际情况，重庆市西南铝实业有限公司各厂区均分别办理项目环评、排污许可证申报及验收等相关环保手续，且各分厂独立进行总量管控，且根据现状调查，各厂区现状环保手续完善，定期履行自行监测工作，不涉及环保问题。本项目位于原重庆渝西化工厂（已办理注销），该分厂已采用重庆市西南铝实业有限公司（老一区）名义履行了环保手续，现有项目主要针对老一区相关内容进行评价。老一区环保手续办理情况详见下表。</w:t>
            </w:r>
          </w:p>
          <w:p w14:paraId="1C7F1335">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lang w:val="en-US" w:eastAsia="zh-CN"/>
              </w:rPr>
              <w:t>表2.1-1  西南铝实业各分厂环保手续情况</w:t>
            </w:r>
          </w:p>
          <w:tbl>
            <w:tblPr>
              <w:tblStyle w:val="26"/>
              <w:tblpPr w:leftFromText="180" w:rightFromText="180" w:vertAnchor="text" w:horzAnchor="page" w:tblpX="244" w:tblpY="475"/>
              <w:tblOverlap w:val="never"/>
              <w:tblW w:w="485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7"/>
              <w:gridCol w:w="1315"/>
              <w:gridCol w:w="1859"/>
              <w:gridCol w:w="1859"/>
              <w:gridCol w:w="1860"/>
              <w:gridCol w:w="671"/>
            </w:tblGrid>
            <w:tr w14:paraId="257777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dxa"/>
                  <w:vMerge w:val="restart"/>
                  <w:tcBorders>
                    <w:tl2br w:val="nil"/>
                    <w:tr2bl w:val="nil"/>
                  </w:tcBorders>
                  <w:noWrap w:val="0"/>
                  <w:vAlign w:val="center"/>
                </w:tcPr>
                <w:p w14:paraId="4D68AC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序号</w:t>
                  </w:r>
                </w:p>
              </w:tc>
              <w:tc>
                <w:tcPr>
                  <w:tcW w:w="1356" w:type="dxa"/>
                  <w:vMerge w:val="restart"/>
                  <w:tcBorders>
                    <w:tl2br w:val="nil"/>
                    <w:tr2bl w:val="nil"/>
                  </w:tcBorders>
                  <w:noWrap w:val="0"/>
                  <w:vAlign w:val="center"/>
                </w:tcPr>
                <w:p w14:paraId="327754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分厂名称</w:t>
                  </w:r>
                </w:p>
              </w:tc>
              <w:tc>
                <w:tcPr>
                  <w:tcW w:w="5761" w:type="dxa"/>
                  <w:gridSpan w:val="3"/>
                  <w:tcBorders>
                    <w:tl2br w:val="nil"/>
                    <w:tr2bl w:val="nil"/>
                  </w:tcBorders>
                  <w:noWrap w:val="0"/>
                  <w:vAlign w:val="center"/>
                </w:tcPr>
                <w:p w14:paraId="3E9DA4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环保手续履行情况</w:t>
                  </w:r>
                </w:p>
              </w:tc>
              <w:tc>
                <w:tcPr>
                  <w:tcW w:w="687" w:type="dxa"/>
                  <w:vMerge w:val="restart"/>
                  <w:tcBorders>
                    <w:tl2br w:val="nil"/>
                    <w:tr2bl w:val="nil"/>
                  </w:tcBorders>
                  <w:noWrap w:val="0"/>
                  <w:vAlign w:val="center"/>
                </w:tcPr>
                <w:p w14:paraId="06C031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备注</w:t>
                  </w:r>
                </w:p>
              </w:tc>
            </w:tr>
            <w:tr w14:paraId="498FC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dxa"/>
                  <w:vMerge w:val="continue"/>
                  <w:tcBorders>
                    <w:tl2br w:val="nil"/>
                    <w:tr2bl w:val="nil"/>
                  </w:tcBorders>
                  <w:noWrap w:val="0"/>
                  <w:vAlign w:val="center"/>
                </w:tcPr>
                <w:p w14:paraId="439F9B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356" w:type="dxa"/>
                  <w:vMerge w:val="continue"/>
                  <w:tcBorders>
                    <w:tl2br w:val="nil"/>
                    <w:tr2bl w:val="nil"/>
                  </w:tcBorders>
                  <w:noWrap w:val="0"/>
                  <w:vAlign w:val="center"/>
                </w:tcPr>
                <w:p w14:paraId="299A2E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920" w:type="dxa"/>
                  <w:tcBorders>
                    <w:tl2br w:val="nil"/>
                    <w:tr2bl w:val="nil"/>
                  </w:tcBorders>
                  <w:noWrap w:val="0"/>
                  <w:vAlign w:val="center"/>
                </w:tcPr>
                <w:p w14:paraId="477469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项目名称</w:t>
                  </w:r>
                </w:p>
              </w:tc>
              <w:tc>
                <w:tcPr>
                  <w:tcW w:w="1920" w:type="dxa"/>
                  <w:tcBorders>
                    <w:tl2br w:val="nil"/>
                    <w:tr2bl w:val="nil"/>
                  </w:tcBorders>
                  <w:noWrap w:val="0"/>
                  <w:vAlign w:val="center"/>
                </w:tcPr>
                <w:p w14:paraId="6322CD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环评</w:t>
                  </w:r>
                </w:p>
              </w:tc>
              <w:tc>
                <w:tcPr>
                  <w:tcW w:w="1921" w:type="dxa"/>
                  <w:tcBorders>
                    <w:tl2br w:val="nil"/>
                    <w:tr2bl w:val="nil"/>
                  </w:tcBorders>
                  <w:noWrap w:val="0"/>
                  <w:vAlign w:val="center"/>
                </w:tcPr>
                <w:p w14:paraId="4F650E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验收</w:t>
                  </w:r>
                </w:p>
              </w:tc>
              <w:tc>
                <w:tcPr>
                  <w:tcW w:w="687" w:type="dxa"/>
                  <w:vMerge w:val="continue"/>
                  <w:tcBorders>
                    <w:tl2br w:val="nil"/>
                    <w:tr2bl w:val="nil"/>
                  </w:tcBorders>
                  <w:noWrap w:val="0"/>
                  <w:vAlign w:val="center"/>
                </w:tcPr>
                <w:p w14:paraId="53EB8C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r>
            <w:tr w14:paraId="698AB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dxa"/>
                  <w:tcBorders>
                    <w:tl2br w:val="nil"/>
                    <w:tr2bl w:val="nil"/>
                  </w:tcBorders>
                  <w:noWrap w:val="0"/>
                  <w:vAlign w:val="center"/>
                </w:tcPr>
                <w:p w14:paraId="126E0E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w:t>
                  </w:r>
                </w:p>
              </w:tc>
              <w:tc>
                <w:tcPr>
                  <w:tcW w:w="1356" w:type="dxa"/>
                  <w:vMerge w:val="restart"/>
                  <w:tcBorders>
                    <w:tl2br w:val="nil"/>
                    <w:tr2bl w:val="nil"/>
                  </w:tcBorders>
                  <w:noWrap w:val="0"/>
                  <w:vAlign w:val="center"/>
                </w:tcPr>
                <w:p w14:paraId="1774C8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重庆市西南铝实业有限公司（老一区）</w:t>
                  </w:r>
                </w:p>
              </w:tc>
              <w:tc>
                <w:tcPr>
                  <w:tcW w:w="1920" w:type="dxa"/>
                  <w:tcBorders>
                    <w:tl2br w:val="nil"/>
                    <w:tr2bl w:val="nil"/>
                  </w:tcBorders>
                  <w:noWrap w:val="0"/>
                  <w:vAlign w:val="center"/>
                </w:tcPr>
                <w:p w14:paraId="5D38D7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老一区熔炼中心熔铸生产线改扩建项目</w:t>
                  </w:r>
                </w:p>
              </w:tc>
              <w:tc>
                <w:tcPr>
                  <w:tcW w:w="1920" w:type="dxa"/>
                  <w:tcBorders>
                    <w:tl2br w:val="nil"/>
                    <w:tr2bl w:val="nil"/>
                  </w:tcBorders>
                  <w:noWrap w:val="0"/>
                  <w:vAlign w:val="center"/>
                </w:tcPr>
                <w:p w14:paraId="16690F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snapToGrid w:val="0"/>
                      <w:color w:val="auto"/>
                      <w:kern w:val="0"/>
                      <w:sz w:val="22"/>
                      <w:szCs w:val="22"/>
                    </w:rPr>
                    <w:t>渝（九）环准〔2021〕097号</w:t>
                  </w:r>
                </w:p>
              </w:tc>
              <w:tc>
                <w:tcPr>
                  <w:tcW w:w="1921" w:type="dxa"/>
                  <w:tcBorders>
                    <w:tl2br w:val="nil"/>
                    <w:tr2bl w:val="nil"/>
                  </w:tcBorders>
                  <w:noWrap w:val="0"/>
                  <w:vAlign w:val="center"/>
                </w:tcPr>
                <w:p w14:paraId="1CE99F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2023年10月取得验收意见</w:t>
                  </w:r>
                </w:p>
              </w:tc>
              <w:tc>
                <w:tcPr>
                  <w:tcW w:w="687" w:type="dxa"/>
                  <w:vMerge w:val="restart"/>
                  <w:tcBorders>
                    <w:tl2br w:val="nil"/>
                    <w:tr2bl w:val="nil"/>
                  </w:tcBorders>
                  <w:noWrap w:val="0"/>
                  <w:vAlign w:val="center"/>
                </w:tcPr>
                <w:p w14:paraId="01645B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本项目位于老一区</w:t>
                  </w:r>
                </w:p>
              </w:tc>
            </w:tr>
            <w:tr w14:paraId="1DEA8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dxa"/>
                  <w:tcBorders>
                    <w:tl2br w:val="nil"/>
                    <w:tr2bl w:val="nil"/>
                  </w:tcBorders>
                  <w:noWrap w:val="0"/>
                  <w:vAlign w:val="center"/>
                </w:tcPr>
                <w:p w14:paraId="2DD623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2</w:t>
                  </w:r>
                </w:p>
              </w:tc>
              <w:tc>
                <w:tcPr>
                  <w:tcW w:w="1356" w:type="dxa"/>
                  <w:vMerge w:val="continue"/>
                  <w:tcBorders>
                    <w:tl2br w:val="nil"/>
                    <w:tr2bl w:val="nil"/>
                  </w:tcBorders>
                  <w:noWrap w:val="0"/>
                  <w:vAlign w:val="center"/>
                </w:tcPr>
                <w:p w14:paraId="258C7C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920" w:type="dxa"/>
                  <w:tcBorders>
                    <w:tl2br w:val="nil"/>
                    <w:tr2bl w:val="nil"/>
                  </w:tcBorders>
                  <w:noWrap w:val="0"/>
                  <w:vAlign w:val="center"/>
                </w:tcPr>
                <w:p w14:paraId="0FDD44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铝合金深加工智能化生产线建设项目</w:t>
                  </w:r>
                </w:p>
              </w:tc>
              <w:tc>
                <w:tcPr>
                  <w:tcW w:w="1920" w:type="dxa"/>
                  <w:tcBorders>
                    <w:tl2br w:val="nil"/>
                    <w:tr2bl w:val="nil"/>
                  </w:tcBorders>
                  <w:noWrap w:val="0"/>
                  <w:vAlign w:val="center"/>
                </w:tcPr>
                <w:p w14:paraId="6F3883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snapToGrid w:val="0"/>
                      <w:color w:val="auto"/>
                      <w:kern w:val="0"/>
                      <w:sz w:val="22"/>
                      <w:szCs w:val="22"/>
                    </w:rPr>
                    <w:t>渝（九）环准〔2024〕42号</w:t>
                  </w:r>
                </w:p>
              </w:tc>
              <w:tc>
                <w:tcPr>
                  <w:tcW w:w="1921" w:type="dxa"/>
                  <w:tcBorders>
                    <w:tl2br w:val="nil"/>
                    <w:tr2bl w:val="nil"/>
                  </w:tcBorders>
                  <w:noWrap w:val="0"/>
                  <w:vAlign w:val="center"/>
                </w:tcPr>
                <w:p w14:paraId="6D1356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建设中发生重大变动，未验收</w:t>
                  </w:r>
                </w:p>
              </w:tc>
              <w:tc>
                <w:tcPr>
                  <w:tcW w:w="687" w:type="dxa"/>
                  <w:vMerge w:val="continue"/>
                  <w:tcBorders>
                    <w:tl2br w:val="nil"/>
                    <w:tr2bl w:val="nil"/>
                  </w:tcBorders>
                  <w:noWrap w:val="0"/>
                  <w:vAlign w:val="center"/>
                </w:tcPr>
                <w:p w14:paraId="0F4D99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r>
            <w:tr w14:paraId="177D5C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dxa"/>
                  <w:tcBorders>
                    <w:tl2br w:val="nil"/>
                    <w:tr2bl w:val="nil"/>
                  </w:tcBorders>
                  <w:noWrap w:val="0"/>
                  <w:vAlign w:val="center"/>
                </w:tcPr>
                <w:p w14:paraId="3539DE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3</w:t>
                  </w:r>
                </w:p>
              </w:tc>
              <w:tc>
                <w:tcPr>
                  <w:tcW w:w="1356" w:type="dxa"/>
                  <w:vMerge w:val="continue"/>
                  <w:tcBorders>
                    <w:tl2br w:val="nil"/>
                    <w:tr2bl w:val="nil"/>
                  </w:tcBorders>
                  <w:noWrap w:val="0"/>
                  <w:vAlign w:val="center"/>
                </w:tcPr>
                <w:p w14:paraId="27015C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920" w:type="dxa"/>
                  <w:tcBorders>
                    <w:tl2br w:val="nil"/>
                    <w:tr2bl w:val="nil"/>
                  </w:tcBorders>
                  <w:noWrap w:val="0"/>
                  <w:vAlign w:val="center"/>
                </w:tcPr>
                <w:p w14:paraId="3BAE4C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铝合金深加工智能化生产线建设项目（重新报批）</w:t>
                  </w:r>
                </w:p>
              </w:tc>
              <w:tc>
                <w:tcPr>
                  <w:tcW w:w="1920" w:type="dxa"/>
                  <w:tcBorders>
                    <w:tl2br w:val="nil"/>
                    <w:tr2bl w:val="nil"/>
                  </w:tcBorders>
                  <w:noWrap w:val="0"/>
                  <w:vAlign w:val="center"/>
                </w:tcPr>
                <w:p w14:paraId="4832EE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snapToGrid w:val="0"/>
                      <w:color w:val="auto"/>
                      <w:kern w:val="0"/>
                      <w:sz w:val="22"/>
                      <w:szCs w:val="22"/>
                    </w:rPr>
                    <w:t>渝（九）环准〔202</w:t>
                  </w:r>
                  <w:r>
                    <w:rPr>
                      <w:rFonts w:hint="default" w:ascii="Times New Roman" w:hAnsi="Times New Roman" w:eastAsia="宋体" w:cs="Times New Roman"/>
                      <w:snapToGrid w:val="0"/>
                      <w:color w:val="auto"/>
                      <w:kern w:val="0"/>
                      <w:sz w:val="22"/>
                      <w:szCs w:val="22"/>
                      <w:lang w:val="en-US" w:eastAsia="zh-CN"/>
                    </w:rPr>
                    <w:t>5</w:t>
                  </w:r>
                  <w:r>
                    <w:rPr>
                      <w:rFonts w:hint="default" w:ascii="Times New Roman" w:hAnsi="Times New Roman" w:eastAsia="宋体" w:cs="Times New Roman"/>
                      <w:snapToGrid w:val="0"/>
                      <w:color w:val="auto"/>
                      <w:kern w:val="0"/>
                      <w:sz w:val="22"/>
                      <w:szCs w:val="22"/>
                    </w:rPr>
                    <w:t>〕</w:t>
                  </w:r>
                  <w:r>
                    <w:rPr>
                      <w:rFonts w:hint="default" w:ascii="Times New Roman" w:hAnsi="Times New Roman" w:eastAsia="宋体" w:cs="Times New Roman"/>
                      <w:snapToGrid w:val="0"/>
                      <w:color w:val="auto"/>
                      <w:kern w:val="0"/>
                      <w:sz w:val="22"/>
                      <w:szCs w:val="22"/>
                      <w:lang w:val="en-US" w:eastAsia="zh-CN"/>
                    </w:rPr>
                    <w:t>74</w:t>
                  </w:r>
                  <w:r>
                    <w:rPr>
                      <w:rFonts w:hint="default" w:ascii="Times New Roman" w:hAnsi="Times New Roman" w:eastAsia="宋体" w:cs="Times New Roman"/>
                      <w:snapToGrid w:val="0"/>
                      <w:color w:val="auto"/>
                      <w:kern w:val="0"/>
                      <w:sz w:val="22"/>
                      <w:szCs w:val="22"/>
                    </w:rPr>
                    <w:t>号</w:t>
                  </w:r>
                </w:p>
              </w:tc>
              <w:tc>
                <w:tcPr>
                  <w:tcW w:w="1921" w:type="dxa"/>
                  <w:tcBorders>
                    <w:tl2br w:val="nil"/>
                    <w:tr2bl w:val="nil"/>
                  </w:tcBorders>
                  <w:noWrap w:val="0"/>
                  <w:vAlign w:val="center"/>
                </w:tcPr>
                <w:p w14:paraId="50E882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建设中，</w:t>
                  </w:r>
                  <w:r>
                    <w:rPr>
                      <w:rFonts w:hint="eastAsia" w:ascii="Times New Roman" w:hAnsi="Times New Roman" w:eastAsia="宋体" w:cs="Times New Roman"/>
                      <w:color w:val="auto"/>
                      <w:kern w:val="0"/>
                      <w:sz w:val="22"/>
                      <w:szCs w:val="22"/>
                      <w:vertAlign w:val="baseline"/>
                      <w:lang w:val="en-US" w:eastAsia="zh-CN"/>
                    </w:rPr>
                    <w:t>暂</w:t>
                  </w:r>
                  <w:r>
                    <w:rPr>
                      <w:rFonts w:hint="default" w:ascii="Times New Roman" w:hAnsi="Times New Roman" w:eastAsia="宋体" w:cs="Times New Roman"/>
                      <w:color w:val="auto"/>
                      <w:kern w:val="0"/>
                      <w:sz w:val="22"/>
                      <w:szCs w:val="22"/>
                      <w:vertAlign w:val="baseline"/>
                      <w:lang w:val="en-US" w:eastAsia="zh-CN"/>
                    </w:rPr>
                    <w:t>未验收</w:t>
                  </w:r>
                </w:p>
              </w:tc>
              <w:tc>
                <w:tcPr>
                  <w:tcW w:w="687" w:type="dxa"/>
                  <w:vMerge w:val="continue"/>
                  <w:tcBorders>
                    <w:tl2br w:val="nil"/>
                    <w:tr2bl w:val="nil"/>
                  </w:tcBorders>
                  <w:noWrap w:val="0"/>
                  <w:vAlign w:val="center"/>
                </w:tcPr>
                <w:p w14:paraId="63FC3A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r>
          </w:tbl>
          <w:p w14:paraId="50A67FEE">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eastAsia" w:ascii="Times New Roman" w:hAnsi="Times New Roman" w:eastAsia="宋体" w:cs="Times New Roman"/>
                <w:bCs/>
                <w:color w:val="auto"/>
                <w:sz w:val="26"/>
                <w:szCs w:val="26"/>
                <w:lang w:val="en-US" w:eastAsia="zh-CN"/>
              </w:rPr>
            </w:pPr>
            <w:r>
              <w:rPr>
                <w:rFonts w:hint="eastAsia" w:ascii="Times New Roman" w:hAnsi="Times New Roman" w:eastAsia="宋体" w:cs="Times New Roman"/>
                <w:bCs/>
                <w:color w:val="auto"/>
                <w:sz w:val="26"/>
                <w:szCs w:val="26"/>
                <w:lang w:val="en-US" w:eastAsia="zh-CN"/>
              </w:rPr>
              <w:t>老一区熔炼中心熔铸生产线现主要有2台25t熔炼炉，1台16t熔炼炉，2套铸造机和2台均质炉，主要原料为铝锭和单质金属，通过“熔炼+精炼+铸造”工艺，年产铝棒2.95万吨。</w:t>
            </w:r>
          </w:p>
          <w:p w14:paraId="608E2C1E">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bCs/>
                <w:color w:val="auto"/>
                <w:sz w:val="26"/>
                <w:szCs w:val="26"/>
                <w:lang w:val="en-US" w:eastAsia="zh-CN"/>
              </w:rPr>
            </w:pPr>
            <w:r>
              <w:rPr>
                <w:rFonts w:hint="eastAsia" w:ascii="Times New Roman" w:hAnsi="Times New Roman" w:eastAsia="宋体" w:cs="Times New Roman"/>
                <w:bCs/>
                <w:color w:val="auto"/>
                <w:sz w:val="26"/>
                <w:szCs w:val="26"/>
                <w:lang w:val="en-US" w:eastAsia="zh-CN"/>
              </w:rPr>
              <w:t>为顺应市场发展需求，西南铝实业拟在老一区开展“老一区熔炼中心熔铸生产线产能提升项目”（以下简称“本项目”），拟依托现有熔炼炉和铸造机等主要生产设备，用纯铝液替代铝锭，提升产能，建成后，设计年产铝棒5.4万吨。</w:t>
            </w:r>
          </w:p>
          <w:p w14:paraId="75318E5C">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bCs/>
                <w:color w:val="auto"/>
                <w:sz w:val="26"/>
                <w:szCs w:val="26"/>
                <w:lang w:val="en-US" w:eastAsia="zh-CN"/>
              </w:rPr>
            </w:pPr>
            <w:r>
              <w:rPr>
                <w:rFonts w:hint="eastAsia" w:ascii="Times New Roman" w:hAnsi="Times New Roman" w:eastAsia="宋体" w:cs="Times New Roman"/>
                <w:bCs/>
                <w:color w:val="auto"/>
                <w:sz w:val="26"/>
                <w:szCs w:val="26"/>
                <w:lang w:val="en-US" w:eastAsia="zh-CN"/>
              </w:rPr>
              <w:t>根据《2017国民经济行业分类注释》(按1号修改单修订)(国统字(2019)66号)，本项目熔炼工序属于“指以有色金属为基体，加入一种或几种其他元素所构成的合金生产活动”，属于有色金属合金制造，</w:t>
            </w:r>
            <w:r>
              <w:rPr>
                <w:rFonts w:hint="eastAsia" w:ascii="Times New Roman" w:hAnsi="Times New Roman" w:eastAsia="宋体" w:cs="Times New Roman"/>
                <w:bCs/>
                <w:color w:val="auto"/>
                <w:sz w:val="26"/>
                <w:szCs w:val="26"/>
                <w:highlight w:val="none"/>
                <w:lang w:val="en-US" w:eastAsia="zh-CN"/>
              </w:rPr>
              <w:t>本项目经行业认定文件，属于利用单质金属混配重熔生产合金，属于</w:t>
            </w:r>
            <w:r>
              <w:rPr>
                <w:rFonts w:hint="default" w:ascii="Times New Roman" w:hAnsi="Times New Roman" w:eastAsia="宋体" w:cs="Times New Roman"/>
                <w:bCs/>
                <w:color w:val="auto"/>
                <w:sz w:val="26"/>
                <w:szCs w:val="26"/>
                <w:highlight w:val="none"/>
                <w:lang w:val="en-US" w:eastAsia="zh-CN"/>
              </w:rPr>
              <w:t>《建</w:t>
            </w:r>
            <w:r>
              <w:rPr>
                <w:rFonts w:hint="eastAsia" w:ascii="Times New Roman" w:hAnsi="Times New Roman" w:eastAsia="宋体" w:cs="Times New Roman"/>
                <w:bCs/>
                <w:color w:val="auto"/>
                <w:sz w:val="26"/>
                <w:szCs w:val="26"/>
                <w:highlight w:val="none"/>
                <w:lang w:val="en-US" w:eastAsia="zh-CN"/>
              </w:rPr>
              <w:t>设项目环境影响评价分类管理名录》（2021年版）“二十九、有色金属冶炼和压延加工业 32”中“有色金属合金制造 324”中“其他”，</w:t>
            </w:r>
            <w:r>
              <w:rPr>
                <w:rFonts w:hint="default" w:ascii="Times New Roman" w:hAnsi="Times New Roman" w:eastAsia="宋体" w:cs="Times New Roman"/>
                <w:bCs/>
                <w:color w:val="auto"/>
                <w:sz w:val="26"/>
                <w:szCs w:val="26"/>
                <w:highlight w:val="none"/>
                <w:lang w:val="en-US" w:eastAsia="zh-CN"/>
              </w:rPr>
              <w:t>应编</w:t>
            </w:r>
            <w:r>
              <w:rPr>
                <w:rFonts w:hint="default" w:ascii="Times New Roman" w:hAnsi="Times New Roman" w:eastAsia="宋体" w:cs="Times New Roman"/>
                <w:bCs/>
                <w:color w:val="auto"/>
                <w:sz w:val="26"/>
                <w:szCs w:val="26"/>
                <w:lang w:val="en-US" w:eastAsia="zh-CN"/>
              </w:rPr>
              <w:t>制环境影响报告表。</w:t>
            </w:r>
          </w:p>
          <w:p w14:paraId="680ADE79">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bCs/>
                <w:color w:val="auto"/>
                <w:sz w:val="26"/>
                <w:szCs w:val="26"/>
                <w:highlight w:val="none"/>
                <w:lang w:val="en-US" w:eastAsia="zh-CN"/>
              </w:rPr>
            </w:pPr>
            <w:r>
              <w:rPr>
                <w:rFonts w:hint="eastAsia" w:ascii="Times New Roman" w:hAnsi="Times New Roman" w:eastAsia="宋体" w:cs="Times New Roman"/>
                <w:bCs/>
                <w:color w:val="auto"/>
                <w:sz w:val="26"/>
                <w:szCs w:val="26"/>
                <w:lang w:val="en-US" w:eastAsia="zh-CN"/>
              </w:rPr>
              <w:t>根</w:t>
            </w:r>
            <w:r>
              <w:rPr>
                <w:rFonts w:hint="eastAsia" w:ascii="Times New Roman" w:hAnsi="Times New Roman" w:eastAsia="宋体" w:cs="Times New Roman"/>
                <w:bCs/>
                <w:color w:val="auto"/>
                <w:sz w:val="26"/>
                <w:szCs w:val="26"/>
                <w:highlight w:val="none"/>
                <w:lang w:val="en-US" w:eastAsia="zh-CN"/>
              </w:rPr>
              <w:t>据《2017国民经济行业分类注释》(按1号修改单修订)(国统字(2019)66号)，本项目铸造工序属于“指有色金属及其合金铸造的各种成品、半成品的制造”，属于有色金属铸造（有色金属铸造年产10万吨及以下的），属于</w:t>
            </w:r>
            <w:r>
              <w:rPr>
                <w:rFonts w:hint="default" w:ascii="Times New Roman" w:hAnsi="Times New Roman" w:eastAsia="宋体" w:cs="Times New Roman"/>
                <w:bCs/>
                <w:color w:val="auto"/>
                <w:sz w:val="26"/>
                <w:szCs w:val="26"/>
                <w:highlight w:val="none"/>
                <w:lang w:val="en-US" w:eastAsia="zh-CN"/>
              </w:rPr>
              <w:t>《建</w:t>
            </w:r>
            <w:r>
              <w:rPr>
                <w:rFonts w:hint="eastAsia" w:ascii="Times New Roman" w:hAnsi="Times New Roman" w:eastAsia="宋体" w:cs="Times New Roman"/>
                <w:bCs/>
                <w:color w:val="auto"/>
                <w:sz w:val="26"/>
                <w:szCs w:val="26"/>
                <w:highlight w:val="none"/>
                <w:lang w:val="en-US" w:eastAsia="zh-CN"/>
              </w:rPr>
              <w:t>设项目环境影响评价分类管理名录》（2021年版）“三十、金属制品业 33”中“</w:t>
            </w:r>
            <w:r>
              <w:rPr>
                <w:rFonts w:hint="eastAsia" w:ascii="Times New Roman" w:hAnsi="Times New Roman" w:eastAsia="宋体" w:cs="Times New Roman"/>
                <w:bCs/>
                <w:color w:val="auto"/>
                <w:kern w:val="2"/>
                <w:sz w:val="26"/>
                <w:szCs w:val="26"/>
                <w:highlight w:val="none"/>
                <w:lang w:val="en-US" w:eastAsia="zh-CN" w:bidi="ar"/>
              </w:rPr>
              <w:t>铸造及其他金属制品制造 339</w:t>
            </w:r>
            <w:r>
              <w:rPr>
                <w:rFonts w:hint="eastAsia" w:ascii="Times New Roman" w:hAnsi="Times New Roman" w:eastAsia="宋体" w:cs="Times New Roman"/>
                <w:bCs/>
                <w:color w:val="auto"/>
                <w:sz w:val="26"/>
                <w:szCs w:val="26"/>
                <w:highlight w:val="none"/>
                <w:lang w:val="en-US" w:eastAsia="zh-CN"/>
              </w:rPr>
              <w:t>”中“其他”，</w:t>
            </w:r>
            <w:r>
              <w:rPr>
                <w:rFonts w:hint="default" w:ascii="Times New Roman" w:hAnsi="Times New Roman" w:eastAsia="宋体" w:cs="Times New Roman"/>
                <w:bCs/>
                <w:color w:val="auto"/>
                <w:sz w:val="26"/>
                <w:szCs w:val="26"/>
                <w:highlight w:val="none"/>
                <w:lang w:val="en-US" w:eastAsia="zh-CN"/>
              </w:rPr>
              <w:t>应编制环境影响报告表。</w:t>
            </w:r>
          </w:p>
          <w:p w14:paraId="7E5D1FB5">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bCs/>
                <w:color w:val="auto"/>
                <w:sz w:val="26"/>
                <w:szCs w:val="26"/>
                <w:highlight w:val="none"/>
                <w:lang w:val="en-US" w:eastAsia="zh-CN"/>
              </w:rPr>
            </w:pPr>
            <w:r>
              <w:rPr>
                <w:rFonts w:hint="eastAsia" w:ascii="Times New Roman" w:hAnsi="Times New Roman" w:eastAsia="宋体" w:cs="Times New Roman"/>
                <w:bCs/>
                <w:color w:val="auto"/>
                <w:sz w:val="26"/>
                <w:szCs w:val="26"/>
                <w:highlight w:val="none"/>
                <w:lang w:val="en-US" w:eastAsia="zh-CN"/>
              </w:rPr>
              <w:t>同时，结合《重庆市生态环境局关于印发&lt;重庆市不纳入环境影响评价管理的建设项目名录（2023年版）&gt;的通知》（渝环规〔2023〕8号），有色金属冶炼和压延加工业不属于豁免行业及项目类别。综上，本项目应编制环境影响报告表。</w:t>
            </w:r>
          </w:p>
          <w:p w14:paraId="00C2C0D1">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jc w:val="both"/>
              <w:textAlignment w:val="auto"/>
              <w:rPr>
                <w:rFonts w:hint="default" w:ascii="Times New Roman" w:hAnsi="Times New Roman" w:eastAsia="宋体" w:cs="Times New Roman"/>
                <w:bCs/>
                <w:color w:val="auto"/>
                <w:sz w:val="26"/>
                <w:szCs w:val="26"/>
                <w:highlight w:val="yellow"/>
                <w:lang w:val="en-US" w:eastAsia="zh-CN"/>
              </w:rPr>
            </w:pPr>
            <w:r>
              <w:rPr>
                <w:rFonts w:hint="eastAsia" w:ascii="Times New Roman" w:hAnsi="Times New Roman" w:eastAsia="宋体" w:cs="Times New Roman"/>
                <w:bCs/>
                <w:color w:val="auto"/>
                <w:sz w:val="26"/>
                <w:szCs w:val="26"/>
                <w:highlight w:val="none"/>
                <w:lang w:val="en-US" w:eastAsia="zh-CN"/>
              </w:rPr>
              <w:t>本项目符合性分析、产排污分析及排放管理等均按上述两个行业分别对照，并从严执行。</w:t>
            </w:r>
          </w:p>
          <w:p w14:paraId="17F49459">
            <w:pPr>
              <w:keepNext w:val="0"/>
              <w:keepLines w:val="0"/>
              <w:pageBreakBefore w:val="0"/>
              <w:widowControl w:val="0"/>
              <w:kinsoku/>
              <w:wordWrap/>
              <w:overflowPunct/>
              <w:topLinePunct w:val="0"/>
              <w:autoSpaceDE/>
              <w:autoSpaceDN/>
              <w:bidi w:val="0"/>
              <w:spacing w:line="460" w:lineRule="exact"/>
              <w:textAlignment w:val="auto"/>
              <w:rPr>
                <w:rFonts w:hint="eastAsia"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lang w:val="en-US" w:eastAsia="zh-CN"/>
              </w:rPr>
              <w:t>2.1.2评价构思</w:t>
            </w:r>
          </w:p>
          <w:p w14:paraId="06DBBB7D">
            <w:pPr>
              <w:adjustRightInd w:val="0"/>
              <w:snapToGrid w:val="0"/>
              <w:spacing w:line="460" w:lineRule="exact"/>
              <w:ind w:firstLine="520" w:firstLineChars="200"/>
              <w:rPr>
                <w:rFonts w:hint="eastAsia" w:ascii="Times New Roman" w:hAnsi="Times New Roman" w:eastAsia="宋体" w:cs="Times New Roman"/>
                <w:bCs/>
                <w:color w:val="auto"/>
                <w:sz w:val="26"/>
                <w:szCs w:val="26"/>
                <w:highlight w:val="none"/>
                <w:lang w:val="en-US" w:eastAsia="zh-CN"/>
              </w:rPr>
            </w:pPr>
            <w:r>
              <w:rPr>
                <w:rFonts w:hint="eastAsia" w:ascii="Times New Roman" w:hAnsi="Times New Roman" w:eastAsia="宋体" w:cs="Times New Roman"/>
                <w:bCs/>
                <w:color w:val="auto"/>
                <w:sz w:val="26"/>
                <w:szCs w:val="26"/>
                <w:highlight w:val="none"/>
                <w:lang w:val="en-US" w:eastAsia="zh-CN"/>
              </w:rPr>
              <w:t>（1）针对“有色金属冶炼企业涉及大量的红土镍矿、硅锰合金、电解锰……，上述物质属于第八部分的风险物质，但是如铜锭、合金等进入外环境又未必会引发环境污染，是否可以不按风险物质考虑？”相关问题，国家生态环境部回复如下：……有色金属冶炼企业，对于加工生产的铜锭、合金，可不列为风险物质；对于可能在堆放过程中形成涉重金属淋溶水的原料、以及在加工生产过程中产生大量涉重金属的废水、废渣，应按照方法要求进行风险物质识别，混合或稀释的风险物质按其组分比例计算成纯物质计算。</w:t>
            </w:r>
          </w:p>
          <w:p w14:paraId="0D3A35D3">
            <w:pPr>
              <w:adjustRightInd w:val="0"/>
              <w:snapToGrid w:val="0"/>
              <w:spacing w:line="460" w:lineRule="exact"/>
              <w:ind w:firstLine="520" w:firstLineChars="200"/>
              <w:rPr>
                <w:rFonts w:hint="default" w:ascii="Times New Roman" w:hAnsi="Times New Roman" w:eastAsia="宋体" w:cs="Times New Roman"/>
                <w:bCs/>
                <w:color w:val="auto"/>
                <w:sz w:val="26"/>
                <w:szCs w:val="26"/>
                <w:highlight w:val="none"/>
                <w:lang w:val="en-US" w:eastAsia="zh-CN"/>
              </w:rPr>
            </w:pPr>
            <w:r>
              <w:rPr>
                <w:rFonts w:hint="eastAsia" w:ascii="Times New Roman" w:hAnsi="Times New Roman" w:eastAsia="宋体" w:cs="Times New Roman"/>
                <w:bCs/>
                <w:color w:val="auto"/>
                <w:sz w:val="26"/>
                <w:szCs w:val="26"/>
                <w:highlight w:val="none"/>
                <w:lang w:val="en-US" w:eastAsia="zh-CN"/>
              </w:rPr>
              <w:t>本项目在生产过程中调质小金属包括金属锰，为块状固态形式存在，在常温干燥空气中表面会形成一层致密氧化膜，化学性质相对稳定，参照《企业突发环境事件风险分级方法》（HJ941-2018）附录A，锰及其化合物均属于第七部分 重金属及其化合物，属于涉水风险物质，前述物质在熔炼、铸造期间均不涉及水（铸造工序冷却环节采用循环水进行间接冷却），即不涉及重金属淋溶水，无向外环境（水环境）释放锰离子途径；同时，金属锰在熔炼炉内与铝液熔炼期间，其在线铝液混合属于合金形式，不属于锰重金属单质及其化合物。</w:t>
            </w:r>
          </w:p>
          <w:p w14:paraId="1C9F39F1">
            <w:pPr>
              <w:adjustRightInd w:val="0"/>
              <w:snapToGrid w:val="0"/>
              <w:spacing w:line="460" w:lineRule="exact"/>
              <w:ind w:firstLine="520" w:firstLineChars="200"/>
              <w:rPr>
                <w:rFonts w:hint="default" w:ascii="Times New Roman" w:hAnsi="Times New Roman" w:eastAsia="宋体" w:cs="Times New Roman"/>
                <w:bCs/>
                <w:color w:val="auto"/>
                <w:sz w:val="26"/>
                <w:szCs w:val="26"/>
                <w:highlight w:val="none"/>
                <w:lang w:val="en-US" w:eastAsia="zh-CN"/>
              </w:rPr>
            </w:pPr>
            <w:r>
              <w:rPr>
                <w:rFonts w:hint="eastAsia" w:ascii="Times New Roman" w:hAnsi="Times New Roman" w:eastAsia="宋体" w:cs="Times New Roman"/>
                <w:bCs/>
                <w:color w:val="auto"/>
                <w:sz w:val="26"/>
                <w:szCs w:val="26"/>
                <w:highlight w:val="none"/>
                <w:lang w:val="en-US" w:eastAsia="zh-CN"/>
              </w:rPr>
              <w:t>鉴于调质小金属锰使用时间不固定，厂区内不进行暂存，仅涉及高锰系列等产品进行生产时，调质小金属单质锰从其他分厂或供货商取料进行生产使用，即用即取。综上，本厂环境风险物质不考虑含锰铝液在线，同时厂区不涉及金属锰暂存。</w:t>
            </w:r>
          </w:p>
          <w:p w14:paraId="3000709C">
            <w:pPr>
              <w:adjustRightInd w:val="0"/>
              <w:snapToGrid w:val="0"/>
              <w:spacing w:line="460" w:lineRule="exact"/>
              <w:ind w:firstLine="520" w:firstLineChars="200"/>
              <w:rPr>
                <w:rFonts w:hint="default"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Cs/>
                <w:color w:val="auto"/>
                <w:sz w:val="26"/>
                <w:szCs w:val="26"/>
                <w:highlight w:val="none"/>
                <w:lang w:val="en-US" w:eastAsia="zh-CN"/>
              </w:rPr>
              <w:t>（2）“老一区熔炼中心熔铸生产线改扩建项目”中铝硅合金锭400t/a生产线已拆除，确定后续不再建设。因此，本次现有项目回顾不再评价铝硅合金锭400t/a生产线相关内容（该线主要生产设备由9吨熔炼炉及配套的浇铸机、20吨均质炉及9吨熔炼炉冷却循环水池等组成）。</w:t>
            </w:r>
          </w:p>
          <w:p w14:paraId="4282F2F5">
            <w:pPr>
              <w:keepNext w:val="0"/>
              <w:keepLines w:val="0"/>
              <w:pageBreakBefore w:val="0"/>
              <w:widowControl w:val="0"/>
              <w:kinsoku/>
              <w:wordWrap/>
              <w:overflowPunct/>
              <w:topLinePunct w:val="0"/>
              <w:autoSpaceDE/>
              <w:autoSpaceDN/>
              <w:bidi w:val="0"/>
              <w:spacing w:line="460" w:lineRule="exact"/>
              <w:textAlignment w:val="auto"/>
              <w:rPr>
                <w:rFonts w:hint="default"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lang w:val="en-US" w:eastAsia="zh-CN"/>
              </w:rPr>
              <w:t>2.2</w:t>
            </w:r>
            <w:r>
              <w:rPr>
                <w:rFonts w:hint="default" w:ascii="Times New Roman" w:hAnsi="Times New Roman" w:eastAsia="宋体" w:cs="Times New Roman"/>
                <w:b/>
                <w:bCs/>
                <w:color w:val="auto"/>
                <w:kern w:val="0"/>
                <w:sz w:val="26"/>
                <w:szCs w:val="26"/>
                <w:lang w:val="en-US" w:eastAsia="zh-CN"/>
              </w:rPr>
              <w:t>地理位置与交通</w:t>
            </w:r>
          </w:p>
          <w:p w14:paraId="3A31FBF1">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Times New Roman" w:hAnsi="Times New Roman" w:eastAsia="宋体" w:cs="Times New Roman"/>
                <w:color w:val="auto"/>
                <w:sz w:val="26"/>
                <w:szCs w:val="26"/>
                <w:highlight w:val="none"/>
              </w:rPr>
            </w:pPr>
            <w:r>
              <w:rPr>
                <w:rFonts w:hint="eastAsia" w:ascii="Times New Roman" w:hAnsi="Times New Roman" w:eastAsia="宋体" w:cs="Times New Roman"/>
                <w:color w:val="auto"/>
                <w:sz w:val="26"/>
                <w:szCs w:val="26"/>
                <w:lang w:val="en-US" w:eastAsia="zh-CN"/>
              </w:rPr>
              <w:t>本项目位于西彭工业园区西彭组团B01-2-5/04地块</w:t>
            </w:r>
            <w:r>
              <w:rPr>
                <w:rFonts w:hint="default" w:ascii="Times New Roman" w:hAnsi="Times New Roman" w:eastAsia="宋体" w:cs="Times New Roman"/>
                <w:color w:val="auto"/>
                <w:sz w:val="26"/>
                <w:szCs w:val="26"/>
                <w:highlight w:val="none"/>
              </w:rPr>
              <w:t>，</w:t>
            </w:r>
            <w:r>
              <w:rPr>
                <w:rFonts w:hint="eastAsia" w:ascii="Times New Roman" w:hAnsi="Times New Roman" w:eastAsia="宋体" w:cs="Times New Roman"/>
                <w:color w:val="auto"/>
                <w:sz w:val="26"/>
                <w:szCs w:val="26"/>
                <w:highlight w:val="none"/>
                <w:lang w:val="en-US" w:eastAsia="zh-CN"/>
              </w:rPr>
              <w:t>紧邻东侧有道路250m可通往铝城大道、G95国道等</w:t>
            </w:r>
            <w:r>
              <w:rPr>
                <w:rFonts w:hint="default" w:ascii="Times New Roman" w:hAnsi="Times New Roman" w:eastAsia="宋体" w:cs="Times New Roman"/>
                <w:color w:val="auto"/>
                <w:sz w:val="26"/>
                <w:szCs w:val="26"/>
                <w:highlight w:val="none"/>
                <w:lang w:val="en-US" w:eastAsia="zh-CN"/>
              </w:rPr>
              <w:t>，</w:t>
            </w:r>
            <w:r>
              <w:rPr>
                <w:rFonts w:hint="default" w:ascii="Times New Roman" w:hAnsi="Times New Roman" w:eastAsia="宋体" w:cs="Times New Roman"/>
                <w:color w:val="auto"/>
                <w:sz w:val="26"/>
                <w:szCs w:val="26"/>
                <w:highlight w:val="none"/>
              </w:rPr>
              <w:t>交通较便利。</w:t>
            </w:r>
          </w:p>
          <w:p w14:paraId="3F227B9B">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Times New Roman" w:hAnsi="Times New Roman" w:eastAsia="宋体" w:cs="Times New Roman"/>
                <w:color w:val="auto"/>
                <w:sz w:val="26"/>
                <w:szCs w:val="26"/>
                <w:highlight w:val="none"/>
              </w:rPr>
            </w:pPr>
            <w:r>
              <w:rPr>
                <w:rFonts w:hint="eastAsia" w:ascii="Times New Roman" w:hAnsi="Times New Roman" w:eastAsia="宋体" w:cs="Times New Roman"/>
                <w:color w:val="auto"/>
                <w:sz w:val="26"/>
                <w:szCs w:val="26"/>
                <w:highlight w:val="none"/>
                <w:lang w:val="en-US" w:eastAsia="zh-CN"/>
              </w:rPr>
              <w:t>本</w:t>
            </w:r>
            <w:r>
              <w:rPr>
                <w:rFonts w:hint="default" w:ascii="Times New Roman" w:hAnsi="Times New Roman" w:eastAsia="宋体" w:cs="Times New Roman"/>
                <w:color w:val="auto"/>
                <w:sz w:val="26"/>
                <w:szCs w:val="26"/>
                <w:highlight w:val="none"/>
                <w:lang w:eastAsia="zh-CN"/>
              </w:rPr>
              <w:t>项目</w:t>
            </w:r>
            <w:r>
              <w:rPr>
                <w:rFonts w:hint="default" w:ascii="Times New Roman" w:hAnsi="Times New Roman" w:eastAsia="宋体" w:cs="Times New Roman"/>
                <w:color w:val="auto"/>
                <w:sz w:val="26"/>
                <w:szCs w:val="26"/>
                <w:highlight w:val="none"/>
              </w:rPr>
              <w:t>地理位置图详见附图1。</w:t>
            </w:r>
          </w:p>
          <w:p w14:paraId="02EA16A5">
            <w:pPr>
              <w:keepNext w:val="0"/>
              <w:keepLines w:val="0"/>
              <w:pageBreakBefore w:val="0"/>
              <w:widowControl w:val="0"/>
              <w:kinsoku/>
              <w:wordWrap/>
              <w:overflowPunct/>
              <w:topLinePunct w:val="0"/>
              <w:autoSpaceDE/>
              <w:autoSpaceDN/>
              <w:bidi w:val="0"/>
              <w:spacing w:line="460" w:lineRule="exact"/>
              <w:textAlignment w:val="auto"/>
              <w:rPr>
                <w:rFonts w:hint="default" w:ascii="Times New Roman" w:hAnsi="Times New Roman" w:eastAsia="宋体" w:cs="Times New Roman"/>
                <w:b/>
                <w:bCs/>
                <w:color w:val="auto"/>
                <w:kern w:val="0"/>
                <w:sz w:val="26"/>
                <w:szCs w:val="26"/>
                <w:lang w:val="en-US" w:eastAsia="zh-CN"/>
              </w:rPr>
            </w:pPr>
            <w:r>
              <w:rPr>
                <w:rFonts w:hint="default" w:ascii="Times New Roman" w:hAnsi="Times New Roman" w:eastAsia="宋体" w:cs="Times New Roman"/>
                <w:b/>
                <w:bCs/>
                <w:color w:val="auto"/>
                <w:kern w:val="0"/>
                <w:sz w:val="26"/>
                <w:szCs w:val="26"/>
                <w:lang w:val="en-US" w:eastAsia="zh-CN"/>
              </w:rPr>
              <w:t>2.</w:t>
            </w:r>
            <w:r>
              <w:rPr>
                <w:rFonts w:hint="eastAsia" w:ascii="Times New Roman" w:hAnsi="Times New Roman" w:eastAsia="宋体" w:cs="Times New Roman"/>
                <w:b/>
                <w:bCs/>
                <w:color w:val="auto"/>
                <w:kern w:val="0"/>
                <w:sz w:val="26"/>
                <w:szCs w:val="26"/>
                <w:lang w:val="en-US" w:eastAsia="zh-CN"/>
              </w:rPr>
              <w:t>3</w:t>
            </w:r>
            <w:r>
              <w:rPr>
                <w:rFonts w:hint="default" w:ascii="Times New Roman" w:hAnsi="Times New Roman" w:eastAsia="宋体" w:cs="Times New Roman"/>
                <w:b/>
                <w:bCs/>
                <w:color w:val="auto"/>
                <w:kern w:val="0"/>
                <w:sz w:val="26"/>
                <w:szCs w:val="26"/>
                <w:lang w:val="en-US" w:eastAsia="zh-CN"/>
              </w:rPr>
              <w:t>基本情况</w:t>
            </w:r>
          </w:p>
          <w:p w14:paraId="4FBA578F">
            <w:pPr>
              <w:keepNext w:val="0"/>
              <w:keepLines w:val="0"/>
              <w:pageBreakBefore w:val="0"/>
              <w:widowControl w:val="0"/>
              <w:kinsoku/>
              <w:wordWrap/>
              <w:overflowPunct/>
              <w:topLinePunct w:val="0"/>
              <w:autoSpaceDE/>
              <w:autoSpaceDN/>
              <w:bidi w:val="0"/>
              <w:snapToGrid w:val="0"/>
              <w:spacing w:line="460" w:lineRule="exact"/>
              <w:ind w:firstLine="520" w:firstLineChars="200"/>
              <w:textAlignment w:val="auto"/>
              <w:rPr>
                <w:rFonts w:hint="eastAsia" w:ascii="Times New Roman" w:hAnsi="Times New Roman" w:eastAsia="宋体" w:cs="Times New Roman"/>
                <w:color w:val="auto"/>
                <w:sz w:val="26"/>
                <w:szCs w:val="26"/>
                <w:highlight w:val="none"/>
                <w:lang w:eastAsia="zh-CN"/>
              </w:rPr>
            </w:pPr>
            <w:r>
              <w:rPr>
                <w:rFonts w:hint="default" w:ascii="Times New Roman" w:hAnsi="Times New Roman" w:eastAsia="宋体" w:cs="Times New Roman"/>
                <w:color w:val="auto"/>
                <w:sz w:val="26"/>
                <w:szCs w:val="26"/>
                <w:highlight w:val="none"/>
              </w:rPr>
              <w:t>项目名称：</w:t>
            </w:r>
            <w:r>
              <w:rPr>
                <w:rFonts w:hint="eastAsia" w:ascii="Times New Roman" w:hAnsi="Times New Roman" w:eastAsia="宋体" w:cs="Times New Roman"/>
                <w:color w:val="auto"/>
                <w:sz w:val="26"/>
                <w:szCs w:val="26"/>
                <w:highlight w:val="none"/>
                <w:lang w:eastAsia="zh-CN"/>
              </w:rPr>
              <w:t>老一区熔炼中心熔铸生产线产能提升项目</w:t>
            </w:r>
          </w:p>
          <w:p w14:paraId="3D631242">
            <w:pPr>
              <w:keepNext w:val="0"/>
              <w:keepLines w:val="0"/>
              <w:pageBreakBefore w:val="0"/>
              <w:widowControl w:val="0"/>
              <w:kinsoku/>
              <w:wordWrap/>
              <w:overflowPunct/>
              <w:topLinePunct w:val="0"/>
              <w:autoSpaceDE/>
              <w:autoSpaceDN/>
              <w:bidi w:val="0"/>
              <w:snapToGrid w:val="0"/>
              <w:spacing w:line="460" w:lineRule="exact"/>
              <w:ind w:firstLine="520" w:firstLineChars="200"/>
              <w:textAlignment w:val="auto"/>
              <w:rPr>
                <w:rFonts w:hint="eastAsia" w:ascii="Times New Roman" w:hAnsi="Times New Roman" w:eastAsia="宋体" w:cs="Times New Roman"/>
                <w:color w:val="auto"/>
                <w:sz w:val="26"/>
                <w:szCs w:val="26"/>
                <w:highlight w:val="none"/>
                <w:lang w:eastAsia="zh-CN"/>
              </w:rPr>
            </w:pPr>
            <w:r>
              <w:rPr>
                <w:rFonts w:hint="default" w:ascii="Times New Roman" w:hAnsi="Times New Roman" w:eastAsia="宋体" w:cs="Times New Roman"/>
                <w:color w:val="auto"/>
                <w:sz w:val="26"/>
                <w:szCs w:val="26"/>
                <w:highlight w:val="none"/>
              </w:rPr>
              <w:t>建设单位：重庆市西南铝实业有限公司</w:t>
            </w:r>
          </w:p>
          <w:p w14:paraId="4A699E50">
            <w:pPr>
              <w:keepNext w:val="0"/>
              <w:keepLines w:val="0"/>
              <w:pageBreakBefore w:val="0"/>
              <w:widowControl w:val="0"/>
              <w:kinsoku/>
              <w:wordWrap/>
              <w:overflowPunct/>
              <w:topLinePunct w:val="0"/>
              <w:autoSpaceDE/>
              <w:autoSpaceDN/>
              <w:bidi w:val="0"/>
              <w:snapToGrid w:val="0"/>
              <w:spacing w:line="460" w:lineRule="exact"/>
              <w:ind w:firstLine="520" w:firstLineChars="200"/>
              <w:textAlignment w:val="auto"/>
              <w:rPr>
                <w:rFonts w:hint="default"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szCs w:val="26"/>
                <w:highlight w:val="none"/>
              </w:rPr>
              <w:t>建设性质：</w:t>
            </w:r>
            <w:r>
              <w:rPr>
                <w:rFonts w:hint="eastAsia" w:ascii="Times New Roman" w:hAnsi="Times New Roman" w:eastAsia="宋体" w:cs="Times New Roman"/>
                <w:color w:val="auto"/>
                <w:sz w:val="26"/>
                <w:szCs w:val="26"/>
                <w:highlight w:val="none"/>
                <w:lang w:val="en-US" w:eastAsia="zh-CN"/>
              </w:rPr>
              <w:t>扩建</w:t>
            </w:r>
          </w:p>
          <w:p w14:paraId="35209554">
            <w:pPr>
              <w:keepNext w:val="0"/>
              <w:keepLines w:val="0"/>
              <w:pageBreakBefore w:val="0"/>
              <w:widowControl w:val="0"/>
              <w:kinsoku/>
              <w:wordWrap/>
              <w:overflowPunct/>
              <w:topLinePunct w:val="0"/>
              <w:autoSpaceDE/>
              <w:autoSpaceDN/>
              <w:bidi w:val="0"/>
              <w:snapToGrid w:val="0"/>
              <w:spacing w:line="460" w:lineRule="exact"/>
              <w:ind w:firstLine="520" w:firstLineChars="200"/>
              <w:textAlignment w:val="auto"/>
              <w:rPr>
                <w:rFonts w:hint="default"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szCs w:val="26"/>
                <w:highlight w:val="none"/>
                <w:lang w:val="en-US" w:eastAsia="zh-CN"/>
              </w:rPr>
              <w:t>建设地点：</w:t>
            </w:r>
            <w:r>
              <w:rPr>
                <w:rFonts w:hint="eastAsia" w:ascii="Times New Roman" w:hAnsi="Times New Roman" w:eastAsia="宋体" w:cs="Times New Roman"/>
                <w:color w:val="auto"/>
                <w:sz w:val="26"/>
                <w:szCs w:val="26"/>
                <w:lang w:val="en-US" w:eastAsia="zh-CN"/>
              </w:rPr>
              <w:t>重庆市九龙坡区西彭工业园区西彭组团</w:t>
            </w:r>
            <w:r>
              <w:rPr>
                <w:rFonts w:hint="default" w:ascii="Times New Roman" w:hAnsi="Times New Roman" w:eastAsia="宋体" w:cs="Times New Roman"/>
                <w:color w:val="auto"/>
                <w:sz w:val="26"/>
                <w:szCs w:val="26"/>
                <w:highlight w:val="none"/>
              </w:rPr>
              <w:t>重庆市西南铝实业有限公司</w:t>
            </w:r>
            <w:r>
              <w:rPr>
                <w:rFonts w:hint="eastAsia" w:ascii="Times New Roman" w:hAnsi="Times New Roman" w:eastAsia="宋体" w:cs="Times New Roman"/>
                <w:color w:val="auto"/>
                <w:sz w:val="26"/>
                <w:szCs w:val="26"/>
                <w:highlight w:val="none"/>
                <w:lang w:val="en-US" w:eastAsia="zh-CN"/>
              </w:rPr>
              <w:t>现有生产厂房内</w:t>
            </w:r>
          </w:p>
          <w:p w14:paraId="37E6B732">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eastAsia="宋体" w:cs="Times New Roman"/>
                <w:color w:val="auto"/>
                <w:sz w:val="26"/>
                <w:szCs w:val="26"/>
                <w:highlight w:val="none"/>
                <w:vertAlign w:val="superscript"/>
              </w:rPr>
            </w:pPr>
            <w:r>
              <w:rPr>
                <w:rFonts w:hint="eastAsia" w:ascii="Times New Roman" w:hAnsi="Times New Roman" w:eastAsia="宋体" w:cs="Times New Roman"/>
                <w:color w:val="auto"/>
                <w:sz w:val="26"/>
                <w:szCs w:val="26"/>
                <w:highlight w:val="none"/>
                <w:lang w:val="en-US" w:eastAsia="zh-CN"/>
              </w:rPr>
              <w:t>建筑</w:t>
            </w:r>
            <w:r>
              <w:rPr>
                <w:rFonts w:hint="default" w:ascii="Times New Roman" w:hAnsi="Times New Roman" w:eastAsia="宋体" w:cs="Times New Roman"/>
                <w:color w:val="auto"/>
                <w:sz w:val="26"/>
                <w:szCs w:val="26"/>
                <w:highlight w:val="none"/>
              </w:rPr>
              <w:t>面积：</w:t>
            </w:r>
            <w:r>
              <w:rPr>
                <w:rFonts w:hint="eastAsia" w:ascii="Times New Roman" w:hAnsi="Times New Roman" w:eastAsia="宋体" w:cs="Times New Roman"/>
                <w:color w:val="auto"/>
                <w:sz w:val="26"/>
                <w:szCs w:val="26"/>
                <w:highlight w:val="none"/>
                <w:lang w:val="en-US" w:eastAsia="zh-CN"/>
              </w:rPr>
              <w:t>本项目不新增占地，全厂占地面积共计35423.6</w:t>
            </w:r>
            <w:r>
              <w:rPr>
                <w:rFonts w:hint="default" w:ascii="Times New Roman" w:hAnsi="Times New Roman" w:eastAsia="宋体" w:cs="Times New Roman"/>
                <w:color w:val="auto"/>
                <w:sz w:val="26"/>
                <w:szCs w:val="26"/>
                <w:highlight w:val="none"/>
                <w:lang w:val="en-US" w:eastAsia="zh-CN"/>
              </w:rPr>
              <w:t>m</w:t>
            </w:r>
            <w:r>
              <w:rPr>
                <w:rFonts w:hint="default" w:ascii="Times New Roman" w:hAnsi="Times New Roman" w:eastAsia="宋体" w:cs="Times New Roman"/>
                <w:color w:val="auto"/>
                <w:sz w:val="26"/>
                <w:szCs w:val="26"/>
                <w:highlight w:val="none"/>
                <w:vertAlign w:val="superscript"/>
                <w:lang w:val="en-US" w:eastAsia="zh-CN"/>
              </w:rPr>
              <w:t>2</w:t>
            </w:r>
          </w:p>
          <w:p w14:paraId="05D8955F">
            <w:pPr>
              <w:keepNext w:val="0"/>
              <w:keepLines w:val="0"/>
              <w:pageBreakBefore w:val="0"/>
              <w:widowControl w:val="0"/>
              <w:kinsoku/>
              <w:wordWrap/>
              <w:overflowPunct/>
              <w:topLinePunct w:val="0"/>
              <w:autoSpaceDE/>
              <w:autoSpaceDN/>
              <w:bidi w:val="0"/>
              <w:snapToGrid w:val="0"/>
              <w:spacing w:line="460" w:lineRule="exact"/>
              <w:ind w:firstLine="520" w:firstLineChars="200"/>
              <w:textAlignment w:val="auto"/>
              <w:rPr>
                <w:rFonts w:hint="default"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szCs w:val="26"/>
                <w:highlight w:val="none"/>
                <w:lang w:eastAsia="zh-CN"/>
              </w:rPr>
              <w:t>建设周期：</w:t>
            </w:r>
            <w:r>
              <w:rPr>
                <w:rFonts w:hint="eastAsia" w:ascii="Times New Roman" w:hAnsi="Times New Roman" w:eastAsia="宋体" w:cs="Times New Roman"/>
                <w:color w:val="auto"/>
                <w:sz w:val="26"/>
                <w:szCs w:val="26"/>
                <w:highlight w:val="none"/>
                <w:lang w:val="en-US" w:eastAsia="zh-CN"/>
              </w:rPr>
              <w:t>9</w:t>
            </w:r>
            <w:r>
              <w:rPr>
                <w:rFonts w:hint="default" w:ascii="Times New Roman" w:hAnsi="Times New Roman" w:eastAsia="宋体" w:cs="Times New Roman"/>
                <w:color w:val="auto"/>
                <w:sz w:val="26"/>
                <w:szCs w:val="26"/>
                <w:highlight w:val="none"/>
                <w:lang w:val="en-US" w:eastAsia="zh-CN"/>
              </w:rPr>
              <w:t>个月</w:t>
            </w:r>
          </w:p>
          <w:p w14:paraId="320016E7">
            <w:pPr>
              <w:keepNext w:val="0"/>
              <w:keepLines w:val="0"/>
              <w:pageBreakBefore w:val="0"/>
              <w:widowControl w:val="0"/>
              <w:kinsoku/>
              <w:wordWrap/>
              <w:overflowPunct/>
              <w:topLinePunct w:val="0"/>
              <w:autoSpaceDE/>
              <w:autoSpaceDN/>
              <w:bidi w:val="0"/>
              <w:snapToGrid w:val="0"/>
              <w:spacing w:line="460" w:lineRule="exact"/>
              <w:ind w:firstLine="520" w:firstLineChars="200"/>
              <w:textAlignment w:val="auto"/>
              <w:rPr>
                <w:rFonts w:hint="default"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szCs w:val="26"/>
                <w:highlight w:val="none"/>
                <w:lang w:val="en-US" w:eastAsia="zh-CN"/>
              </w:rPr>
              <w:t>建设内容：</w:t>
            </w:r>
            <w:r>
              <w:rPr>
                <w:rFonts w:hint="eastAsia" w:ascii="Times New Roman" w:hAnsi="Times New Roman" w:eastAsia="宋体" w:cs="Times New Roman"/>
                <w:color w:val="auto"/>
                <w:sz w:val="26"/>
                <w:szCs w:val="26"/>
                <w:highlight w:val="none"/>
                <w:lang w:val="en-US" w:eastAsia="zh-CN"/>
              </w:rPr>
              <w:t>利用现有厂区，以外购铝水替代铝锭，新增铝液包和烘包器，依托现有熔炼炉、铸造机等配套设备进行生产，提升产能，</w:t>
            </w:r>
            <w:r>
              <w:rPr>
                <w:rFonts w:hint="eastAsia" w:ascii="Times New Roman" w:hAnsi="Times New Roman" w:eastAsia="宋体" w:cs="Times New Roman"/>
                <w:bCs/>
                <w:color w:val="auto"/>
                <w:sz w:val="26"/>
                <w:szCs w:val="26"/>
                <w:lang w:val="en-US" w:eastAsia="zh-CN"/>
              </w:rPr>
              <w:t>设计年产铝棒5.4万吨</w:t>
            </w:r>
            <w:r>
              <w:rPr>
                <w:rFonts w:hint="eastAsia" w:ascii="Times New Roman" w:hAnsi="Times New Roman" w:eastAsia="宋体" w:cs="Times New Roman"/>
                <w:color w:val="auto"/>
                <w:sz w:val="26"/>
                <w:szCs w:val="26"/>
                <w:highlight w:val="none"/>
                <w:lang w:val="en-US" w:eastAsia="zh-CN"/>
              </w:rPr>
              <w:t>。</w:t>
            </w:r>
          </w:p>
          <w:p w14:paraId="0E81093B">
            <w:pPr>
              <w:keepNext w:val="0"/>
              <w:keepLines w:val="0"/>
              <w:pageBreakBefore w:val="0"/>
              <w:widowControl w:val="0"/>
              <w:kinsoku/>
              <w:wordWrap/>
              <w:overflowPunct/>
              <w:topLinePunct w:val="0"/>
              <w:autoSpaceDE/>
              <w:autoSpaceDN/>
              <w:bidi w:val="0"/>
              <w:snapToGrid w:val="0"/>
              <w:spacing w:line="460" w:lineRule="exact"/>
              <w:ind w:firstLine="520" w:firstLineChars="200"/>
              <w:textAlignment w:val="auto"/>
              <w:rPr>
                <w:rFonts w:hint="default"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szCs w:val="26"/>
                <w:highlight w:val="none"/>
                <w:lang w:val="en-US" w:eastAsia="zh-CN"/>
              </w:rPr>
              <w:t>工程投资：投资</w:t>
            </w:r>
            <w:r>
              <w:rPr>
                <w:rFonts w:hint="eastAsia" w:ascii="Times New Roman" w:hAnsi="Times New Roman" w:eastAsia="宋体" w:cs="Times New Roman"/>
                <w:color w:val="auto"/>
                <w:sz w:val="26"/>
                <w:szCs w:val="26"/>
                <w:highlight w:val="none"/>
                <w:lang w:val="en-US" w:eastAsia="zh-CN"/>
              </w:rPr>
              <w:t>150</w:t>
            </w:r>
            <w:r>
              <w:rPr>
                <w:rFonts w:hint="default" w:ascii="Times New Roman" w:hAnsi="Times New Roman" w:eastAsia="宋体" w:cs="Times New Roman"/>
                <w:color w:val="auto"/>
                <w:sz w:val="26"/>
                <w:szCs w:val="26"/>
                <w:highlight w:val="none"/>
                <w:lang w:val="en-US" w:eastAsia="zh-CN"/>
              </w:rPr>
              <w:t>万元，其中环保投资</w:t>
            </w:r>
            <w:r>
              <w:rPr>
                <w:rFonts w:hint="eastAsia" w:ascii="Times New Roman" w:hAnsi="Times New Roman" w:eastAsia="宋体" w:cs="Times New Roman"/>
                <w:color w:val="auto"/>
                <w:sz w:val="26"/>
                <w:szCs w:val="26"/>
                <w:highlight w:val="none"/>
                <w:lang w:val="en-US" w:eastAsia="zh-CN"/>
              </w:rPr>
              <w:t>5</w:t>
            </w:r>
            <w:r>
              <w:rPr>
                <w:rFonts w:hint="default" w:ascii="Times New Roman" w:hAnsi="Times New Roman" w:eastAsia="宋体" w:cs="Times New Roman"/>
                <w:color w:val="auto"/>
                <w:sz w:val="26"/>
                <w:szCs w:val="26"/>
                <w:highlight w:val="none"/>
                <w:lang w:val="en-US" w:eastAsia="zh-CN"/>
              </w:rPr>
              <w:t>万元，占比</w:t>
            </w:r>
            <w:r>
              <w:rPr>
                <w:rFonts w:hint="eastAsia" w:ascii="Times New Roman" w:hAnsi="Times New Roman" w:eastAsia="宋体" w:cs="Times New Roman"/>
                <w:color w:val="auto"/>
                <w:sz w:val="26"/>
                <w:szCs w:val="26"/>
                <w:highlight w:val="none"/>
                <w:lang w:val="en-US" w:eastAsia="zh-CN"/>
              </w:rPr>
              <w:t>3.3</w:t>
            </w:r>
            <w:r>
              <w:rPr>
                <w:rFonts w:hint="default" w:ascii="Times New Roman" w:hAnsi="Times New Roman" w:eastAsia="宋体" w:cs="Times New Roman"/>
                <w:color w:val="auto"/>
                <w:sz w:val="26"/>
                <w:szCs w:val="26"/>
                <w:highlight w:val="none"/>
                <w:lang w:val="en-US" w:eastAsia="zh-CN"/>
              </w:rPr>
              <w:t>%。</w:t>
            </w:r>
          </w:p>
          <w:p w14:paraId="7D5C480A">
            <w:pPr>
              <w:keepNext w:val="0"/>
              <w:keepLines w:val="0"/>
              <w:pageBreakBefore w:val="0"/>
              <w:widowControl w:val="0"/>
              <w:kinsoku/>
              <w:wordWrap/>
              <w:overflowPunct/>
              <w:topLinePunct w:val="0"/>
              <w:autoSpaceDE/>
              <w:autoSpaceDN/>
              <w:bidi w:val="0"/>
              <w:snapToGrid w:val="0"/>
              <w:spacing w:line="460" w:lineRule="exact"/>
              <w:ind w:firstLine="520" w:firstLineChars="200"/>
              <w:textAlignment w:val="auto"/>
              <w:rPr>
                <w:rFonts w:hint="eastAsia"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产品方案：本项目建成后主要生产铝合金圆铸棒，具体如下表所示。</w:t>
            </w:r>
          </w:p>
          <w:p w14:paraId="4382823C">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b/>
                <w:bCs/>
                <w:color w:val="auto"/>
                <w:sz w:val="26"/>
                <w:szCs w:val="26"/>
                <w:highlight w:val="none"/>
                <w:lang w:val="en-US"/>
              </w:rPr>
            </w:pPr>
            <w:r>
              <w:rPr>
                <w:rFonts w:hint="default" w:ascii="Times New Roman" w:hAnsi="Times New Roman" w:eastAsia="宋体" w:cs="Times New Roman"/>
                <w:b/>
                <w:bCs/>
                <w:color w:val="auto"/>
                <w:sz w:val="26"/>
                <w:szCs w:val="26"/>
                <w:highlight w:val="none"/>
              </w:rPr>
              <w:t>表</w:t>
            </w:r>
            <w:r>
              <w:rPr>
                <w:rFonts w:hint="eastAsia" w:ascii="Times New Roman" w:hAnsi="Times New Roman" w:eastAsia="宋体" w:cs="Times New Roman"/>
                <w:b/>
                <w:bCs/>
                <w:color w:val="auto"/>
                <w:sz w:val="26"/>
                <w:szCs w:val="26"/>
                <w:highlight w:val="none"/>
                <w:lang w:val="en-US" w:eastAsia="zh-CN"/>
              </w:rPr>
              <w:t>2.3-1</w:t>
            </w:r>
            <w:r>
              <w:rPr>
                <w:rFonts w:hint="default" w:ascii="Times New Roman" w:hAnsi="Times New Roman" w:eastAsia="宋体" w:cs="Times New Roman"/>
                <w:b/>
                <w:bCs/>
                <w:color w:val="auto"/>
                <w:sz w:val="26"/>
                <w:szCs w:val="26"/>
                <w:highlight w:val="none"/>
              </w:rPr>
              <w:t xml:space="preserve">  </w:t>
            </w:r>
            <w:r>
              <w:rPr>
                <w:rFonts w:hint="eastAsia" w:ascii="Times New Roman" w:hAnsi="Times New Roman" w:eastAsia="宋体" w:cs="Times New Roman"/>
                <w:b/>
                <w:bCs/>
                <w:color w:val="auto"/>
                <w:sz w:val="26"/>
                <w:szCs w:val="26"/>
                <w:highlight w:val="none"/>
                <w:lang w:val="en-US" w:eastAsia="zh-CN"/>
              </w:rPr>
              <w:t>本项目实施后全厂产品情况表</w:t>
            </w:r>
          </w:p>
          <w:tbl>
            <w:tblPr>
              <w:tblStyle w:val="26"/>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268"/>
              <w:gridCol w:w="1317"/>
              <w:gridCol w:w="1000"/>
              <w:gridCol w:w="917"/>
              <w:gridCol w:w="901"/>
              <w:gridCol w:w="1467"/>
            </w:tblGrid>
            <w:tr w14:paraId="1636D3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1" w:type="dxa"/>
                  <w:vMerge w:val="restart"/>
                  <w:tcBorders>
                    <w:tl2br w:val="nil"/>
                    <w:tr2bl w:val="nil"/>
                  </w:tcBorders>
                  <w:noWrap w:val="0"/>
                  <w:vAlign w:val="center"/>
                </w:tcPr>
                <w:p w14:paraId="379182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产品类别</w:t>
                  </w:r>
                </w:p>
              </w:tc>
              <w:tc>
                <w:tcPr>
                  <w:tcW w:w="5403" w:type="dxa"/>
                  <w:gridSpan w:val="5"/>
                  <w:tcBorders>
                    <w:tl2br w:val="nil"/>
                    <w:tr2bl w:val="nil"/>
                  </w:tcBorders>
                  <w:noWrap w:val="0"/>
                  <w:vAlign w:val="center"/>
                </w:tcPr>
                <w:p w14:paraId="239ADD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产能（t/a）</w:t>
                  </w:r>
                </w:p>
              </w:tc>
              <w:tc>
                <w:tcPr>
                  <w:tcW w:w="1467" w:type="dxa"/>
                  <w:vMerge w:val="restart"/>
                  <w:tcBorders>
                    <w:tl2br w:val="nil"/>
                    <w:tr2bl w:val="nil"/>
                  </w:tcBorders>
                  <w:noWrap w:val="0"/>
                  <w:vAlign w:val="center"/>
                </w:tcPr>
                <w:p w14:paraId="1C98A4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执行标准</w:t>
                  </w:r>
                </w:p>
              </w:tc>
            </w:tr>
            <w:tr w14:paraId="4EBCB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1" w:type="dxa"/>
                  <w:vMerge w:val="continue"/>
                  <w:tcBorders>
                    <w:tl2br w:val="nil"/>
                    <w:tr2bl w:val="nil"/>
                  </w:tcBorders>
                  <w:noWrap w:val="0"/>
                  <w:vAlign w:val="center"/>
                </w:tcPr>
                <w:p w14:paraId="5F2258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2"/>
                      <w:szCs w:val="22"/>
                      <w:vertAlign w:val="baseline"/>
                      <w:lang w:val="en-US" w:eastAsia="zh-CN"/>
                    </w:rPr>
                  </w:pPr>
                </w:p>
              </w:tc>
              <w:tc>
                <w:tcPr>
                  <w:tcW w:w="3585" w:type="dxa"/>
                  <w:gridSpan w:val="3"/>
                  <w:tcBorders>
                    <w:tl2br w:val="nil"/>
                    <w:tr2bl w:val="nil"/>
                  </w:tcBorders>
                  <w:noWrap w:val="0"/>
                  <w:vAlign w:val="center"/>
                </w:tcPr>
                <w:p w14:paraId="65A073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现有项目</w:t>
                  </w:r>
                </w:p>
              </w:tc>
              <w:tc>
                <w:tcPr>
                  <w:tcW w:w="917" w:type="dxa"/>
                  <w:vMerge w:val="restart"/>
                  <w:tcBorders>
                    <w:tl2br w:val="nil"/>
                    <w:tr2bl w:val="nil"/>
                  </w:tcBorders>
                  <w:noWrap w:val="0"/>
                  <w:vAlign w:val="center"/>
                </w:tcPr>
                <w:p w14:paraId="3BA046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本项目</w:t>
                  </w:r>
                </w:p>
              </w:tc>
              <w:tc>
                <w:tcPr>
                  <w:tcW w:w="901" w:type="dxa"/>
                  <w:vMerge w:val="restart"/>
                  <w:tcBorders>
                    <w:tl2br w:val="nil"/>
                    <w:tr2bl w:val="nil"/>
                  </w:tcBorders>
                  <w:noWrap w:val="0"/>
                  <w:vAlign w:val="center"/>
                </w:tcPr>
                <w:p w14:paraId="159D80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本项目实施后全厂合计</w:t>
                  </w:r>
                </w:p>
              </w:tc>
              <w:tc>
                <w:tcPr>
                  <w:tcW w:w="1467" w:type="dxa"/>
                  <w:vMerge w:val="continue"/>
                  <w:tcBorders>
                    <w:tl2br w:val="nil"/>
                    <w:tr2bl w:val="nil"/>
                  </w:tcBorders>
                  <w:noWrap w:val="0"/>
                  <w:vAlign w:val="center"/>
                </w:tcPr>
                <w:p w14:paraId="45FC2D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2"/>
                      <w:szCs w:val="22"/>
                      <w:vertAlign w:val="baseline"/>
                      <w:lang w:val="en-US" w:eastAsia="zh-CN"/>
                    </w:rPr>
                  </w:pPr>
                </w:p>
              </w:tc>
            </w:tr>
            <w:tr w14:paraId="73BDD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1" w:type="dxa"/>
                  <w:vMerge w:val="continue"/>
                  <w:tcBorders>
                    <w:tl2br w:val="nil"/>
                    <w:tr2bl w:val="nil"/>
                  </w:tcBorders>
                  <w:noWrap w:val="0"/>
                  <w:vAlign w:val="center"/>
                </w:tcPr>
                <w:p w14:paraId="1F3C0E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2"/>
                      <w:szCs w:val="22"/>
                      <w:vertAlign w:val="baseline"/>
                      <w:lang w:val="en-US" w:eastAsia="zh-CN"/>
                    </w:rPr>
                  </w:pPr>
                </w:p>
              </w:tc>
              <w:tc>
                <w:tcPr>
                  <w:tcW w:w="1268" w:type="dxa"/>
                  <w:tcBorders>
                    <w:tl2br w:val="nil"/>
                    <w:tr2bl w:val="nil"/>
                  </w:tcBorders>
                  <w:noWrap w:val="0"/>
                  <w:vAlign w:val="center"/>
                </w:tcPr>
                <w:p w14:paraId="5D5ED7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熔铸生产线</w:t>
                  </w:r>
                </w:p>
              </w:tc>
              <w:tc>
                <w:tcPr>
                  <w:tcW w:w="1317" w:type="dxa"/>
                  <w:tcBorders>
                    <w:tl2br w:val="nil"/>
                    <w:tr2bl w:val="nil"/>
                  </w:tcBorders>
                  <w:noWrap w:val="0"/>
                  <w:vAlign w:val="center"/>
                </w:tcPr>
                <w:p w14:paraId="434456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智能化生产线</w:t>
                  </w:r>
                </w:p>
              </w:tc>
              <w:tc>
                <w:tcPr>
                  <w:tcW w:w="1000" w:type="dxa"/>
                  <w:tcBorders>
                    <w:tl2br w:val="nil"/>
                    <w:tr2bl w:val="nil"/>
                  </w:tcBorders>
                  <w:noWrap w:val="0"/>
                  <w:vAlign w:val="center"/>
                </w:tcPr>
                <w:p w14:paraId="2F7661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小计</w:t>
                  </w:r>
                </w:p>
              </w:tc>
              <w:tc>
                <w:tcPr>
                  <w:tcW w:w="917" w:type="dxa"/>
                  <w:vMerge w:val="continue"/>
                  <w:tcBorders>
                    <w:tl2br w:val="nil"/>
                    <w:tr2bl w:val="nil"/>
                  </w:tcBorders>
                  <w:noWrap w:val="0"/>
                  <w:vAlign w:val="center"/>
                </w:tcPr>
                <w:p w14:paraId="452E8E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2"/>
                      <w:szCs w:val="22"/>
                      <w:vertAlign w:val="baseline"/>
                      <w:lang w:val="en-US" w:eastAsia="zh-CN"/>
                    </w:rPr>
                  </w:pPr>
                </w:p>
              </w:tc>
              <w:tc>
                <w:tcPr>
                  <w:tcW w:w="901" w:type="dxa"/>
                  <w:vMerge w:val="continue"/>
                  <w:tcBorders>
                    <w:tl2br w:val="nil"/>
                    <w:tr2bl w:val="nil"/>
                  </w:tcBorders>
                  <w:noWrap w:val="0"/>
                  <w:vAlign w:val="center"/>
                </w:tcPr>
                <w:p w14:paraId="5F00BC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2"/>
                      <w:szCs w:val="22"/>
                      <w:vertAlign w:val="baseline"/>
                      <w:lang w:val="en-US" w:eastAsia="zh-CN"/>
                    </w:rPr>
                  </w:pPr>
                </w:p>
              </w:tc>
              <w:tc>
                <w:tcPr>
                  <w:tcW w:w="1467" w:type="dxa"/>
                  <w:vMerge w:val="continue"/>
                  <w:tcBorders>
                    <w:tl2br w:val="nil"/>
                    <w:tr2bl w:val="nil"/>
                  </w:tcBorders>
                  <w:noWrap w:val="0"/>
                  <w:vAlign w:val="center"/>
                </w:tcPr>
                <w:p w14:paraId="2D6654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2"/>
                      <w:szCs w:val="22"/>
                      <w:vertAlign w:val="baseline"/>
                      <w:lang w:val="en-US" w:eastAsia="zh-CN"/>
                    </w:rPr>
                  </w:pPr>
                </w:p>
              </w:tc>
            </w:tr>
            <w:tr w14:paraId="64027F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1" w:type="dxa"/>
                  <w:tcBorders>
                    <w:tl2br w:val="nil"/>
                    <w:tr2bl w:val="nil"/>
                  </w:tcBorders>
                  <w:noWrap w:val="0"/>
                  <w:vAlign w:val="center"/>
                </w:tcPr>
                <w:p w14:paraId="632BF4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铝合金铸锭（包含铝合金圆铸棒和扁锭）</w:t>
                  </w:r>
                </w:p>
              </w:tc>
              <w:tc>
                <w:tcPr>
                  <w:tcW w:w="1268" w:type="dxa"/>
                  <w:tcBorders>
                    <w:tl2br w:val="nil"/>
                    <w:tr2bl w:val="nil"/>
                  </w:tcBorders>
                  <w:noWrap w:val="0"/>
                  <w:vAlign w:val="center"/>
                </w:tcPr>
                <w:p w14:paraId="2A6C90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29500</w:t>
                  </w:r>
                </w:p>
              </w:tc>
              <w:tc>
                <w:tcPr>
                  <w:tcW w:w="1317" w:type="dxa"/>
                  <w:tcBorders>
                    <w:tl2br w:val="nil"/>
                    <w:tr2bl w:val="nil"/>
                  </w:tcBorders>
                  <w:noWrap w:val="0"/>
                  <w:vAlign w:val="center"/>
                </w:tcPr>
                <w:p w14:paraId="0D5ABD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20000</w:t>
                  </w:r>
                </w:p>
              </w:tc>
              <w:tc>
                <w:tcPr>
                  <w:tcW w:w="1000" w:type="dxa"/>
                  <w:tcBorders>
                    <w:tl2br w:val="nil"/>
                    <w:tr2bl w:val="nil"/>
                  </w:tcBorders>
                  <w:noWrap w:val="0"/>
                  <w:vAlign w:val="center"/>
                </w:tcPr>
                <w:p w14:paraId="7BC8FC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49500</w:t>
                  </w:r>
                </w:p>
              </w:tc>
              <w:tc>
                <w:tcPr>
                  <w:tcW w:w="917" w:type="dxa"/>
                  <w:tcBorders>
                    <w:tl2br w:val="nil"/>
                    <w:tr2bl w:val="nil"/>
                  </w:tcBorders>
                  <w:noWrap w:val="0"/>
                  <w:vAlign w:val="center"/>
                </w:tcPr>
                <w:p w14:paraId="65F043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54000</w:t>
                  </w:r>
                  <w:r>
                    <w:rPr>
                      <w:rFonts w:hint="eastAsia" w:ascii="Times New Roman" w:hAnsi="Times New Roman" w:eastAsia="宋体" w:cs="Times New Roman"/>
                      <w:color w:val="auto"/>
                      <w:kern w:val="0"/>
                      <w:sz w:val="22"/>
                      <w:szCs w:val="22"/>
                      <w:vertAlign w:val="superscript"/>
                      <w:lang w:val="en-US" w:eastAsia="zh-CN"/>
                    </w:rPr>
                    <w:fldChar w:fldCharType="begin"/>
                  </w:r>
                  <w:r>
                    <w:rPr>
                      <w:rFonts w:hint="eastAsia" w:ascii="Times New Roman" w:hAnsi="Times New Roman" w:eastAsia="宋体" w:cs="Times New Roman"/>
                      <w:color w:val="auto"/>
                      <w:kern w:val="0"/>
                      <w:sz w:val="22"/>
                      <w:szCs w:val="22"/>
                      <w:vertAlign w:val="superscript"/>
                      <w:lang w:val="en-US" w:eastAsia="zh-CN"/>
                    </w:rPr>
                    <w:instrText xml:space="preserve"> = 1 \* GB3 \* MERGEFORMAT </w:instrText>
                  </w:r>
                  <w:r>
                    <w:rPr>
                      <w:rFonts w:hint="eastAsia" w:ascii="Times New Roman" w:hAnsi="Times New Roman" w:eastAsia="宋体" w:cs="Times New Roman"/>
                      <w:color w:val="auto"/>
                      <w:kern w:val="0"/>
                      <w:sz w:val="22"/>
                      <w:szCs w:val="22"/>
                      <w:vertAlign w:val="superscript"/>
                      <w:lang w:val="en-US" w:eastAsia="zh-CN"/>
                    </w:rPr>
                    <w:fldChar w:fldCharType="separate"/>
                  </w:r>
                  <w:r>
                    <w:rPr>
                      <w:color w:val="auto"/>
                      <w:vertAlign w:val="superscript"/>
                    </w:rPr>
                    <w:t>①</w:t>
                  </w:r>
                  <w:r>
                    <w:rPr>
                      <w:rFonts w:hint="eastAsia" w:ascii="Times New Roman" w:hAnsi="Times New Roman" w:eastAsia="宋体" w:cs="Times New Roman"/>
                      <w:color w:val="auto"/>
                      <w:kern w:val="0"/>
                      <w:sz w:val="22"/>
                      <w:szCs w:val="22"/>
                      <w:vertAlign w:val="superscript"/>
                      <w:lang w:val="en-US" w:eastAsia="zh-CN"/>
                    </w:rPr>
                    <w:fldChar w:fldCharType="end"/>
                  </w:r>
                </w:p>
              </w:tc>
              <w:tc>
                <w:tcPr>
                  <w:tcW w:w="901" w:type="dxa"/>
                  <w:tcBorders>
                    <w:tl2br w:val="nil"/>
                    <w:tr2bl w:val="nil"/>
                  </w:tcBorders>
                  <w:noWrap w:val="0"/>
                  <w:vAlign w:val="center"/>
                </w:tcPr>
                <w:p w14:paraId="7EAA0E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74000</w:t>
                  </w:r>
                </w:p>
              </w:tc>
              <w:tc>
                <w:tcPr>
                  <w:tcW w:w="1467" w:type="dxa"/>
                  <w:tcBorders>
                    <w:tl2br w:val="nil"/>
                    <w:tr2bl w:val="nil"/>
                  </w:tcBorders>
                  <w:noWrap w:val="0"/>
                  <w:vAlign w:val="center"/>
                </w:tcPr>
                <w:p w14:paraId="72C674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圆锭Q/SWA  J2043-2022、扁锭Q/SWA  J4197-2020</w:t>
                  </w:r>
                </w:p>
              </w:tc>
            </w:tr>
            <w:tr w14:paraId="0951A1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1" w:type="dxa"/>
                  <w:tcBorders>
                    <w:tl2br w:val="nil"/>
                    <w:tr2bl w:val="nil"/>
                  </w:tcBorders>
                  <w:noWrap w:val="0"/>
                  <w:vAlign w:val="center"/>
                </w:tcPr>
                <w:p w14:paraId="1F8636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铝合金液</w:t>
                  </w:r>
                </w:p>
              </w:tc>
              <w:tc>
                <w:tcPr>
                  <w:tcW w:w="1268" w:type="dxa"/>
                  <w:tcBorders>
                    <w:tl2br w:val="nil"/>
                    <w:tr2bl w:val="nil"/>
                  </w:tcBorders>
                  <w:noWrap w:val="0"/>
                  <w:vAlign w:val="center"/>
                </w:tcPr>
                <w:p w14:paraId="66A89D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0</w:t>
                  </w:r>
                </w:p>
              </w:tc>
              <w:tc>
                <w:tcPr>
                  <w:tcW w:w="1317" w:type="dxa"/>
                  <w:tcBorders>
                    <w:tl2br w:val="nil"/>
                    <w:tr2bl w:val="nil"/>
                  </w:tcBorders>
                  <w:noWrap w:val="0"/>
                  <w:vAlign w:val="center"/>
                </w:tcPr>
                <w:p w14:paraId="650113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55000</w:t>
                  </w:r>
                </w:p>
              </w:tc>
              <w:tc>
                <w:tcPr>
                  <w:tcW w:w="1000" w:type="dxa"/>
                  <w:tcBorders>
                    <w:tl2br w:val="nil"/>
                    <w:tr2bl w:val="nil"/>
                  </w:tcBorders>
                  <w:noWrap w:val="0"/>
                  <w:vAlign w:val="center"/>
                </w:tcPr>
                <w:p w14:paraId="5E757D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55000</w:t>
                  </w:r>
                </w:p>
              </w:tc>
              <w:tc>
                <w:tcPr>
                  <w:tcW w:w="917" w:type="dxa"/>
                  <w:tcBorders>
                    <w:tl2br w:val="nil"/>
                    <w:tr2bl w:val="nil"/>
                  </w:tcBorders>
                  <w:noWrap w:val="0"/>
                  <w:vAlign w:val="center"/>
                </w:tcPr>
                <w:p w14:paraId="108566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0</w:t>
                  </w:r>
                </w:p>
              </w:tc>
              <w:tc>
                <w:tcPr>
                  <w:tcW w:w="901" w:type="dxa"/>
                  <w:tcBorders>
                    <w:tl2br w:val="nil"/>
                    <w:tr2bl w:val="nil"/>
                  </w:tcBorders>
                  <w:noWrap w:val="0"/>
                  <w:vAlign w:val="center"/>
                </w:tcPr>
                <w:p w14:paraId="1FE140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55000</w:t>
                  </w:r>
                </w:p>
              </w:tc>
              <w:tc>
                <w:tcPr>
                  <w:tcW w:w="1467" w:type="dxa"/>
                  <w:tcBorders>
                    <w:tl2br w:val="nil"/>
                    <w:tr2bl w:val="nil"/>
                  </w:tcBorders>
                  <w:noWrap w:val="0"/>
                  <w:vAlign w:val="center"/>
                </w:tcPr>
                <w:p w14:paraId="098436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Q/SWA J4216A-2022</w:t>
                  </w:r>
                </w:p>
              </w:tc>
            </w:tr>
            <w:tr w14:paraId="23F77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1" w:type="dxa"/>
                  <w:tcBorders>
                    <w:tl2br w:val="nil"/>
                    <w:tr2bl w:val="nil"/>
                  </w:tcBorders>
                  <w:noWrap w:val="0"/>
                  <w:vAlign w:val="center"/>
                </w:tcPr>
                <w:p w14:paraId="16F109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铸造铝合金</w:t>
                  </w:r>
                </w:p>
              </w:tc>
              <w:tc>
                <w:tcPr>
                  <w:tcW w:w="1268" w:type="dxa"/>
                  <w:tcBorders>
                    <w:tl2br w:val="nil"/>
                    <w:tr2bl w:val="nil"/>
                  </w:tcBorders>
                  <w:noWrap w:val="0"/>
                  <w:vAlign w:val="center"/>
                </w:tcPr>
                <w:p w14:paraId="387547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0</w:t>
                  </w:r>
                </w:p>
              </w:tc>
              <w:tc>
                <w:tcPr>
                  <w:tcW w:w="1317" w:type="dxa"/>
                  <w:tcBorders>
                    <w:tl2br w:val="nil"/>
                    <w:tr2bl w:val="nil"/>
                  </w:tcBorders>
                  <w:noWrap w:val="0"/>
                  <w:vAlign w:val="center"/>
                </w:tcPr>
                <w:p w14:paraId="445495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10000</w:t>
                  </w:r>
                </w:p>
              </w:tc>
              <w:tc>
                <w:tcPr>
                  <w:tcW w:w="1000" w:type="dxa"/>
                  <w:tcBorders>
                    <w:tl2br w:val="nil"/>
                    <w:tr2bl w:val="nil"/>
                  </w:tcBorders>
                  <w:noWrap w:val="0"/>
                  <w:vAlign w:val="center"/>
                </w:tcPr>
                <w:p w14:paraId="1F337F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10000</w:t>
                  </w:r>
                </w:p>
              </w:tc>
              <w:tc>
                <w:tcPr>
                  <w:tcW w:w="917" w:type="dxa"/>
                  <w:tcBorders>
                    <w:tl2br w:val="nil"/>
                    <w:tr2bl w:val="nil"/>
                  </w:tcBorders>
                  <w:noWrap w:val="0"/>
                  <w:vAlign w:val="center"/>
                </w:tcPr>
                <w:p w14:paraId="20C40C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0</w:t>
                  </w:r>
                </w:p>
              </w:tc>
              <w:tc>
                <w:tcPr>
                  <w:tcW w:w="901" w:type="dxa"/>
                  <w:tcBorders>
                    <w:tl2br w:val="nil"/>
                    <w:tr2bl w:val="nil"/>
                  </w:tcBorders>
                  <w:noWrap w:val="0"/>
                  <w:vAlign w:val="center"/>
                </w:tcPr>
                <w:p w14:paraId="020405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10000</w:t>
                  </w:r>
                </w:p>
              </w:tc>
              <w:tc>
                <w:tcPr>
                  <w:tcW w:w="1467" w:type="dxa"/>
                  <w:tcBorders>
                    <w:tl2br w:val="nil"/>
                    <w:tr2bl w:val="nil"/>
                  </w:tcBorders>
                  <w:noWrap w:val="0"/>
                  <w:vAlign w:val="center"/>
                </w:tcPr>
                <w:p w14:paraId="410BBA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《压铸铝合金》（GB/T 15115-20</w:t>
                  </w:r>
                  <w:r>
                    <w:rPr>
                      <w:rFonts w:hint="eastAsia" w:ascii="Times New Roman" w:hAnsi="Times New Roman" w:eastAsia="宋体" w:cs="Times New Roman"/>
                      <w:color w:val="auto"/>
                      <w:kern w:val="0"/>
                      <w:sz w:val="22"/>
                      <w:szCs w:val="22"/>
                      <w:vertAlign w:val="baseline"/>
                      <w:lang w:val="en-US" w:eastAsia="zh-CN"/>
                    </w:rPr>
                    <w:t>24</w:t>
                  </w:r>
                  <w:r>
                    <w:rPr>
                      <w:rFonts w:hint="default" w:ascii="Times New Roman" w:hAnsi="Times New Roman" w:eastAsia="宋体" w:cs="Times New Roman"/>
                      <w:color w:val="auto"/>
                      <w:kern w:val="0"/>
                      <w:sz w:val="22"/>
                      <w:szCs w:val="22"/>
                      <w:vertAlign w:val="baseline"/>
                      <w:lang w:val="en-US" w:eastAsia="zh-CN"/>
                    </w:rPr>
                    <w:t>）</w:t>
                  </w:r>
                  <w:r>
                    <w:rPr>
                      <w:rFonts w:hint="eastAsia" w:ascii="Times New Roman" w:hAnsi="Times New Roman" w:eastAsia="宋体" w:cs="Times New Roman"/>
                      <w:color w:val="auto"/>
                      <w:kern w:val="0"/>
                      <w:sz w:val="22"/>
                      <w:szCs w:val="22"/>
                      <w:vertAlign w:val="baseline"/>
                      <w:lang w:val="en-US" w:eastAsia="zh-CN"/>
                    </w:rPr>
                    <w:t>、Q/SWA  J4202-2020</w:t>
                  </w:r>
                </w:p>
              </w:tc>
            </w:tr>
            <w:tr w14:paraId="4B90D4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6" w:type="dxa"/>
                  <w:gridSpan w:val="4"/>
                  <w:tcBorders>
                    <w:tl2br w:val="nil"/>
                    <w:tr2bl w:val="nil"/>
                  </w:tcBorders>
                  <w:noWrap w:val="0"/>
                  <w:vAlign w:val="center"/>
                </w:tcPr>
                <w:p w14:paraId="0DD203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合计</w:t>
                  </w:r>
                </w:p>
              </w:tc>
              <w:tc>
                <w:tcPr>
                  <w:tcW w:w="917" w:type="dxa"/>
                  <w:tcBorders>
                    <w:tl2br w:val="nil"/>
                    <w:tr2bl w:val="nil"/>
                  </w:tcBorders>
                  <w:noWrap w:val="0"/>
                  <w:vAlign w:val="center"/>
                </w:tcPr>
                <w:p w14:paraId="4429B7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54000</w:t>
                  </w:r>
                </w:p>
              </w:tc>
              <w:tc>
                <w:tcPr>
                  <w:tcW w:w="901" w:type="dxa"/>
                  <w:tcBorders>
                    <w:tl2br w:val="nil"/>
                    <w:tr2bl w:val="nil"/>
                  </w:tcBorders>
                  <w:noWrap w:val="0"/>
                  <w:vAlign w:val="center"/>
                </w:tcPr>
                <w:p w14:paraId="08B335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139000</w:t>
                  </w:r>
                </w:p>
              </w:tc>
              <w:tc>
                <w:tcPr>
                  <w:tcW w:w="1467" w:type="dxa"/>
                  <w:tcBorders>
                    <w:tl2br w:val="nil"/>
                    <w:tr2bl w:val="nil"/>
                  </w:tcBorders>
                  <w:noWrap w:val="0"/>
                  <w:vAlign w:val="center"/>
                </w:tcPr>
                <w:p w14:paraId="2170DC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w:t>
                  </w:r>
                </w:p>
              </w:tc>
            </w:tr>
          </w:tbl>
          <w:p w14:paraId="2477FC1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注：“</w:t>
            </w:r>
            <w:r>
              <w:rPr>
                <w:rFonts w:hint="eastAsia" w:ascii="Times New Roman" w:hAnsi="Times New Roman" w:eastAsia="宋体" w:cs="Times New Roman"/>
                <w:color w:val="auto"/>
                <w:sz w:val="22"/>
                <w:szCs w:val="22"/>
                <w:vertAlign w:val="baseline"/>
                <w:lang w:val="en-US" w:eastAsia="zh-CN"/>
              </w:rPr>
              <w:t>①</w:t>
            </w:r>
            <w:r>
              <w:rPr>
                <w:rFonts w:hint="eastAsia" w:ascii="Times New Roman" w:hAnsi="Times New Roman" w:eastAsia="宋体" w:cs="Times New Roman"/>
                <w:color w:val="auto"/>
                <w:sz w:val="22"/>
                <w:szCs w:val="22"/>
                <w:lang w:val="en-US" w:eastAsia="zh-CN"/>
              </w:rPr>
              <w:t>”</w:t>
            </w:r>
            <w:r>
              <w:rPr>
                <w:rFonts w:hint="eastAsia" w:ascii="Times New Roman" w:hAnsi="Times New Roman" w:eastAsia="宋体" w:cs="Times New Roman"/>
                <w:color w:val="auto"/>
                <w:sz w:val="22"/>
                <w:szCs w:val="22"/>
                <w:vertAlign w:val="baseline"/>
                <w:lang w:val="en-US" w:eastAsia="zh-CN"/>
              </w:rPr>
              <w:t>本项目主要新增铝合金圆铸棒产品规模。</w:t>
            </w:r>
          </w:p>
          <w:p w14:paraId="3B28F134">
            <w:pPr>
              <w:keepNext w:val="0"/>
              <w:keepLines w:val="0"/>
              <w:pageBreakBefore w:val="0"/>
              <w:widowControl w:val="0"/>
              <w:kinsoku/>
              <w:wordWrap/>
              <w:overflowPunct/>
              <w:topLinePunct w:val="0"/>
              <w:autoSpaceDE/>
              <w:autoSpaceDN/>
              <w:bidi w:val="0"/>
              <w:spacing w:line="460" w:lineRule="exact"/>
              <w:textAlignment w:val="auto"/>
              <w:rPr>
                <w:rFonts w:hint="default"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lang w:val="en-US" w:eastAsia="zh-CN"/>
              </w:rPr>
              <w:t>2.4</w:t>
            </w:r>
            <w:r>
              <w:rPr>
                <w:rFonts w:hint="default" w:ascii="Times New Roman" w:hAnsi="Times New Roman" w:eastAsia="宋体" w:cs="Times New Roman"/>
                <w:b/>
                <w:bCs/>
                <w:color w:val="auto"/>
                <w:kern w:val="0"/>
                <w:sz w:val="26"/>
                <w:szCs w:val="26"/>
                <w:lang w:val="en-US" w:eastAsia="zh-CN"/>
              </w:rPr>
              <w:t>建设内容</w:t>
            </w:r>
          </w:p>
          <w:p w14:paraId="3633F3A2">
            <w:pPr>
              <w:keepNext w:val="0"/>
              <w:keepLines w:val="0"/>
              <w:pageBreakBefore w:val="0"/>
              <w:widowControl w:val="0"/>
              <w:kinsoku/>
              <w:wordWrap/>
              <w:overflowPunct/>
              <w:topLinePunct w:val="0"/>
              <w:autoSpaceDE/>
              <w:autoSpaceDN/>
              <w:bidi w:val="0"/>
              <w:snapToGrid w:val="0"/>
              <w:spacing w:line="460" w:lineRule="exact"/>
              <w:ind w:firstLine="520" w:firstLineChars="200"/>
              <w:textAlignment w:val="auto"/>
              <w:rPr>
                <w:rFonts w:hint="eastAsia"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本项目由主体工程、辅助工程、公用工程、储运工程和环保工程组成。项目组成内容详见下表。</w:t>
            </w:r>
          </w:p>
          <w:p w14:paraId="02062ACC">
            <w:pPr>
              <w:keepNext w:val="0"/>
              <w:keepLines w:val="0"/>
              <w:pageBreakBefore w:val="0"/>
              <w:widowControl w:val="0"/>
              <w:kinsoku/>
              <w:wordWrap/>
              <w:overflowPunct/>
              <w:topLinePunct w:val="0"/>
              <w:autoSpaceDE/>
              <w:autoSpaceDN/>
              <w:bidi w:val="0"/>
              <w:snapToGrid w:val="0"/>
              <w:spacing w:line="460" w:lineRule="exact"/>
              <w:ind w:firstLine="520" w:firstLineChars="200"/>
              <w:textAlignment w:val="auto"/>
              <w:rPr>
                <w:rFonts w:hint="eastAsia" w:ascii="Times New Roman" w:hAnsi="Times New Roman" w:eastAsia="宋体" w:cs="Times New Roman"/>
                <w:color w:val="auto"/>
                <w:sz w:val="26"/>
                <w:szCs w:val="26"/>
                <w:highlight w:val="none"/>
                <w:lang w:val="en-US" w:eastAsia="zh-CN"/>
              </w:rPr>
            </w:pPr>
          </w:p>
          <w:p w14:paraId="6FB57A24">
            <w:pPr>
              <w:keepNext w:val="0"/>
              <w:keepLines w:val="0"/>
              <w:pageBreakBefore w:val="0"/>
              <w:widowControl w:val="0"/>
              <w:kinsoku/>
              <w:wordWrap/>
              <w:overflowPunct/>
              <w:topLinePunct w:val="0"/>
              <w:autoSpaceDE/>
              <w:autoSpaceDN/>
              <w:bidi w:val="0"/>
              <w:snapToGrid w:val="0"/>
              <w:spacing w:line="460" w:lineRule="exact"/>
              <w:ind w:firstLine="520" w:firstLineChars="200"/>
              <w:jc w:val="center"/>
              <w:textAlignment w:val="auto"/>
              <w:rPr>
                <w:rFonts w:hint="default"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表2.4-1 本项目组成及内容一览表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479"/>
              <w:gridCol w:w="4779"/>
              <w:gridCol w:w="1102"/>
            </w:tblGrid>
            <w:tr w14:paraId="0610FC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tcBorders>
                    <w:tl2br w:val="nil"/>
                    <w:tr2bl w:val="nil"/>
                  </w:tcBorders>
                  <w:noWrap w:val="0"/>
                  <w:tcMar>
                    <w:left w:w="28" w:type="dxa"/>
                    <w:right w:w="28" w:type="dxa"/>
                  </w:tcMar>
                  <w:vAlign w:val="center"/>
                </w:tcPr>
                <w:p w14:paraId="5FED9C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工程分类</w:t>
                  </w:r>
                </w:p>
              </w:tc>
              <w:tc>
                <w:tcPr>
                  <w:tcW w:w="1479" w:type="dxa"/>
                  <w:tcBorders>
                    <w:tl2br w:val="nil"/>
                    <w:tr2bl w:val="nil"/>
                  </w:tcBorders>
                  <w:noWrap w:val="0"/>
                  <w:tcMar>
                    <w:left w:w="28" w:type="dxa"/>
                    <w:right w:w="28" w:type="dxa"/>
                  </w:tcMar>
                  <w:vAlign w:val="center"/>
                </w:tcPr>
                <w:p w14:paraId="40BAE8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项目名称</w:t>
                  </w:r>
                </w:p>
              </w:tc>
              <w:tc>
                <w:tcPr>
                  <w:tcW w:w="4779" w:type="dxa"/>
                  <w:tcBorders>
                    <w:tl2br w:val="nil"/>
                    <w:tr2bl w:val="nil"/>
                  </w:tcBorders>
                  <w:noWrap w:val="0"/>
                  <w:tcMar>
                    <w:left w:w="28" w:type="dxa"/>
                    <w:right w:w="28" w:type="dxa"/>
                  </w:tcMar>
                  <w:vAlign w:val="center"/>
                </w:tcPr>
                <w:p w14:paraId="61D6CB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主要建设内容及规模</w:t>
                  </w:r>
                </w:p>
              </w:tc>
              <w:tc>
                <w:tcPr>
                  <w:tcW w:w="1102" w:type="dxa"/>
                  <w:tcBorders>
                    <w:tl2br w:val="nil"/>
                    <w:tr2bl w:val="nil"/>
                  </w:tcBorders>
                  <w:noWrap w:val="0"/>
                  <w:tcMar>
                    <w:left w:w="28" w:type="dxa"/>
                    <w:right w:w="28" w:type="dxa"/>
                  </w:tcMar>
                  <w:vAlign w:val="center"/>
                </w:tcPr>
                <w:p w14:paraId="001B56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备注</w:t>
                  </w:r>
                </w:p>
              </w:tc>
            </w:tr>
            <w:tr w14:paraId="6B444D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restart"/>
                  <w:tcBorders>
                    <w:tl2br w:val="nil"/>
                    <w:tr2bl w:val="nil"/>
                  </w:tcBorders>
                  <w:noWrap w:val="0"/>
                  <w:tcMar>
                    <w:left w:w="28" w:type="dxa"/>
                    <w:right w:w="28" w:type="dxa"/>
                  </w:tcMar>
                  <w:vAlign w:val="center"/>
                </w:tcPr>
                <w:p w14:paraId="245435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主体工程</w:t>
                  </w:r>
                </w:p>
              </w:tc>
              <w:tc>
                <w:tcPr>
                  <w:tcW w:w="1479" w:type="dxa"/>
                  <w:tcBorders>
                    <w:tl2br w:val="nil"/>
                    <w:tr2bl w:val="nil"/>
                  </w:tcBorders>
                  <w:noWrap w:val="0"/>
                  <w:tcMar>
                    <w:left w:w="28" w:type="dxa"/>
                    <w:right w:w="28" w:type="dxa"/>
                  </w:tcMar>
                  <w:vAlign w:val="center"/>
                </w:tcPr>
                <w:p w14:paraId="1FAE93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bCs/>
                      <w:color w:val="auto"/>
                      <w:sz w:val="22"/>
                      <w:szCs w:val="22"/>
                      <w:lang w:val="en-US" w:eastAsia="zh-CN" w:bidi="ar"/>
                    </w:rPr>
                    <w:t>熔铸车间</w:t>
                  </w:r>
                </w:p>
              </w:tc>
              <w:tc>
                <w:tcPr>
                  <w:tcW w:w="4779" w:type="dxa"/>
                  <w:tcBorders>
                    <w:tl2br w:val="nil"/>
                    <w:tr2bl w:val="nil"/>
                  </w:tcBorders>
                  <w:noWrap w:val="0"/>
                  <w:tcMar>
                    <w:left w:w="28" w:type="dxa"/>
                    <w:right w:w="28" w:type="dxa"/>
                  </w:tcMar>
                  <w:vAlign w:val="center"/>
                </w:tcPr>
                <w:p w14:paraId="4EC4C0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厂区中部设置了一个熔铸车间，熔铸车间占地面积约11000m</w:t>
                  </w:r>
                  <w:r>
                    <w:rPr>
                      <w:rFonts w:hint="default" w:ascii="Times New Roman" w:hAnsi="Times New Roman" w:eastAsia="宋体" w:cs="Times New Roman"/>
                      <w:color w:val="auto"/>
                      <w:kern w:val="0"/>
                      <w:sz w:val="22"/>
                      <w:szCs w:val="22"/>
                      <w:vertAlign w:val="superscript"/>
                      <w:lang w:val="en-US" w:eastAsia="zh-CN"/>
                    </w:rPr>
                    <w:t>2</w:t>
                  </w:r>
                  <w:r>
                    <w:rPr>
                      <w:rFonts w:hint="default" w:ascii="Times New Roman" w:hAnsi="Times New Roman" w:eastAsia="宋体" w:cs="Times New Roman"/>
                      <w:color w:val="auto"/>
                      <w:kern w:val="0"/>
                      <w:sz w:val="22"/>
                      <w:szCs w:val="22"/>
                      <w:vertAlign w:val="baseline"/>
                      <w:lang w:val="en-US" w:eastAsia="zh-CN"/>
                    </w:rPr>
                    <w:t>，单层，1F约15m高</w:t>
                  </w:r>
                  <w:r>
                    <w:rPr>
                      <w:rFonts w:hint="eastAsia" w:ascii="Times New Roman" w:hAnsi="Times New Roman" w:eastAsia="宋体" w:cs="Times New Roman"/>
                      <w:color w:val="auto"/>
                      <w:kern w:val="0"/>
                      <w:sz w:val="22"/>
                      <w:szCs w:val="22"/>
                      <w:vertAlign w:val="baseline"/>
                      <w:lang w:val="en-US" w:eastAsia="zh-CN"/>
                    </w:rPr>
                    <w:t>，</w:t>
                  </w:r>
                  <w:r>
                    <w:rPr>
                      <w:rFonts w:hint="default" w:ascii="Times New Roman" w:hAnsi="Times New Roman" w:eastAsia="宋体" w:cs="Times New Roman"/>
                      <w:color w:val="auto"/>
                      <w:kern w:val="0"/>
                      <w:sz w:val="22"/>
                      <w:szCs w:val="22"/>
                      <w:vertAlign w:val="baseline"/>
                      <w:lang w:val="en-US" w:eastAsia="zh-CN"/>
                    </w:rPr>
                    <w:t>车间内设置2台25t熔炼炉及配套的1套铸造机，1台16t熔炼炉及配套的铸造机，</w:t>
                  </w:r>
                  <w:r>
                    <w:rPr>
                      <w:rFonts w:hint="eastAsia" w:ascii="Times New Roman" w:hAnsi="Times New Roman" w:eastAsia="宋体" w:cs="Times New Roman"/>
                      <w:color w:val="auto"/>
                      <w:kern w:val="0"/>
                      <w:sz w:val="22"/>
                      <w:szCs w:val="22"/>
                      <w:vertAlign w:val="baseline"/>
                      <w:lang w:val="en-US" w:eastAsia="zh-CN"/>
                    </w:rPr>
                    <w:t>本项目</w:t>
                  </w:r>
                  <w:r>
                    <w:rPr>
                      <w:rFonts w:hint="default" w:ascii="Times New Roman" w:hAnsi="Times New Roman" w:eastAsia="宋体" w:cs="Times New Roman"/>
                      <w:color w:val="auto"/>
                      <w:kern w:val="0"/>
                      <w:sz w:val="22"/>
                      <w:szCs w:val="22"/>
                      <w:vertAlign w:val="baseline"/>
                      <w:lang w:val="en-US" w:eastAsia="zh-CN"/>
                    </w:rPr>
                    <w:t>用纯铝液替代铝锭，提升产能，形成年产5.</w:t>
                  </w:r>
                  <w:r>
                    <w:rPr>
                      <w:rFonts w:hint="eastAsia" w:ascii="Times New Roman" w:hAnsi="Times New Roman" w:eastAsia="宋体" w:cs="Times New Roman"/>
                      <w:color w:val="auto"/>
                      <w:kern w:val="0"/>
                      <w:sz w:val="22"/>
                      <w:szCs w:val="22"/>
                      <w:vertAlign w:val="baseline"/>
                      <w:lang w:val="en-US" w:eastAsia="zh-CN"/>
                    </w:rPr>
                    <w:t>4</w:t>
                  </w:r>
                  <w:r>
                    <w:rPr>
                      <w:rFonts w:hint="default" w:ascii="Times New Roman" w:hAnsi="Times New Roman" w:eastAsia="宋体" w:cs="Times New Roman"/>
                      <w:color w:val="auto"/>
                      <w:kern w:val="0"/>
                      <w:sz w:val="22"/>
                      <w:szCs w:val="22"/>
                      <w:vertAlign w:val="baseline"/>
                      <w:lang w:val="en-US" w:eastAsia="zh-CN"/>
                    </w:rPr>
                    <w:t>万吨铝合金圆铸棒的规模</w:t>
                  </w:r>
                </w:p>
              </w:tc>
              <w:tc>
                <w:tcPr>
                  <w:tcW w:w="1102" w:type="dxa"/>
                  <w:tcBorders>
                    <w:tl2br w:val="nil"/>
                    <w:tr2bl w:val="nil"/>
                  </w:tcBorders>
                  <w:noWrap w:val="0"/>
                  <w:tcMar>
                    <w:left w:w="28" w:type="dxa"/>
                    <w:right w:w="28" w:type="dxa"/>
                  </w:tcMar>
                  <w:vAlign w:val="center"/>
                </w:tcPr>
                <w:p w14:paraId="0A6B26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依托现有生产设备</w:t>
                  </w:r>
                </w:p>
              </w:tc>
            </w:tr>
            <w:tr w14:paraId="129E00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continue"/>
                  <w:tcBorders>
                    <w:tl2br w:val="nil"/>
                    <w:tr2bl w:val="nil"/>
                  </w:tcBorders>
                  <w:noWrap w:val="0"/>
                  <w:tcMar>
                    <w:left w:w="28" w:type="dxa"/>
                    <w:right w:w="28" w:type="dxa"/>
                  </w:tcMar>
                  <w:vAlign w:val="center"/>
                </w:tcPr>
                <w:p w14:paraId="26A1E4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479" w:type="dxa"/>
                  <w:tcBorders>
                    <w:tl2br w:val="nil"/>
                    <w:tr2bl w:val="nil"/>
                  </w:tcBorders>
                  <w:noWrap w:val="0"/>
                  <w:tcMar>
                    <w:left w:w="28" w:type="dxa"/>
                    <w:right w:w="28" w:type="dxa"/>
                  </w:tcMar>
                  <w:vAlign w:val="center"/>
                </w:tcPr>
                <w:p w14:paraId="53CC73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2"/>
                      <w:szCs w:val="22"/>
                      <w:lang w:val="en-US" w:eastAsia="zh-CN" w:bidi="ar"/>
                    </w:rPr>
                  </w:pPr>
                  <w:r>
                    <w:rPr>
                      <w:rFonts w:hint="eastAsia" w:ascii="Times New Roman" w:hAnsi="Times New Roman" w:eastAsia="宋体" w:cs="Times New Roman"/>
                      <w:bCs/>
                      <w:color w:val="auto"/>
                      <w:sz w:val="22"/>
                      <w:szCs w:val="22"/>
                      <w:lang w:val="en-US" w:eastAsia="zh-CN" w:bidi="ar"/>
                    </w:rPr>
                    <w:t>铝回收装置车间</w:t>
                  </w:r>
                </w:p>
              </w:tc>
              <w:tc>
                <w:tcPr>
                  <w:tcW w:w="4779" w:type="dxa"/>
                  <w:tcBorders>
                    <w:tl2br w:val="nil"/>
                    <w:tr2bl w:val="nil"/>
                  </w:tcBorders>
                  <w:noWrap w:val="0"/>
                  <w:tcMar>
                    <w:left w:w="28" w:type="dxa"/>
                    <w:right w:w="28" w:type="dxa"/>
                  </w:tcMar>
                  <w:vAlign w:val="center"/>
                </w:tcPr>
                <w:p w14:paraId="2C9C78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位于厂区北侧，内设1套铝回收装置。</w:t>
                  </w:r>
                </w:p>
              </w:tc>
              <w:tc>
                <w:tcPr>
                  <w:tcW w:w="1102" w:type="dxa"/>
                  <w:tcBorders>
                    <w:tl2br w:val="nil"/>
                    <w:tr2bl w:val="nil"/>
                  </w:tcBorders>
                  <w:noWrap w:val="0"/>
                  <w:tcMar>
                    <w:left w:w="28" w:type="dxa"/>
                    <w:right w:w="28" w:type="dxa"/>
                  </w:tcMar>
                  <w:vAlign w:val="center"/>
                </w:tcPr>
                <w:p w14:paraId="14A7E4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依托</w:t>
                  </w:r>
                </w:p>
              </w:tc>
            </w:tr>
            <w:tr w14:paraId="05E1C3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restart"/>
                  <w:tcBorders>
                    <w:tl2br w:val="nil"/>
                    <w:tr2bl w:val="nil"/>
                  </w:tcBorders>
                  <w:noWrap w:val="0"/>
                  <w:tcMar>
                    <w:left w:w="28" w:type="dxa"/>
                    <w:right w:w="28" w:type="dxa"/>
                  </w:tcMar>
                  <w:vAlign w:val="center"/>
                </w:tcPr>
                <w:p w14:paraId="0EC498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辅助工程</w:t>
                  </w:r>
                </w:p>
              </w:tc>
              <w:tc>
                <w:tcPr>
                  <w:tcW w:w="1479" w:type="dxa"/>
                  <w:tcBorders>
                    <w:tl2br w:val="nil"/>
                    <w:tr2bl w:val="nil"/>
                  </w:tcBorders>
                  <w:noWrap w:val="0"/>
                  <w:tcMar>
                    <w:left w:w="28" w:type="dxa"/>
                    <w:right w:w="28" w:type="dxa"/>
                  </w:tcMar>
                  <w:vAlign w:val="center"/>
                </w:tcPr>
                <w:p w14:paraId="598A01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办公楼</w:t>
                  </w:r>
                </w:p>
              </w:tc>
              <w:tc>
                <w:tcPr>
                  <w:tcW w:w="4779" w:type="dxa"/>
                  <w:tcBorders>
                    <w:tl2br w:val="nil"/>
                    <w:tr2bl w:val="nil"/>
                  </w:tcBorders>
                  <w:noWrap w:val="0"/>
                  <w:tcMar>
                    <w:left w:w="28" w:type="dxa"/>
                    <w:right w:w="28" w:type="dxa"/>
                  </w:tcMar>
                  <w:vAlign w:val="center"/>
                </w:tcPr>
                <w:p w14:paraId="5BF094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位于厂区东侧，占地面积约465m</w:t>
                  </w:r>
                  <w:r>
                    <w:rPr>
                      <w:rFonts w:hint="default" w:ascii="Times New Roman" w:hAnsi="Times New Roman" w:eastAsia="宋体" w:cs="Times New Roman"/>
                      <w:snapToGrid w:val="0"/>
                      <w:color w:val="auto"/>
                      <w:kern w:val="0"/>
                      <w:sz w:val="22"/>
                      <w:szCs w:val="22"/>
                      <w:vertAlign w:val="superscript"/>
                      <w:lang w:val="en-US" w:eastAsia="zh-CN"/>
                    </w:rPr>
                    <w:t>2</w:t>
                  </w:r>
                  <w:r>
                    <w:rPr>
                      <w:rFonts w:hint="default" w:ascii="Times New Roman" w:hAnsi="Times New Roman" w:eastAsia="宋体" w:cs="Times New Roman"/>
                      <w:snapToGrid w:val="0"/>
                      <w:color w:val="auto"/>
                      <w:kern w:val="0"/>
                      <w:sz w:val="22"/>
                      <w:szCs w:val="22"/>
                      <w:lang w:val="en-US" w:eastAsia="zh-CN"/>
                    </w:rPr>
                    <w:t>，4F，砖混结构，建筑面积1863m</w:t>
                  </w:r>
                  <w:r>
                    <w:rPr>
                      <w:rFonts w:hint="default" w:ascii="Times New Roman" w:hAnsi="Times New Roman" w:eastAsia="宋体" w:cs="Times New Roman"/>
                      <w:snapToGrid w:val="0"/>
                      <w:color w:val="auto"/>
                      <w:kern w:val="0"/>
                      <w:sz w:val="22"/>
                      <w:szCs w:val="22"/>
                      <w:vertAlign w:val="superscript"/>
                      <w:lang w:val="en-US" w:eastAsia="zh-CN"/>
                    </w:rPr>
                    <w:t>2</w:t>
                  </w:r>
                  <w:r>
                    <w:rPr>
                      <w:rFonts w:hint="default" w:ascii="Times New Roman" w:hAnsi="Times New Roman" w:eastAsia="宋体" w:cs="Times New Roman"/>
                      <w:snapToGrid w:val="0"/>
                      <w:color w:val="auto"/>
                      <w:kern w:val="0"/>
                      <w:sz w:val="22"/>
                      <w:szCs w:val="22"/>
                      <w:vertAlign w:val="baseline"/>
                      <w:lang w:val="en-US" w:eastAsia="zh-CN"/>
                    </w:rPr>
                    <w:t>，</w:t>
                  </w:r>
                  <w:r>
                    <w:rPr>
                      <w:rFonts w:hint="default" w:ascii="Times New Roman" w:hAnsi="Times New Roman" w:eastAsia="宋体" w:cs="Times New Roman"/>
                      <w:snapToGrid w:val="0"/>
                      <w:color w:val="auto"/>
                      <w:kern w:val="0"/>
                      <w:sz w:val="22"/>
                      <w:szCs w:val="22"/>
                      <w:lang w:val="en-US" w:eastAsia="zh-CN"/>
                    </w:rPr>
                    <w:t>提供人员办公</w:t>
                  </w:r>
                </w:p>
              </w:tc>
              <w:tc>
                <w:tcPr>
                  <w:tcW w:w="1102" w:type="dxa"/>
                  <w:tcBorders>
                    <w:tl2br w:val="nil"/>
                    <w:tr2bl w:val="nil"/>
                  </w:tcBorders>
                  <w:noWrap w:val="0"/>
                  <w:tcMar>
                    <w:left w:w="28" w:type="dxa"/>
                    <w:right w:w="28" w:type="dxa"/>
                  </w:tcMar>
                  <w:vAlign w:val="center"/>
                </w:tcPr>
                <w:p w14:paraId="51B9B0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bidi="ar"/>
                    </w:rPr>
                    <w:t>依托</w:t>
                  </w:r>
                </w:p>
              </w:tc>
            </w:tr>
            <w:tr w14:paraId="31DF8A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continue"/>
                  <w:tcBorders>
                    <w:tl2br w:val="nil"/>
                    <w:tr2bl w:val="nil"/>
                  </w:tcBorders>
                  <w:noWrap w:val="0"/>
                  <w:tcMar>
                    <w:left w:w="28" w:type="dxa"/>
                    <w:right w:w="28" w:type="dxa"/>
                  </w:tcMar>
                  <w:vAlign w:val="center"/>
                </w:tcPr>
                <w:p w14:paraId="0DD760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479" w:type="dxa"/>
                  <w:tcBorders>
                    <w:tl2br w:val="nil"/>
                    <w:tr2bl w:val="nil"/>
                  </w:tcBorders>
                  <w:noWrap w:val="0"/>
                  <w:tcMar>
                    <w:left w:w="28" w:type="dxa"/>
                    <w:right w:w="28" w:type="dxa"/>
                  </w:tcMar>
                  <w:vAlign w:val="center"/>
                </w:tcPr>
                <w:p w14:paraId="3BE463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机加工</w:t>
                  </w:r>
                </w:p>
              </w:tc>
              <w:tc>
                <w:tcPr>
                  <w:tcW w:w="4779" w:type="dxa"/>
                  <w:tcBorders>
                    <w:tl2br w:val="nil"/>
                    <w:tr2bl w:val="nil"/>
                  </w:tcBorders>
                  <w:noWrap w:val="0"/>
                  <w:tcMar>
                    <w:left w:w="28" w:type="dxa"/>
                    <w:right w:w="28" w:type="dxa"/>
                  </w:tcMar>
                  <w:vAlign w:val="center"/>
                </w:tcPr>
                <w:p w14:paraId="398AF7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sz w:val="22"/>
                      <w:szCs w:val="22"/>
                    </w:rPr>
                    <w:t>位于</w:t>
                  </w:r>
                  <w:r>
                    <w:rPr>
                      <w:rFonts w:hint="eastAsia" w:ascii="Times New Roman" w:hAnsi="Times New Roman" w:eastAsia="宋体" w:cs="Times New Roman"/>
                      <w:color w:val="auto"/>
                      <w:sz w:val="22"/>
                      <w:szCs w:val="22"/>
                      <w:lang w:eastAsia="zh-CN"/>
                    </w:rPr>
                    <w:t>熔铸车间</w:t>
                  </w:r>
                  <w:r>
                    <w:rPr>
                      <w:rFonts w:hint="default" w:ascii="Times New Roman" w:hAnsi="Times New Roman" w:eastAsia="宋体" w:cs="Times New Roman"/>
                      <w:color w:val="auto"/>
                      <w:sz w:val="22"/>
                      <w:szCs w:val="22"/>
                    </w:rPr>
                    <w:t>的南侧，设置了4台车床和4台锯床</w:t>
                  </w:r>
                </w:p>
              </w:tc>
              <w:tc>
                <w:tcPr>
                  <w:tcW w:w="1102" w:type="dxa"/>
                  <w:tcBorders>
                    <w:tl2br w:val="nil"/>
                    <w:tr2bl w:val="nil"/>
                  </w:tcBorders>
                  <w:noWrap w:val="0"/>
                  <w:tcMar>
                    <w:left w:w="28" w:type="dxa"/>
                    <w:right w:w="28" w:type="dxa"/>
                  </w:tcMar>
                  <w:vAlign w:val="center"/>
                </w:tcPr>
                <w:p w14:paraId="116AB9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snapToGrid w:val="0"/>
                      <w:color w:val="auto"/>
                      <w:kern w:val="0"/>
                      <w:sz w:val="22"/>
                      <w:szCs w:val="22"/>
                      <w:lang w:val="en-US" w:eastAsia="zh-CN"/>
                    </w:rPr>
                    <w:t>依托</w:t>
                  </w:r>
                </w:p>
              </w:tc>
            </w:tr>
            <w:tr w14:paraId="3DF46D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continue"/>
                  <w:tcBorders>
                    <w:tl2br w:val="nil"/>
                    <w:tr2bl w:val="nil"/>
                  </w:tcBorders>
                  <w:noWrap w:val="0"/>
                  <w:tcMar>
                    <w:left w:w="28" w:type="dxa"/>
                    <w:right w:w="28" w:type="dxa"/>
                  </w:tcMar>
                  <w:vAlign w:val="center"/>
                </w:tcPr>
                <w:p w14:paraId="01809F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479" w:type="dxa"/>
                  <w:tcBorders>
                    <w:tl2br w:val="nil"/>
                    <w:tr2bl w:val="nil"/>
                  </w:tcBorders>
                  <w:noWrap w:val="0"/>
                  <w:tcMar>
                    <w:left w:w="28" w:type="dxa"/>
                    <w:right w:w="28" w:type="dxa"/>
                  </w:tcMar>
                  <w:vAlign w:val="center"/>
                </w:tcPr>
                <w:p w14:paraId="614A84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均质区</w:t>
                  </w:r>
                </w:p>
              </w:tc>
              <w:tc>
                <w:tcPr>
                  <w:tcW w:w="4779" w:type="dxa"/>
                  <w:tcBorders>
                    <w:tl2br w:val="nil"/>
                    <w:tr2bl w:val="nil"/>
                  </w:tcBorders>
                  <w:noWrap w:val="0"/>
                  <w:tcMar>
                    <w:left w:w="28" w:type="dxa"/>
                    <w:right w:w="28" w:type="dxa"/>
                  </w:tcMar>
                  <w:vAlign w:val="center"/>
                </w:tcPr>
                <w:p w14:paraId="0E49BD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eastAsia="zh-CN"/>
                    </w:rPr>
                    <w:t>位于熔铸车间的南侧，设置了</w:t>
                  </w:r>
                  <w:r>
                    <w:rPr>
                      <w:rFonts w:hint="eastAsia" w:ascii="Times New Roman" w:hAnsi="Times New Roman" w:eastAsia="宋体" w:cs="Times New Roman"/>
                      <w:color w:val="auto"/>
                      <w:sz w:val="22"/>
                      <w:szCs w:val="22"/>
                      <w:lang w:val="en-US" w:eastAsia="zh-CN"/>
                    </w:rPr>
                    <w:t>2台均质炉</w:t>
                  </w:r>
                </w:p>
              </w:tc>
              <w:tc>
                <w:tcPr>
                  <w:tcW w:w="1102" w:type="dxa"/>
                  <w:tcBorders>
                    <w:tl2br w:val="nil"/>
                    <w:tr2bl w:val="nil"/>
                  </w:tcBorders>
                  <w:noWrap w:val="0"/>
                  <w:tcMar>
                    <w:left w:w="28" w:type="dxa"/>
                    <w:right w:w="28" w:type="dxa"/>
                  </w:tcMar>
                  <w:vAlign w:val="center"/>
                </w:tcPr>
                <w:p w14:paraId="6B7057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依托</w:t>
                  </w:r>
                </w:p>
              </w:tc>
            </w:tr>
            <w:tr w14:paraId="0BE41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restart"/>
                  <w:tcBorders>
                    <w:tl2br w:val="nil"/>
                    <w:tr2bl w:val="nil"/>
                  </w:tcBorders>
                  <w:noWrap w:val="0"/>
                  <w:tcMar>
                    <w:left w:w="28" w:type="dxa"/>
                    <w:right w:w="28" w:type="dxa"/>
                  </w:tcMar>
                  <w:vAlign w:val="center"/>
                </w:tcPr>
                <w:p w14:paraId="60D340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储运工程</w:t>
                  </w:r>
                </w:p>
              </w:tc>
              <w:tc>
                <w:tcPr>
                  <w:tcW w:w="1479" w:type="dxa"/>
                  <w:tcBorders>
                    <w:tl2br w:val="nil"/>
                    <w:tr2bl w:val="nil"/>
                  </w:tcBorders>
                  <w:noWrap w:val="0"/>
                  <w:tcMar>
                    <w:left w:w="28" w:type="dxa"/>
                    <w:right w:w="28" w:type="dxa"/>
                  </w:tcMar>
                  <w:vAlign w:val="center"/>
                </w:tcPr>
                <w:p w14:paraId="475EFF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bidi="ar-SA"/>
                    </w:rPr>
                    <w:t>原材料及成品区</w:t>
                  </w:r>
                </w:p>
              </w:tc>
              <w:tc>
                <w:tcPr>
                  <w:tcW w:w="4779" w:type="dxa"/>
                  <w:tcBorders>
                    <w:tl2br w:val="nil"/>
                    <w:tr2bl w:val="nil"/>
                  </w:tcBorders>
                  <w:noWrap w:val="0"/>
                  <w:tcMar>
                    <w:left w:w="28" w:type="dxa"/>
                    <w:right w:w="28" w:type="dxa"/>
                  </w:tcMar>
                  <w:vAlign w:val="center"/>
                </w:tcPr>
                <w:p w14:paraId="6D6547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2"/>
                      <w:szCs w:val="22"/>
                      <w:vertAlign w:val="baseline"/>
                      <w:lang w:val="en-US" w:eastAsia="zh-CN"/>
                    </w:rPr>
                  </w:pPr>
                  <w:r>
                    <w:rPr>
                      <w:rFonts w:hint="default" w:ascii="Times New Roman" w:hAnsi="Times New Roman" w:eastAsia="宋体" w:cs="Times New Roman"/>
                      <w:b w:val="0"/>
                      <w:bCs/>
                      <w:color w:val="auto"/>
                      <w:kern w:val="0"/>
                      <w:sz w:val="22"/>
                      <w:szCs w:val="22"/>
                      <w:vertAlign w:val="baseline"/>
                      <w:lang w:val="en-US" w:eastAsia="zh-CN"/>
                    </w:rPr>
                    <w:t>位于</w:t>
                  </w:r>
                  <w:r>
                    <w:rPr>
                      <w:rFonts w:hint="eastAsia" w:ascii="Times New Roman" w:hAnsi="Times New Roman" w:eastAsia="宋体" w:cs="Times New Roman"/>
                      <w:color w:val="auto"/>
                      <w:sz w:val="22"/>
                      <w:szCs w:val="22"/>
                      <w:lang w:eastAsia="zh-CN"/>
                    </w:rPr>
                    <w:t>熔铸</w:t>
                  </w:r>
                  <w:r>
                    <w:rPr>
                      <w:rFonts w:hint="default" w:ascii="Times New Roman" w:hAnsi="Times New Roman" w:eastAsia="宋体" w:cs="Times New Roman"/>
                      <w:b w:val="0"/>
                      <w:bCs/>
                      <w:color w:val="auto"/>
                      <w:kern w:val="0"/>
                      <w:sz w:val="22"/>
                      <w:szCs w:val="22"/>
                      <w:vertAlign w:val="baseline"/>
                      <w:lang w:val="en-US" w:eastAsia="zh-CN"/>
                    </w:rPr>
                    <w:t>车间中部，主要储存原料及成品，占地面积约</w:t>
                  </w:r>
                  <w:r>
                    <w:rPr>
                      <w:rFonts w:hint="eastAsia" w:ascii="Times New Roman" w:hAnsi="Times New Roman" w:eastAsia="宋体" w:cs="Times New Roman"/>
                      <w:b w:val="0"/>
                      <w:bCs/>
                      <w:color w:val="auto"/>
                      <w:kern w:val="0"/>
                      <w:sz w:val="22"/>
                      <w:szCs w:val="22"/>
                      <w:vertAlign w:val="baseline"/>
                      <w:lang w:val="en-US" w:eastAsia="zh-CN"/>
                    </w:rPr>
                    <w:t>800</w:t>
                  </w:r>
                  <w:r>
                    <w:rPr>
                      <w:rFonts w:hint="default" w:ascii="Times New Roman" w:hAnsi="Times New Roman" w:eastAsia="宋体" w:cs="Times New Roman"/>
                      <w:b w:val="0"/>
                      <w:bCs/>
                      <w:color w:val="auto"/>
                      <w:kern w:val="0"/>
                      <w:sz w:val="22"/>
                      <w:szCs w:val="22"/>
                      <w:vertAlign w:val="baseline"/>
                      <w:lang w:val="en-US" w:eastAsia="zh-CN"/>
                    </w:rPr>
                    <w:t>m</w:t>
                  </w:r>
                  <w:r>
                    <w:rPr>
                      <w:rFonts w:hint="default" w:ascii="Times New Roman" w:hAnsi="Times New Roman" w:eastAsia="宋体" w:cs="Times New Roman"/>
                      <w:b w:val="0"/>
                      <w:bCs/>
                      <w:color w:val="auto"/>
                      <w:kern w:val="0"/>
                      <w:sz w:val="22"/>
                      <w:szCs w:val="22"/>
                      <w:vertAlign w:val="superscript"/>
                      <w:lang w:val="en-US" w:eastAsia="zh-CN"/>
                    </w:rPr>
                    <w:t>2</w:t>
                  </w:r>
                </w:p>
              </w:tc>
              <w:tc>
                <w:tcPr>
                  <w:tcW w:w="1102" w:type="dxa"/>
                  <w:tcBorders>
                    <w:tl2br w:val="nil"/>
                    <w:tr2bl w:val="nil"/>
                  </w:tcBorders>
                  <w:noWrap w:val="0"/>
                  <w:tcMar>
                    <w:left w:w="28" w:type="dxa"/>
                    <w:right w:w="28" w:type="dxa"/>
                  </w:tcMar>
                  <w:vAlign w:val="center"/>
                </w:tcPr>
                <w:p w14:paraId="01FE38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2"/>
                      <w:szCs w:val="22"/>
                      <w:vertAlign w:val="baseline"/>
                      <w:lang w:val="en-US" w:eastAsia="zh-CN"/>
                    </w:rPr>
                  </w:pPr>
                  <w:r>
                    <w:rPr>
                      <w:rFonts w:hint="default" w:ascii="Times New Roman" w:hAnsi="Times New Roman" w:eastAsia="宋体" w:cs="Times New Roman"/>
                      <w:snapToGrid w:val="0"/>
                      <w:color w:val="auto"/>
                      <w:kern w:val="0"/>
                      <w:sz w:val="22"/>
                      <w:szCs w:val="22"/>
                      <w:lang w:val="en-US" w:eastAsia="zh-CN"/>
                    </w:rPr>
                    <w:t>依托</w:t>
                  </w:r>
                </w:p>
              </w:tc>
            </w:tr>
            <w:tr w14:paraId="1F95C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continue"/>
                  <w:tcBorders>
                    <w:tl2br w:val="nil"/>
                    <w:tr2bl w:val="nil"/>
                  </w:tcBorders>
                  <w:noWrap w:val="0"/>
                  <w:tcMar>
                    <w:left w:w="28" w:type="dxa"/>
                    <w:right w:w="28" w:type="dxa"/>
                  </w:tcMar>
                  <w:vAlign w:val="center"/>
                </w:tcPr>
                <w:p w14:paraId="59986E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479" w:type="dxa"/>
                  <w:tcBorders>
                    <w:tl2br w:val="nil"/>
                    <w:tr2bl w:val="nil"/>
                  </w:tcBorders>
                  <w:noWrap w:val="0"/>
                  <w:tcMar>
                    <w:left w:w="28" w:type="dxa"/>
                    <w:right w:w="28" w:type="dxa"/>
                  </w:tcMar>
                  <w:vAlign w:val="center"/>
                </w:tcPr>
                <w:p w14:paraId="32029A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bidi="ar-SA"/>
                    </w:rPr>
                    <w:t>油库</w:t>
                  </w:r>
                </w:p>
              </w:tc>
              <w:tc>
                <w:tcPr>
                  <w:tcW w:w="4779" w:type="dxa"/>
                  <w:tcBorders>
                    <w:tl2br w:val="nil"/>
                    <w:tr2bl w:val="nil"/>
                  </w:tcBorders>
                  <w:noWrap w:val="0"/>
                  <w:tcMar>
                    <w:left w:w="28" w:type="dxa"/>
                    <w:right w:w="28" w:type="dxa"/>
                  </w:tcMar>
                  <w:vAlign w:val="center"/>
                </w:tcPr>
                <w:p w14:paraId="65F895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2"/>
                      <w:szCs w:val="22"/>
                      <w:lang w:bidi="ar"/>
                    </w:rPr>
                  </w:pPr>
                  <w:r>
                    <w:rPr>
                      <w:rFonts w:hint="default" w:ascii="Times New Roman" w:hAnsi="Times New Roman" w:eastAsia="宋体" w:cs="Times New Roman"/>
                      <w:bCs/>
                      <w:color w:val="auto"/>
                      <w:sz w:val="22"/>
                      <w:szCs w:val="22"/>
                      <w:lang w:bidi="ar"/>
                    </w:rPr>
                    <w:t>位于厂区东侧，建筑面积</w:t>
                  </w:r>
                  <w:r>
                    <w:rPr>
                      <w:rFonts w:hint="default" w:ascii="Times New Roman" w:hAnsi="Times New Roman" w:eastAsia="宋体" w:cs="Times New Roman"/>
                      <w:bCs/>
                      <w:color w:val="auto"/>
                      <w:sz w:val="22"/>
                      <w:szCs w:val="22"/>
                      <w:lang w:val="en-US" w:eastAsia="zh-CN" w:bidi="ar"/>
                    </w:rPr>
                    <w:t>15</w:t>
                  </w:r>
                  <w:r>
                    <w:rPr>
                      <w:rFonts w:hint="default" w:ascii="Times New Roman" w:hAnsi="Times New Roman" w:eastAsia="宋体" w:cs="Times New Roman"/>
                      <w:bCs/>
                      <w:color w:val="auto"/>
                      <w:sz w:val="22"/>
                      <w:szCs w:val="22"/>
                      <w:lang w:bidi="ar"/>
                    </w:rPr>
                    <w:t>m</w:t>
                  </w:r>
                  <w:r>
                    <w:rPr>
                      <w:rFonts w:hint="default" w:ascii="Times New Roman" w:hAnsi="Times New Roman" w:eastAsia="宋体" w:cs="Times New Roman"/>
                      <w:bCs/>
                      <w:color w:val="auto"/>
                      <w:sz w:val="22"/>
                      <w:szCs w:val="22"/>
                      <w:vertAlign w:val="superscript"/>
                      <w:lang w:bidi="ar"/>
                    </w:rPr>
                    <w:t>2</w:t>
                  </w:r>
                  <w:r>
                    <w:rPr>
                      <w:rFonts w:hint="default" w:ascii="Times New Roman" w:hAnsi="Times New Roman" w:eastAsia="宋体" w:cs="Times New Roman"/>
                      <w:snapToGrid w:val="0"/>
                      <w:color w:val="auto"/>
                      <w:kern w:val="0"/>
                      <w:sz w:val="22"/>
                      <w:szCs w:val="22"/>
                      <w:lang w:val="en-US" w:eastAsia="zh-CN"/>
                    </w:rPr>
                    <w:t>，暂存柴油、润滑油、切削液等油品</w:t>
                  </w:r>
                </w:p>
              </w:tc>
              <w:tc>
                <w:tcPr>
                  <w:tcW w:w="1102" w:type="dxa"/>
                  <w:tcBorders>
                    <w:tl2br w:val="nil"/>
                    <w:tr2bl w:val="nil"/>
                  </w:tcBorders>
                  <w:noWrap w:val="0"/>
                  <w:tcMar>
                    <w:left w:w="28" w:type="dxa"/>
                    <w:right w:w="28" w:type="dxa"/>
                  </w:tcMar>
                  <w:vAlign w:val="center"/>
                </w:tcPr>
                <w:p w14:paraId="4FA305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bCs/>
                      <w:color w:val="auto"/>
                      <w:sz w:val="22"/>
                      <w:szCs w:val="22"/>
                      <w:lang w:val="en-US" w:eastAsia="zh-CN" w:bidi="ar"/>
                    </w:rPr>
                    <w:t>依托</w:t>
                  </w:r>
                </w:p>
              </w:tc>
            </w:tr>
            <w:tr w14:paraId="2DC4BF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restart"/>
                  <w:tcBorders>
                    <w:tl2br w:val="nil"/>
                    <w:tr2bl w:val="nil"/>
                  </w:tcBorders>
                  <w:noWrap w:val="0"/>
                  <w:tcMar>
                    <w:left w:w="28" w:type="dxa"/>
                    <w:right w:w="28" w:type="dxa"/>
                  </w:tcMar>
                  <w:vAlign w:val="center"/>
                </w:tcPr>
                <w:p w14:paraId="158690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公用工程</w:t>
                  </w:r>
                </w:p>
              </w:tc>
              <w:tc>
                <w:tcPr>
                  <w:tcW w:w="1479" w:type="dxa"/>
                  <w:tcBorders>
                    <w:tl2br w:val="nil"/>
                    <w:tr2bl w:val="nil"/>
                  </w:tcBorders>
                  <w:noWrap w:val="0"/>
                  <w:tcMar>
                    <w:left w:w="28" w:type="dxa"/>
                    <w:right w:w="28" w:type="dxa"/>
                  </w:tcMar>
                  <w:vAlign w:val="center"/>
                </w:tcPr>
                <w:p w14:paraId="1AB798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供水</w:t>
                  </w:r>
                </w:p>
              </w:tc>
              <w:tc>
                <w:tcPr>
                  <w:tcW w:w="4779" w:type="dxa"/>
                  <w:tcBorders>
                    <w:tl2br w:val="nil"/>
                    <w:tr2bl w:val="nil"/>
                  </w:tcBorders>
                  <w:noWrap w:val="0"/>
                  <w:tcMar>
                    <w:left w:w="28" w:type="dxa"/>
                    <w:right w:w="28" w:type="dxa"/>
                  </w:tcMar>
                  <w:vAlign w:val="center"/>
                </w:tcPr>
                <w:p w14:paraId="3DA0E4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生活用水和生产用水均由西南铝业供应</w:t>
                  </w:r>
                </w:p>
              </w:tc>
              <w:tc>
                <w:tcPr>
                  <w:tcW w:w="1102" w:type="dxa"/>
                  <w:tcBorders>
                    <w:tl2br w:val="nil"/>
                    <w:tr2bl w:val="nil"/>
                  </w:tcBorders>
                  <w:noWrap w:val="0"/>
                  <w:tcMar>
                    <w:left w:w="28" w:type="dxa"/>
                    <w:right w:w="28" w:type="dxa"/>
                  </w:tcMar>
                  <w:vAlign w:val="center"/>
                </w:tcPr>
                <w:p w14:paraId="7A6C61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bCs/>
                      <w:color w:val="auto"/>
                      <w:sz w:val="22"/>
                      <w:szCs w:val="22"/>
                      <w:lang w:val="en-US" w:eastAsia="zh-CN" w:bidi="ar"/>
                    </w:rPr>
                    <w:t>依托</w:t>
                  </w:r>
                </w:p>
              </w:tc>
            </w:tr>
            <w:tr w14:paraId="552DF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continue"/>
                  <w:tcBorders>
                    <w:tl2br w:val="nil"/>
                    <w:tr2bl w:val="nil"/>
                  </w:tcBorders>
                  <w:noWrap w:val="0"/>
                  <w:tcMar>
                    <w:left w:w="28" w:type="dxa"/>
                    <w:right w:w="28" w:type="dxa"/>
                  </w:tcMar>
                  <w:vAlign w:val="center"/>
                </w:tcPr>
                <w:p w14:paraId="64CDA9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479" w:type="dxa"/>
                  <w:tcBorders>
                    <w:tl2br w:val="nil"/>
                    <w:tr2bl w:val="nil"/>
                  </w:tcBorders>
                  <w:noWrap w:val="0"/>
                  <w:tcMar>
                    <w:left w:w="28" w:type="dxa"/>
                    <w:right w:w="28" w:type="dxa"/>
                  </w:tcMar>
                  <w:vAlign w:val="center"/>
                </w:tcPr>
                <w:p w14:paraId="1BC231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排水</w:t>
                  </w:r>
                </w:p>
              </w:tc>
              <w:tc>
                <w:tcPr>
                  <w:tcW w:w="4779" w:type="dxa"/>
                  <w:tcBorders>
                    <w:tl2br w:val="nil"/>
                    <w:tr2bl w:val="nil"/>
                  </w:tcBorders>
                  <w:noWrap w:val="0"/>
                  <w:tcMar>
                    <w:left w:w="28" w:type="dxa"/>
                    <w:right w:w="28" w:type="dxa"/>
                  </w:tcMar>
                  <w:vAlign w:val="center"/>
                </w:tcPr>
                <w:p w14:paraId="10A40B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实行雨污分流制，雨水经雨水管网收集后排入市政雨水管网，生活污水经厂区生化池处理达标后排放至市政污水管网</w:t>
                  </w:r>
                </w:p>
              </w:tc>
              <w:tc>
                <w:tcPr>
                  <w:tcW w:w="1102" w:type="dxa"/>
                  <w:tcBorders>
                    <w:tl2br w:val="nil"/>
                    <w:tr2bl w:val="nil"/>
                  </w:tcBorders>
                  <w:noWrap w:val="0"/>
                  <w:tcMar>
                    <w:left w:w="28" w:type="dxa"/>
                    <w:right w:w="28" w:type="dxa"/>
                  </w:tcMar>
                  <w:vAlign w:val="center"/>
                </w:tcPr>
                <w:p w14:paraId="491705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bCs/>
                      <w:color w:val="auto"/>
                      <w:sz w:val="22"/>
                      <w:szCs w:val="22"/>
                      <w:lang w:val="en-US" w:eastAsia="zh-CN" w:bidi="ar"/>
                    </w:rPr>
                    <w:t>依托</w:t>
                  </w:r>
                </w:p>
              </w:tc>
            </w:tr>
            <w:tr w14:paraId="739729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continue"/>
                  <w:tcBorders>
                    <w:tl2br w:val="nil"/>
                    <w:tr2bl w:val="nil"/>
                  </w:tcBorders>
                  <w:noWrap w:val="0"/>
                  <w:tcMar>
                    <w:left w:w="28" w:type="dxa"/>
                    <w:right w:w="28" w:type="dxa"/>
                  </w:tcMar>
                  <w:vAlign w:val="center"/>
                </w:tcPr>
                <w:p w14:paraId="0E6F2B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479" w:type="dxa"/>
                  <w:tcBorders>
                    <w:tl2br w:val="nil"/>
                    <w:tr2bl w:val="nil"/>
                  </w:tcBorders>
                  <w:noWrap w:val="0"/>
                  <w:tcMar>
                    <w:left w:w="28" w:type="dxa"/>
                    <w:right w:w="28" w:type="dxa"/>
                  </w:tcMar>
                  <w:vAlign w:val="center"/>
                </w:tcPr>
                <w:p w14:paraId="03E78A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供电</w:t>
                  </w:r>
                </w:p>
              </w:tc>
              <w:tc>
                <w:tcPr>
                  <w:tcW w:w="4779" w:type="dxa"/>
                  <w:tcBorders>
                    <w:tl2br w:val="nil"/>
                    <w:tr2bl w:val="nil"/>
                  </w:tcBorders>
                  <w:noWrap w:val="0"/>
                  <w:tcMar>
                    <w:left w:w="28" w:type="dxa"/>
                    <w:right w:w="28" w:type="dxa"/>
                  </w:tcMar>
                  <w:vAlign w:val="center"/>
                </w:tcPr>
                <w:p w14:paraId="524EBB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西南铝业供电，经厂内变压器以380V和220V为用电设施配电，满足项目用电需求</w:t>
                  </w:r>
                </w:p>
              </w:tc>
              <w:tc>
                <w:tcPr>
                  <w:tcW w:w="1102" w:type="dxa"/>
                  <w:tcBorders>
                    <w:tl2br w:val="nil"/>
                    <w:tr2bl w:val="nil"/>
                  </w:tcBorders>
                  <w:noWrap w:val="0"/>
                  <w:tcMar>
                    <w:left w:w="28" w:type="dxa"/>
                    <w:right w:w="28" w:type="dxa"/>
                  </w:tcMar>
                  <w:vAlign w:val="center"/>
                </w:tcPr>
                <w:p w14:paraId="387D02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bidi="ar"/>
                    </w:rPr>
                    <w:t>依托</w:t>
                  </w:r>
                </w:p>
              </w:tc>
            </w:tr>
            <w:tr w14:paraId="2BCD2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continue"/>
                  <w:tcBorders>
                    <w:tl2br w:val="nil"/>
                    <w:tr2bl w:val="nil"/>
                  </w:tcBorders>
                  <w:noWrap w:val="0"/>
                  <w:tcMar>
                    <w:left w:w="28" w:type="dxa"/>
                    <w:right w:w="28" w:type="dxa"/>
                  </w:tcMar>
                  <w:vAlign w:val="center"/>
                </w:tcPr>
                <w:p w14:paraId="6E528D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479" w:type="dxa"/>
                  <w:tcBorders>
                    <w:tl2br w:val="nil"/>
                    <w:tr2bl w:val="nil"/>
                  </w:tcBorders>
                  <w:noWrap w:val="0"/>
                  <w:tcMar>
                    <w:left w:w="28" w:type="dxa"/>
                    <w:right w:w="28" w:type="dxa"/>
                  </w:tcMar>
                  <w:vAlign w:val="center"/>
                </w:tcPr>
                <w:p w14:paraId="703783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供气</w:t>
                  </w:r>
                </w:p>
              </w:tc>
              <w:tc>
                <w:tcPr>
                  <w:tcW w:w="4779" w:type="dxa"/>
                  <w:tcBorders>
                    <w:tl2br w:val="nil"/>
                    <w:tr2bl w:val="nil"/>
                  </w:tcBorders>
                  <w:noWrap w:val="0"/>
                  <w:tcMar>
                    <w:left w:w="28" w:type="dxa"/>
                    <w:right w:w="28" w:type="dxa"/>
                  </w:tcMar>
                  <w:vAlign w:val="center"/>
                </w:tcPr>
                <w:p w14:paraId="635EFB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依托市政天然气管网</w:t>
                  </w:r>
                </w:p>
              </w:tc>
              <w:tc>
                <w:tcPr>
                  <w:tcW w:w="1102" w:type="dxa"/>
                  <w:tcBorders>
                    <w:tl2br w:val="nil"/>
                    <w:tr2bl w:val="nil"/>
                  </w:tcBorders>
                  <w:noWrap w:val="0"/>
                  <w:tcMar>
                    <w:left w:w="28" w:type="dxa"/>
                    <w:right w:w="28" w:type="dxa"/>
                  </w:tcMar>
                  <w:vAlign w:val="center"/>
                </w:tcPr>
                <w:p w14:paraId="7DA6EA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bCs/>
                      <w:color w:val="auto"/>
                      <w:sz w:val="22"/>
                      <w:szCs w:val="22"/>
                      <w:lang w:val="en-US" w:eastAsia="zh-CN" w:bidi="ar"/>
                    </w:rPr>
                    <w:t>依托</w:t>
                  </w:r>
                </w:p>
              </w:tc>
            </w:tr>
            <w:tr w14:paraId="5B031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continue"/>
                  <w:tcBorders>
                    <w:tl2br w:val="nil"/>
                    <w:tr2bl w:val="nil"/>
                  </w:tcBorders>
                  <w:noWrap w:val="0"/>
                  <w:tcMar>
                    <w:left w:w="28" w:type="dxa"/>
                    <w:right w:w="28" w:type="dxa"/>
                  </w:tcMar>
                  <w:vAlign w:val="center"/>
                </w:tcPr>
                <w:p w14:paraId="5BB0ED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479" w:type="dxa"/>
                  <w:tcBorders>
                    <w:tl2br w:val="nil"/>
                    <w:tr2bl w:val="nil"/>
                  </w:tcBorders>
                  <w:noWrap w:val="0"/>
                  <w:tcMar>
                    <w:left w:w="28" w:type="dxa"/>
                    <w:right w:w="28" w:type="dxa"/>
                  </w:tcMar>
                  <w:vAlign w:val="center"/>
                </w:tcPr>
                <w:p w14:paraId="7CC6E7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压缩空气</w:t>
                  </w:r>
                </w:p>
              </w:tc>
              <w:tc>
                <w:tcPr>
                  <w:tcW w:w="4779" w:type="dxa"/>
                  <w:tcBorders>
                    <w:tl2br w:val="nil"/>
                    <w:tr2bl w:val="nil"/>
                  </w:tcBorders>
                  <w:noWrap w:val="0"/>
                  <w:tcMar>
                    <w:left w:w="28" w:type="dxa"/>
                    <w:right w:w="28" w:type="dxa"/>
                  </w:tcMar>
                  <w:vAlign w:val="center"/>
                </w:tcPr>
                <w:p w14:paraId="11EB67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熔铸车间西侧空压机房内设置有</w:t>
                  </w:r>
                  <w:r>
                    <w:rPr>
                      <w:rFonts w:hint="default" w:ascii="Times New Roman" w:hAnsi="Times New Roman" w:eastAsia="宋体" w:cs="Times New Roman"/>
                      <w:color w:val="auto"/>
                      <w:kern w:val="0"/>
                      <w:sz w:val="22"/>
                      <w:szCs w:val="22"/>
                      <w:vertAlign w:val="baseline"/>
                      <w:lang w:val="en-US" w:eastAsia="zh-CN"/>
                    </w:rPr>
                    <w:t>2台</w:t>
                  </w:r>
                  <w:r>
                    <w:rPr>
                      <w:rFonts w:hint="default" w:ascii="Times New Roman" w:hAnsi="Times New Roman" w:eastAsia="宋体" w:cs="Times New Roman"/>
                      <w:color w:val="auto"/>
                      <w:kern w:val="0"/>
                      <w:sz w:val="22"/>
                      <w:szCs w:val="22"/>
                    </w:rPr>
                    <w:t>螺杆变频空压机</w:t>
                  </w:r>
                  <w:r>
                    <w:rPr>
                      <w:rFonts w:hint="default" w:ascii="Times New Roman" w:hAnsi="Times New Roman" w:eastAsia="宋体" w:cs="Times New Roman"/>
                      <w:color w:val="auto"/>
                      <w:sz w:val="22"/>
                      <w:szCs w:val="22"/>
                      <w:lang w:val="en-US" w:eastAsia="zh-CN"/>
                    </w:rPr>
                    <w:t>，</w:t>
                  </w:r>
                  <w:r>
                    <w:rPr>
                      <w:rFonts w:hint="default" w:ascii="Times New Roman" w:hAnsi="Times New Roman" w:eastAsia="宋体" w:cs="Times New Roman"/>
                      <w:color w:val="auto"/>
                      <w:kern w:val="0"/>
                      <w:sz w:val="22"/>
                      <w:szCs w:val="22"/>
                      <w:lang w:val="en-US" w:eastAsia="zh-CN"/>
                    </w:rPr>
                    <w:t>为熔炼炉提供压缩空气</w:t>
                  </w:r>
                </w:p>
              </w:tc>
              <w:tc>
                <w:tcPr>
                  <w:tcW w:w="1102" w:type="dxa"/>
                  <w:tcBorders>
                    <w:tl2br w:val="nil"/>
                    <w:tr2bl w:val="nil"/>
                  </w:tcBorders>
                  <w:noWrap w:val="0"/>
                  <w:tcMar>
                    <w:left w:w="28" w:type="dxa"/>
                    <w:right w:w="28" w:type="dxa"/>
                  </w:tcMar>
                  <w:vAlign w:val="center"/>
                </w:tcPr>
                <w:p w14:paraId="374593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2"/>
                      <w:szCs w:val="22"/>
                      <w:vertAlign w:val="baseline"/>
                      <w:lang w:val="en-US" w:eastAsia="zh-CN"/>
                    </w:rPr>
                  </w:pPr>
                  <w:r>
                    <w:rPr>
                      <w:rFonts w:hint="default" w:ascii="Times New Roman" w:hAnsi="Times New Roman" w:eastAsia="宋体" w:cs="Times New Roman"/>
                      <w:b w:val="0"/>
                      <w:bCs/>
                      <w:color w:val="auto"/>
                      <w:kern w:val="0"/>
                      <w:sz w:val="22"/>
                      <w:szCs w:val="22"/>
                      <w:vertAlign w:val="baseline"/>
                      <w:lang w:val="en-US" w:eastAsia="zh-CN"/>
                    </w:rPr>
                    <w:t>依托</w:t>
                  </w:r>
                </w:p>
              </w:tc>
            </w:tr>
            <w:tr w14:paraId="50FF6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continue"/>
                  <w:tcBorders>
                    <w:tl2br w:val="nil"/>
                    <w:tr2bl w:val="nil"/>
                  </w:tcBorders>
                  <w:noWrap w:val="0"/>
                  <w:tcMar>
                    <w:left w:w="28" w:type="dxa"/>
                    <w:right w:w="28" w:type="dxa"/>
                  </w:tcMar>
                  <w:vAlign w:val="center"/>
                </w:tcPr>
                <w:p w14:paraId="43A71A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479" w:type="dxa"/>
                  <w:tcBorders>
                    <w:tl2br w:val="nil"/>
                    <w:tr2bl w:val="nil"/>
                  </w:tcBorders>
                  <w:noWrap w:val="0"/>
                  <w:tcMar>
                    <w:left w:w="28" w:type="dxa"/>
                    <w:right w:w="28" w:type="dxa"/>
                  </w:tcMar>
                  <w:vAlign w:val="center"/>
                </w:tcPr>
                <w:p w14:paraId="2421FF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循环水冷却系统</w:t>
                  </w:r>
                </w:p>
              </w:tc>
              <w:tc>
                <w:tcPr>
                  <w:tcW w:w="4779" w:type="dxa"/>
                  <w:tcBorders>
                    <w:tl2br w:val="nil"/>
                    <w:tr2bl w:val="nil"/>
                  </w:tcBorders>
                  <w:noWrap w:val="0"/>
                  <w:tcMar>
                    <w:left w:w="28" w:type="dxa"/>
                    <w:right w:w="28" w:type="dxa"/>
                  </w:tcMar>
                  <w:vAlign w:val="center"/>
                </w:tcPr>
                <w:p w14:paraId="4E2992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设循环冷却系统2套，</w:t>
                  </w:r>
                  <w:r>
                    <w:rPr>
                      <w:rFonts w:hint="default" w:ascii="Times New Roman" w:hAnsi="Times New Roman" w:eastAsia="宋体" w:cs="Times New Roman"/>
                      <w:color w:val="auto"/>
                      <w:sz w:val="22"/>
                      <w:szCs w:val="22"/>
                    </w:rPr>
                    <w:t>16吨熔炼炉150m</w:t>
                  </w:r>
                  <w:r>
                    <w:rPr>
                      <w:rFonts w:hint="default" w:ascii="Times New Roman" w:hAnsi="Times New Roman" w:eastAsia="宋体" w:cs="Times New Roman"/>
                      <w:color w:val="auto"/>
                      <w:sz w:val="22"/>
                      <w:szCs w:val="22"/>
                      <w:vertAlign w:val="superscript"/>
                    </w:rPr>
                    <w:t>3</w:t>
                  </w:r>
                  <w:r>
                    <w:rPr>
                      <w:rFonts w:hint="default" w:ascii="Times New Roman" w:hAnsi="Times New Roman" w:eastAsia="宋体" w:cs="Times New Roman"/>
                      <w:color w:val="auto"/>
                      <w:sz w:val="22"/>
                      <w:szCs w:val="22"/>
                    </w:rPr>
                    <w:t>的循环水池2座和冷却塔1座</w:t>
                  </w:r>
                  <w:r>
                    <w:rPr>
                      <w:rFonts w:hint="default"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lang w:val="en-US" w:eastAsia="zh-CN"/>
                    </w:rPr>
                    <w:t>25t熔炼炉200m</w:t>
                  </w:r>
                  <w:r>
                    <w:rPr>
                      <w:rFonts w:hint="default" w:ascii="Times New Roman" w:hAnsi="Times New Roman" w:eastAsia="宋体" w:cs="Times New Roman"/>
                      <w:color w:val="auto"/>
                      <w:sz w:val="22"/>
                      <w:szCs w:val="22"/>
                      <w:vertAlign w:val="superscript"/>
                      <w:lang w:val="en-US" w:eastAsia="zh-CN"/>
                    </w:rPr>
                    <w:t>3</w:t>
                  </w:r>
                  <w:r>
                    <w:rPr>
                      <w:rFonts w:hint="default" w:ascii="Times New Roman" w:hAnsi="Times New Roman" w:eastAsia="宋体" w:cs="Times New Roman"/>
                      <w:color w:val="auto"/>
                      <w:sz w:val="22"/>
                      <w:szCs w:val="22"/>
                      <w:lang w:val="en-US" w:eastAsia="zh-CN"/>
                    </w:rPr>
                    <w:t>的循环水池1座和冷却塔1座</w:t>
                  </w:r>
                </w:p>
              </w:tc>
              <w:tc>
                <w:tcPr>
                  <w:tcW w:w="1102" w:type="dxa"/>
                  <w:tcBorders>
                    <w:tl2br w:val="nil"/>
                    <w:tr2bl w:val="nil"/>
                  </w:tcBorders>
                  <w:noWrap w:val="0"/>
                  <w:tcMar>
                    <w:left w:w="28" w:type="dxa"/>
                    <w:right w:w="28" w:type="dxa"/>
                  </w:tcMar>
                  <w:vAlign w:val="center"/>
                </w:tcPr>
                <w:p w14:paraId="1D023A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2"/>
                      <w:szCs w:val="22"/>
                      <w:vertAlign w:val="baseline"/>
                      <w:lang w:val="en-US" w:eastAsia="zh-CN"/>
                    </w:rPr>
                  </w:pPr>
                  <w:r>
                    <w:rPr>
                      <w:rFonts w:hint="default" w:ascii="Times New Roman" w:hAnsi="Times New Roman" w:eastAsia="宋体" w:cs="Times New Roman"/>
                      <w:b w:val="0"/>
                      <w:bCs/>
                      <w:color w:val="auto"/>
                      <w:kern w:val="0"/>
                      <w:sz w:val="22"/>
                      <w:szCs w:val="22"/>
                      <w:vertAlign w:val="baseline"/>
                      <w:lang w:val="en-US" w:eastAsia="zh-CN"/>
                    </w:rPr>
                    <w:t>依托</w:t>
                  </w:r>
                </w:p>
              </w:tc>
            </w:tr>
            <w:tr w14:paraId="769652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continue"/>
                  <w:tcBorders>
                    <w:tl2br w:val="nil"/>
                    <w:tr2bl w:val="nil"/>
                  </w:tcBorders>
                  <w:noWrap w:val="0"/>
                  <w:tcMar>
                    <w:left w:w="28" w:type="dxa"/>
                    <w:right w:w="28" w:type="dxa"/>
                  </w:tcMar>
                  <w:vAlign w:val="center"/>
                </w:tcPr>
                <w:p w14:paraId="2B298F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479" w:type="dxa"/>
                  <w:tcBorders>
                    <w:tl2br w:val="nil"/>
                    <w:tr2bl w:val="nil"/>
                  </w:tcBorders>
                  <w:noWrap w:val="0"/>
                  <w:tcMar>
                    <w:left w:w="28" w:type="dxa"/>
                    <w:right w:w="28" w:type="dxa"/>
                  </w:tcMar>
                  <w:vAlign w:val="center"/>
                </w:tcPr>
                <w:p w14:paraId="0EB2B5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sz w:val="22"/>
                      <w:szCs w:val="22"/>
                    </w:rPr>
                    <w:t>供氩系统</w:t>
                  </w:r>
                </w:p>
              </w:tc>
              <w:tc>
                <w:tcPr>
                  <w:tcW w:w="4779" w:type="dxa"/>
                  <w:tcBorders>
                    <w:tl2br w:val="nil"/>
                    <w:tr2bl w:val="nil"/>
                  </w:tcBorders>
                  <w:noWrap w:val="0"/>
                  <w:tcMar>
                    <w:left w:w="28" w:type="dxa"/>
                    <w:right w:w="28" w:type="dxa"/>
                  </w:tcMar>
                  <w:vAlign w:val="center"/>
                </w:tcPr>
                <w:p w14:paraId="4458C3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bidi="ar-SA"/>
                    </w:rPr>
                    <w:t>依托在熔铸车间外北侧</w:t>
                  </w:r>
                  <w:r>
                    <w:rPr>
                      <w:rFonts w:hint="default" w:ascii="Times New Roman" w:hAnsi="Times New Roman" w:eastAsia="宋体" w:cs="Times New Roman"/>
                      <w:color w:val="auto"/>
                      <w:sz w:val="22"/>
                      <w:szCs w:val="22"/>
                    </w:rPr>
                    <w:t>的</w:t>
                  </w:r>
                  <w:r>
                    <w:rPr>
                      <w:rFonts w:hint="default" w:ascii="Times New Roman" w:hAnsi="Times New Roman" w:eastAsia="宋体" w:cs="Times New Roman"/>
                      <w:color w:val="auto"/>
                      <w:sz w:val="22"/>
                      <w:szCs w:val="22"/>
                      <w:lang w:val="en-US" w:eastAsia="zh-CN"/>
                    </w:rPr>
                    <w:t>1个容积为5m</w:t>
                  </w:r>
                  <w:r>
                    <w:rPr>
                      <w:rFonts w:hint="default" w:ascii="Times New Roman" w:hAnsi="Times New Roman" w:eastAsia="宋体" w:cs="Times New Roman"/>
                      <w:color w:val="auto"/>
                      <w:sz w:val="22"/>
                      <w:szCs w:val="22"/>
                      <w:vertAlign w:val="superscript"/>
                      <w:lang w:val="en-US" w:eastAsia="zh-CN"/>
                    </w:rPr>
                    <w:t>3</w:t>
                  </w:r>
                  <w:r>
                    <w:rPr>
                      <w:rFonts w:hint="default" w:ascii="Times New Roman" w:hAnsi="Times New Roman" w:eastAsia="宋体" w:cs="Times New Roman"/>
                      <w:color w:val="auto"/>
                      <w:sz w:val="22"/>
                      <w:szCs w:val="22"/>
                      <w:lang w:val="en-US" w:eastAsia="zh-CN"/>
                    </w:rPr>
                    <w:t>的</w:t>
                  </w:r>
                  <w:r>
                    <w:rPr>
                      <w:rFonts w:hint="default" w:ascii="Times New Roman" w:hAnsi="Times New Roman" w:eastAsia="宋体" w:cs="Times New Roman"/>
                      <w:color w:val="auto"/>
                      <w:sz w:val="22"/>
                      <w:szCs w:val="22"/>
                    </w:rPr>
                    <w:t>氩气储罐</w:t>
                  </w:r>
                </w:p>
              </w:tc>
              <w:tc>
                <w:tcPr>
                  <w:tcW w:w="1102" w:type="dxa"/>
                  <w:tcBorders>
                    <w:tl2br w:val="nil"/>
                    <w:tr2bl w:val="nil"/>
                  </w:tcBorders>
                  <w:noWrap w:val="0"/>
                  <w:tcMar>
                    <w:left w:w="28" w:type="dxa"/>
                    <w:right w:w="28" w:type="dxa"/>
                  </w:tcMar>
                  <w:vAlign w:val="center"/>
                </w:tcPr>
                <w:p w14:paraId="58EDEF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2"/>
                      <w:szCs w:val="22"/>
                      <w:vertAlign w:val="baseline"/>
                      <w:lang w:val="en-US" w:eastAsia="zh-CN"/>
                    </w:rPr>
                  </w:pPr>
                  <w:r>
                    <w:rPr>
                      <w:rFonts w:hint="default" w:ascii="Times New Roman" w:hAnsi="Times New Roman" w:eastAsia="宋体" w:cs="Times New Roman"/>
                      <w:b w:val="0"/>
                      <w:bCs/>
                      <w:color w:val="auto"/>
                      <w:kern w:val="0"/>
                      <w:sz w:val="22"/>
                      <w:szCs w:val="22"/>
                      <w:vertAlign w:val="baseline"/>
                      <w:lang w:val="en-US" w:eastAsia="zh-CN"/>
                    </w:rPr>
                    <w:t>依托</w:t>
                  </w:r>
                </w:p>
              </w:tc>
            </w:tr>
            <w:tr w14:paraId="0B79F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restart"/>
                  <w:tcBorders>
                    <w:tl2br w:val="nil"/>
                    <w:tr2bl w:val="nil"/>
                  </w:tcBorders>
                  <w:noWrap w:val="0"/>
                  <w:tcMar>
                    <w:left w:w="28" w:type="dxa"/>
                    <w:right w:w="28" w:type="dxa"/>
                  </w:tcMar>
                  <w:vAlign w:val="center"/>
                </w:tcPr>
                <w:p w14:paraId="36A662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环保工程</w:t>
                  </w:r>
                </w:p>
              </w:tc>
              <w:tc>
                <w:tcPr>
                  <w:tcW w:w="1479" w:type="dxa"/>
                  <w:vMerge w:val="restart"/>
                  <w:tcBorders>
                    <w:tl2br w:val="nil"/>
                    <w:tr2bl w:val="nil"/>
                  </w:tcBorders>
                  <w:noWrap w:val="0"/>
                  <w:tcMar>
                    <w:left w:w="28" w:type="dxa"/>
                    <w:right w:w="28" w:type="dxa"/>
                  </w:tcMar>
                  <w:vAlign w:val="center"/>
                </w:tcPr>
                <w:p w14:paraId="591BF8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lang w:eastAsia="zh-CN"/>
                    </w:rPr>
                    <w:t>废气</w:t>
                  </w:r>
                </w:p>
              </w:tc>
              <w:tc>
                <w:tcPr>
                  <w:tcW w:w="4779" w:type="dxa"/>
                  <w:tcBorders>
                    <w:tl2br w:val="nil"/>
                    <w:tr2bl w:val="nil"/>
                  </w:tcBorders>
                  <w:noWrap w:val="0"/>
                  <w:tcMar>
                    <w:left w:w="28" w:type="dxa"/>
                    <w:right w:w="28" w:type="dxa"/>
                  </w:tcMar>
                  <w:vAlign w:val="center"/>
                </w:tcPr>
                <w:p w14:paraId="48F432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bidi="ar-SA"/>
                    </w:rPr>
                    <w:t>2个25吨熔炼炉废气和1个16吨熔炼炉废气收集后一并采用</w:t>
                  </w:r>
                  <w:r>
                    <w:rPr>
                      <w:rFonts w:hint="eastAsia" w:ascii="Times New Roman" w:hAnsi="Times New Roman" w:eastAsia="宋体" w:cs="Times New Roman"/>
                      <w:color w:val="auto"/>
                      <w:kern w:val="0"/>
                      <w:sz w:val="22"/>
                      <w:szCs w:val="22"/>
                      <w:vertAlign w:val="baseline"/>
                      <w:lang w:val="en-US" w:eastAsia="zh-CN" w:bidi="ar-SA"/>
                    </w:rPr>
                    <w:t>1#</w:t>
                  </w:r>
                  <w:r>
                    <w:rPr>
                      <w:rFonts w:hint="default" w:ascii="Times New Roman" w:hAnsi="Times New Roman" w:eastAsia="宋体" w:cs="Times New Roman"/>
                      <w:color w:val="auto"/>
                      <w:kern w:val="0"/>
                      <w:sz w:val="22"/>
                      <w:szCs w:val="22"/>
                      <w:vertAlign w:val="baseline"/>
                      <w:lang w:val="en-US" w:eastAsia="zh-CN" w:bidi="ar-SA"/>
                    </w:rPr>
                    <w:t>“旋风+布袋除尘器”处理后，依托现有21m高DA002排气筒排放</w:t>
                  </w:r>
                </w:p>
              </w:tc>
              <w:tc>
                <w:tcPr>
                  <w:tcW w:w="1102" w:type="dxa"/>
                  <w:tcBorders>
                    <w:tl2br w:val="nil"/>
                    <w:tr2bl w:val="nil"/>
                  </w:tcBorders>
                  <w:noWrap w:val="0"/>
                  <w:tcMar>
                    <w:left w:w="28" w:type="dxa"/>
                    <w:right w:w="28" w:type="dxa"/>
                  </w:tcMar>
                  <w:vAlign w:val="center"/>
                </w:tcPr>
                <w:p w14:paraId="58FF6F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2"/>
                      <w:szCs w:val="22"/>
                      <w:vertAlign w:val="baseline"/>
                      <w:lang w:val="en-US" w:eastAsia="zh-CN"/>
                    </w:rPr>
                  </w:pPr>
                  <w:r>
                    <w:rPr>
                      <w:rFonts w:hint="default" w:ascii="Times New Roman" w:hAnsi="Times New Roman" w:eastAsia="宋体" w:cs="Times New Roman"/>
                      <w:b w:val="0"/>
                      <w:bCs/>
                      <w:color w:val="auto"/>
                      <w:kern w:val="0"/>
                      <w:sz w:val="22"/>
                      <w:szCs w:val="22"/>
                      <w:vertAlign w:val="baseline"/>
                      <w:lang w:val="en-US" w:eastAsia="zh-CN"/>
                    </w:rPr>
                    <w:t>依托</w:t>
                  </w:r>
                </w:p>
              </w:tc>
            </w:tr>
            <w:tr w14:paraId="240F5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continue"/>
                  <w:tcBorders>
                    <w:tl2br w:val="nil"/>
                    <w:tr2bl w:val="nil"/>
                  </w:tcBorders>
                  <w:noWrap w:val="0"/>
                  <w:tcMar>
                    <w:left w:w="28" w:type="dxa"/>
                    <w:right w:w="28" w:type="dxa"/>
                  </w:tcMar>
                  <w:vAlign w:val="center"/>
                </w:tcPr>
                <w:p w14:paraId="03E9A9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479" w:type="dxa"/>
                  <w:vMerge w:val="continue"/>
                  <w:tcBorders>
                    <w:tl2br w:val="nil"/>
                    <w:tr2bl w:val="nil"/>
                  </w:tcBorders>
                  <w:noWrap w:val="0"/>
                  <w:tcMar>
                    <w:left w:w="28" w:type="dxa"/>
                    <w:right w:w="28" w:type="dxa"/>
                  </w:tcMar>
                  <w:vAlign w:val="center"/>
                </w:tcPr>
                <w:p w14:paraId="04A93B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rPr>
                  </w:pPr>
                </w:p>
              </w:tc>
              <w:tc>
                <w:tcPr>
                  <w:tcW w:w="4779" w:type="dxa"/>
                  <w:tcBorders>
                    <w:tl2br w:val="nil"/>
                    <w:tr2bl w:val="nil"/>
                  </w:tcBorders>
                  <w:noWrap w:val="0"/>
                  <w:tcMar>
                    <w:left w:w="28" w:type="dxa"/>
                    <w:right w:w="28" w:type="dxa"/>
                  </w:tcMar>
                  <w:vAlign w:val="center"/>
                </w:tcPr>
                <w:p w14:paraId="0EE207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bidi="ar-SA"/>
                    </w:rPr>
                    <w:t>2台均质炉废气经现有15m高DA004排气筒排放</w:t>
                  </w:r>
                </w:p>
              </w:tc>
              <w:tc>
                <w:tcPr>
                  <w:tcW w:w="1102" w:type="dxa"/>
                  <w:tcBorders>
                    <w:tl2br w:val="nil"/>
                    <w:tr2bl w:val="nil"/>
                  </w:tcBorders>
                  <w:noWrap w:val="0"/>
                  <w:tcMar>
                    <w:left w:w="28" w:type="dxa"/>
                    <w:right w:w="28" w:type="dxa"/>
                  </w:tcMar>
                  <w:vAlign w:val="center"/>
                </w:tcPr>
                <w:p w14:paraId="5FCA85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2"/>
                      <w:szCs w:val="22"/>
                      <w:vertAlign w:val="baseline"/>
                      <w:lang w:val="en-US" w:eastAsia="zh-CN"/>
                    </w:rPr>
                  </w:pPr>
                  <w:r>
                    <w:rPr>
                      <w:rFonts w:hint="default" w:ascii="Times New Roman" w:hAnsi="Times New Roman" w:eastAsia="宋体" w:cs="Times New Roman"/>
                      <w:b w:val="0"/>
                      <w:bCs/>
                      <w:color w:val="auto"/>
                      <w:kern w:val="0"/>
                      <w:sz w:val="22"/>
                      <w:szCs w:val="22"/>
                      <w:vertAlign w:val="baseline"/>
                      <w:lang w:val="en-US" w:eastAsia="zh-CN"/>
                    </w:rPr>
                    <w:t>依托</w:t>
                  </w:r>
                </w:p>
              </w:tc>
            </w:tr>
            <w:tr w14:paraId="6DCEC0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continue"/>
                  <w:tcBorders>
                    <w:tl2br w:val="nil"/>
                    <w:tr2bl w:val="nil"/>
                  </w:tcBorders>
                  <w:noWrap w:val="0"/>
                  <w:tcMar>
                    <w:left w:w="28" w:type="dxa"/>
                    <w:right w:w="28" w:type="dxa"/>
                  </w:tcMar>
                  <w:vAlign w:val="center"/>
                </w:tcPr>
                <w:p w14:paraId="538F2B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479" w:type="dxa"/>
                  <w:vMerge w:val="continue"/>
                  <w:tcBorders>
                    <w:tl2br w:val="nil"/>
                    <w:tr2bl w:val="nil"/>
                  </w:tcBorders>
                  <w:noWrap w:val="0"/>
                  <w:tcMar>
                    <w:left w:w="28" w:type="dxa"/>
                    <w:right w:w="28" w:type="dxa"/>
                  </w:tcMar>
                  <w:vAlign w:val="center"/>
                </w:tcPr>
                <w:p w14:paraId="6869C2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rPr>
                  </w:pPr>
                </w:p>
              </w:tc>
              <w:tc>
                <w:tcPr>
                  <w:tcW w:w="4779" w:type="dxa"/>
                  <w:tcBorders>
                    <w:tl2br w:val="nil"/>
                    <w:tr2bl w:val="nil"/>
                  </w:tcBorders>
                  <w:noWrap w:val="0"/>
                  <w:tcMar>
                    <w:left w:w="28" w:type="dxa"/>
                    <w:right w:w="28" w:type="dxa"/>
                  </w:tcMar>
                  <w:vAlign w:val="center"/>
                </w:tcPr>
                <w:p w14:paraId="1CBB04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eastAsia" w:ascii="Times New Roman" w:hAnsi="Times New Roman" w:eastAsia="宋体" w:cs="Times New Roman"/>
                      <w:color w:val="auto"/>
                      <w:kern w:val="0"/>
                      <w:sz w:val="22"/>
                      <w:szCs w:val="22"/>
                      <w:vertAlign w:val="baseline"/>
                      <w:lang w:val="en-US" w:eastAsia="zh-CN"/>
                    </w:rPr>
                    <w:t>铝回收装置废气经3#“重力沉降+低压脉冲袋式除尘器”处理后，由1根20m高DA003排气筒排放</w:t>
                  </w:r>
                </w:p>
              </w:tc>
              <w:tc>
                <w:tcPr>
                  <w:tcW w:w="1102" w:type="dxa"/>
                  <w:tcBorders>
                    <w:tl2br w:val="nil"/>
                    <w:tr2bl w:val="nil"/>
                  </w:tcBorders>
                  <w:noWrap w:val="0"/>
                  <w:tcMar>
                    <w:left w:w="28" w:type="dxa"/>
                    <w:right w:w="28" w:type="dxa"/>
                  </w:tcMar>
                  <w:vAlign w:val="center"/>
                </w:tcPr>
                <w:p w14:paraId="0F01BC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2"/>
                      <w:szCs w:val="22"/>
                      <w:vertAlign w:val="baseline"/>
                      <w:lang w:val="en-US" w:eastAsia="zh-CN"/>
                    </w:rPr>
                  </w:pPr>
                  <w:r>
                    <w:rPr>
                      <w:rFonts w:hint="eastAsia" w:ascii="Times New Roman" w:hAnsi="Times New Roman" w:eastAsia="宋体" w:cs="Times New Roman"/>
                      <w:b w:val="0"/>
                      <w:bCs/>
                      <w:color w:val="auto"/>
                      <w:kern w:val="0"/>
                      <w:sz w:val="22"/>
                      <w:szCs w:val="22"/>
                      <w:vertAlign w:val="baseline"/>
                      <w:lang w:val="en-US" w:eastAsia="zh-CN"/>
                    </w:rPr>
                    <w:t>依托</w:t>
                  </w:r>
                </w:p>
              </w:tc>
            </w:tr>
            <w:tr w14:paraId="1C83CD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continue"/>
                  <w:tcBorders>
                    <w:tl2br w:val="nil"/>
                    <w:tr2bl w:val="nil"/>
                  </w:tcBorders>
                  <w:noWrap w:val="0"/>
                  <w:tcMar>
                    <w:left w:w="28" w:type="dxa"/>
                    <w:right w:w="28" w:type="dxa"/>
                  </w:tcMar>
                  <w:vAlign w:val="center"/>
                </w:tcPr>
                <w:p w14:paraId="5989DA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479" w:type="dxa"/>
                  <w:tcBorders>
                    <w:tl2br w:val="nil"/>
                    <w:tr2bl w:val="nil"/>
                  </w:tcBorders>
                  <w:noWrap w:val="0"/>
                  <w:tcMar>
                    <w:left w:w="28" w:type="dxa"/>
                    <w:right w:w="28" w:type="dxa"/>
                  </w:tcMar>
                  <w:vAlign w:val="center"/>
                </w:tcPr>
                <w:p w14:paraId="270FA1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lang w:eastAsia="zh-CN"/>
                    </w:rPr>
                    <w:t>废水</w:t>
                  </w:r>
                </w:p>
              </w:tc>
              <w:tc>
                <w:tcPr>
                  <w:tcW w:w="4779" w:type="dxa"/>
                  <w:tcBorders>
                    <w:tl2br w:val="nil"/>
                    <w:tr2bl w:val="nil"/>
                  </w:tcBorders>
                  <w:noWrap w:val="0"/>
                  <w:tcMar>
                    <w:left w:w="28" w:type="dxa"/>
                    <w:right w:w="28" w:type="dxa"/>
                  </w:tcMar>
                  <w:vAlign w:val="center"/>
                </w:tcPr>
                <w:p w14:paraId="0E8346D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sz w:val="22"/>
                      <w:szCs w:val="22"/>
                      <w:lang w:val="en-US" w:eastAsia="zh-CN"/>
                    </w:rPr>
                    <w:t>本项目不产生生产废水，不新增生活污水。</w:t>
                  </w:r>
                  <w:r>
                    <w:rPr>
                      <w:rFonts w:hint="eastAsia" w:ascii="Times New Roman" w:hAnsi="Times New Roman" w:eastAsia="宋体" w:cs="Times New Roman"/>
                      <w:color w:val="auto"/>
                      <w:sz w:val="22"/>
                      <w:szCs w:val="22"/>
                      <w:lang w:val="en-US" w:eastAsia="zh-CN"/>
                    </w:rPr>
                    <w:t>厂区现有</w:t>
                  </w:r>
                  <w:r>
                    <w:rPr>
                      <w:rFonts w:hint="default" w:ascii="Times New Roman" w:hAnsi="Times New Roman" w:eastAsia="宋体" w:cs="Times New Roman"/>
                      <w:color w:val="auto"/>
                      <w:sz w:val="22"/>
                      <w:szCs w:val="22"/>
                    </w:rPr>
                    <w:t>员工洗手</w:t>
                  </w:r>
                  <w:r>
                    <w:rPr>
                      <w:rFonts w:hint="default" w:ascii="Times New Roman" w:hAnsi="Times New Roman" w:eastAsia="宋体" w:cs="Times New Roman"/>
                      <w:color w:val="auto"/>
                      <w:sz w:val="22"/>
                      <w:szCs w:val="22"/>
                      <w:lang w:val="en-US" w:eastAsia="zh-CN"/>
                    </w:rPr>
                    <w:t>废水经</w:t>
                  </w:r>
                  <w:r>
                    <w:rPr>
                      <w:rFonts w:hint="default" w:ascii="Times New Roman" w:hAnsi="Times New Roman" w:eastAsia="宋体" w:cs="Times New Roman"/>
                      <w:color w:val="auto"/>
                      <w:sz w:val="22"/>
                      <w:szCs w:val="22"/>
                    </w:rPr>
                    <w:t>隔油池（处理规模约1m</w:t>
                  </w:r>
                  <w:r>
                    <w:rPr>
                      <w:rFonts w:hint="default" w:ascii="Times New Roman" w:hAnsi="Times New Roman" w:eastAsia="宋体" w:cs="Times New Roman"/>
                      <w:color w:val="auto"/>
                      <w:sz w:val="22"/>
                      <w:szCs w:val="22"/>
                      <w:vertAlign w:val="superscript"/>
                    </w:rPr>
                    <w:t>3</w:t>
                  </w:r>
                  <w:r>
                    <w:rPr>
                      <w:rFonts w:hint="default" w:ascii="Times New Roman" w:hAnsi="Times New Roman" w:eastAsia="宋体" w:cs="Times New Roman"/>
                      <w:color w:val="auto"/>
                      <w:sz w:val="22"/>
                      <w:szCs w:val="22"/>
                    </w:rPr>
                    <w:t>/d）</w:t>
                  </w:r>
                  <w:r>
                    <w:rPr>
                      <w:rFonts w:hint="default" w:ascii="Times New Roman" w:hAnsi="Times New Roman" w:eastAsia="宋体" w:cs="Times New Roman"/>
                      <w:color w:val="auto"/>
                      <w:sz w:val="22"/>
                      <w:szCs w:val="22"/>
                      <w:lang w:val="en-US" w:eastAsia="zh-CN"/>
                    </w:rPr>
                    <w:t>处理后同其他</w:t>
                  </w:r>
                  <w:r>
                    <w:rPr>
                      <w:rFonts w:hint="default" w:ascii="Times New Roman" w:hAnsi="Times New Roman" w:eastAsia="宋体" w:cs="Times New Roman"/>
                      <w:color w:val="auto"/>
                      <w:sz w:val="22"/>
                      <w:szCs w:val="22"/>
                    </w:rPr>
                    <w:t>生活污水</w:t>
                  </w:r>
                  <w:r>
                    <w:rPr>
                      <w:rFonts w:hint="default" w:ascii="Times New Roman" w:hAnsi="Times New Roman" w:eastAsia="宋体" w:cs="Times New Roman"/>
                      <w:color w:val="auto"/>
                      <w:sz w:val="22"/>
                      <w:szCs w:val="22"/>
                      <w:lang w:val="en-US" w:eastAsia="zh-CN"/>
                    </w:rPr>
                    <w:t>一起汇至厂区生化池</w:t>
                  </w:r>
                  <w:r>
                    <w:rPr>
                      <w:rFonts w:hint="default" w:ascii="Times New Roman" w:hAnsi="Times New Roman" w:eastAsia="宋体" w:cs="Times New Roman"/>
                      <w:color w:val="auto"/>
                      <w:sz w:val="22"/>
                      <w:szCs w:val="22"/>
                    </w:rPr>
                    <w:t>（处理规模约1</w:t>
                  </w:r>
                  <w:r>
                    <w:rPr>
                      <w:rFonts w:hint="default" w:ascii="Times New Roman" w:hAnsi="Times New Roman" w:eastAsia="宋体" w:cs="Times New Roman"/>
                      <w:color w:val="auto"/>
                      <w:sz w:val="22"/>
                      <w:szCs w:val="22"/>
                      <w:lang w:val="en-US" w:eastAsia="zh-CN"/>
                    </w:rPr>
                    <w:t>0</w:t>
                  </w:r>
                  <w:r>
                    <w:rPr>
                      <w:rFonts w:hint="default" w:ascii="Times New Roman" w:hAnsi="Times New Roman" w:eastAsia="宋体" w:cs="Times New Roman"/>
                      <w:color w:val="auto"/>
                      <w:sz w:val="22"/>
                      <w:szCs w:val="22"/>
                    </w:rPr>
                    <w:t>m</w:t>
                  </w:r>
                  <w:r>
                    <w:rPr>
                      <w:rFonts w:hint="default" w:ascii="Times New Roman" w:hAnsi="Times New Roman" w:eastAsia="宋体" w:cs="Times New Roman"/>
                      <w:color w:val="auto"/>
                      <w:sz w:val="22"/>
                      <w:szCs w:val="22"/>
                      <w:vertAlign w:val="superscript"/>
                    </w:rPr>
                    <w:t>3</w:t>
                  </w:r>
                  <w:r>
                    <w:rPr>
                      <w:rFonts w:hint="default" w:ascii="Times New Roman" w:hAnsi="Times New Roman" w:eastAsia="宋体" w:cs="Times New Roman"/>
                      <w:color w:val="auto"/>
                      <w:sz w:val="22"/>
                      <w:szCs w:val="22"/>
                    </w:rPr>
                    <w:t>/d）处理达《污水综合排放标准》（GB8978-1996）三级标准后排入市政污水管网，最终经西彭城镇污水处理厂处理后排入桥头河</w:t>
                  </w:r>
                  <w:r>
                    <w:rPr>
                      <w:rFonts w:hint="default" w:ascii="Times New Roman" w:hAnsi="Times New Roman" w:eastAsia="宋体" w:cs="Times New Roman"/>
                      <w:color w:val="auto"/>
                      <w:sz w:val="22"/>
                      <w:szCs w:val="22"/>
                      <w:lang w:eastAsia="zh-CN"/>
                    </w:rPr>
                    <w:t>，</w:t>
                  </w:r>
                  <w:r>
                    <w:rPr>
                      <w:rFonts w:hint="default" w:ascii="Times New Roman" w:hAnsi="Times New Roman" w:eastAsia="宋体" w:cs="Times New Roman"/>
                      <w:bCs/>
                      <w:color w:val="auto"/>
                      <w:sz w:val="22"/>
                      <w:szCs w:val="22"/>
                      <w:lang w:val="en-US" w:eastAsia="zh-CN"/>
                    </w:rPr>
                    <w:t>最终汇入长江</w:t>
                  </w:r>
                </w:p>
              </w:tc>
              <w:tc>
                <w:tcPr>
                  <w:tcW w:w="1102" w:type="dxa"/>
                  <w:tcBorders>
                    <w:tl2br w:val="nil"/>
                    <w:tr2bl w:val="nil"/>
                  </w:tcBorders>
                  <w:noWrap w:val="0"/>
                  <w:tcMar>
                    <w:left w:w="28" w:type="dxa"/>
                    <w:right w:w="28" w:type="dxa"/>
                  </w:tcMar>
                  <w:vAlign w:val="center"/>
                </w:tcPr>
                <w:p w14:paraId="16162C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2"/>
                      <w:szCs w:val="22"/>
                      <w:vertAlign w:val="baseline"/>
                      <w:lang w:val="en-US" w:eastAsia="zh-CN"/>
                    </w:rPr>
                  </w:pPr>
                  <w:r>
                    <w:rPr>
                      <w:rFonts w:hint="eastAsia" w:ascii="Times New Roman" w:hAnsi="Times New Roman" w:eastAsia="宋体" w:cs="Times New Roman"/>
                      <w:b w:val="0"/>
                      <w:bCs/>
                      <w:color w:val="auto"/>
                      <w:kern w:val="0"/>
                      <w:sz w:val="22"/>
                      <w:szCs w:val="22"/>
                      <w:vertAlign w:val="baseline"/>
                      <w:lang w:val="en-US" w:eastAsia="zh-CN"/>
                    </w:rPr>
                    <w:t>/</w:t>
                  </w:r>
                </w:p>
              </w:tc>
            </w:tr>
            <w:tr w14:paraId="581620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continue"/>
                  <w:tcBorders>
                    <w:tl2br w:val="nil"/>
                    <w:tr2bl w:val="nil"/>
                  </w:tcBorders>
                  <w:noWrap w:val="0"/>
                  <w:tcMar>
                    <w:left w:w="28" w:type="dxa"/>
                    <w:right w:w="28" w:type="dxa"/>
                  </w:tcMar>
                  <w:vAlign w:val="center"/>
                </w:tcPr>
                <w:p w14:paraId="174BC8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479" w:type="dxa"/>
                  <w:vMerge w:val="restart"/>
                  <w:tcBorders>
                    <w:tl2br w:val="nil"/>
                    <w:tr2bl w:val="nil"/>
                  </w:tcBorders>
                  <w:noWrap w:val="0"/>
                  <w:tcMar>
                    <w:left w:w="28" w:type="dxa"/>
                    <w:right w:w="28" w:type="dxa"/>
                  </w:tcMar>
                  <w:vAlign w:val="center"/>
                </w:tcPr>
                <w:p w14:paraId="13D69C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lang w:eastAsia="zh-CN"/>
                    </w:rPr>
                    <w:t>固废</w:t>
                  </w:r>
                </w:p>
              </w:tc>
              <w:tc>
                <w:tcPr>
                  <w:tcW w:w="4779" w:type="dxa"/>
                  <w:tcBorders>
                    <w:tl2br w:val="nil"/>
                    <w:tr2bl w:val="nil"/>
                  </w:tcBorders>
                  <w:noWrap w:val="0"/>
                  <w:tcMar>
                    <w:left w:w="28" w:type="dxa"/>
                    <w:right w:w="28" w:type="dxa"/>
                  </w:tcMar>
                  <w:vAlign w:val="center"/>
                </w:tcPr>
                <w:p w14:paraId="50F97B3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Cs/>
                      <w:color w:val="auto"/>
                      <w:sz w:val="22"/>
                      <w:szCs w:val="22"/>
                      <w:lang w:val="en-US" w:eastAsia="zh-CN" w:bidi="ar"/>
                    </w:rPr>
                  </w:pPr>
                  <w:r>
                    <w:rPr>
                      <w:rFonts w:hint="default" w:ascii="Times New Roman" w:hAnsi="Times New Roman" w:eastAsia="宋体" w:cs="Times New Roman"/>
                      <w:color w:val="auto"/>
                      <w:kern w:val="0"/>
                      <w:sz w:val="22"/>
                      <w:szCs w:val="22"/>
                      <w:vertAlign w:val="baseline"/>
                      <w:lang w:val="en-US" w:eastAsia="zh-CN"/>
                    </w:rPr>
                    <w:t>一般固废：设置一般固废暂存间，</w:t>
                  </w:r>
                  <w:r>
                    <w:rPr>
                      <w:rFonts w:hint="default" w:ascii="Times New Roman" w:hAnsi="Times New Roman" w:eastAsia="宋体" w:cs="Times New Roman"/>
                      <w:bCs/>
                      <w:color w:val="auto"/>
                      <w:sz w:val="22"/>
                      <w:szCs w:val="22"/>
                      <w:lang w:val="en-US" w:eastAsia="zh-CN" w:bidi="ar"/>
                    </w:rPr>
                    <w:t>位于厂区北侧</w:t>
                  </w:r>
                  <w:r>
                    <w:rPr>
                      <w:rFonts w:hint="default" w:ascii="Times New Roman" w:hAnsi="Times New Roman" w:eastAsia="宋体" w:cs="Times New Roman"/>
                      <w:bCs/>
                      <w:color w:val="auto"/>
                      <w:sz w:val="22"/>
                      <w:szCs w:val="22"/>
                      <w:lang w:bidi="ar"/>
                    </w:rPr>
                    <w:t>，</w:t>
                  </w:r>
                  <w:r>
                    <w:rPr>
                      <w:rFonts w:hint="default" w:ascii="Times New Roman" w:hAnsi="Times New Roman" w:eastAsia="宋体" w:cs="Times New Roman"/>
                      <w:bCs/>
                      <w:color w:val="auto"/>
                      <w:sz w:val="22"/>
                      <w:szCs w:val="22"/>
                      <w:lang w:val="en-US" w:eastAsia="zh-CN" w:bidi="ar"/>
                    </w:rPr>
                    <w:t>占地</w:t>
                  </w:r>
                  <w:r>
                    <w:rPr>
                      <w:rFonts w:hint="default" w:ascii="Times New Roman" w:hAnsi="Times New Roman" w:eastAsia="宋体" w:cs="Times New Roman"/>
                      <w:bCs/>
                      <w:color w:val="auto"/>
                      <w:sz w:val="22"/>
                      <w:szCs w:val="22"/>
                      <w:lang w:bidi="ar"/>
                    </w:rPr>
                    <w:t>面积约</w:t>
                  </w:r>
                  <w:r>
                    <w:rPr>
                      <w:rFonts w:hint="default" w:ascii="Times New Roman" w:hAnsi="Times New Roman" w:eastAsia="宋体" w:cs="Times New Roman"/>
                      <w:bCs/>
                      <w:color w:val="auto"/>
                      <w:sz w:val="22"/>
                      <w:szCs w:val="22"/>
                      <w:lang w:val="en-US" w:eastAsia="zh-CN" w:bidi="ar"/>
                    </w:rPr>
                    <w:t>50</w:t>
                  </w:r>
                  <w:r>
                    <w:rPr>
                      <w:rFonts w:hint="default" w:ascii="Times New Roman" w:hAnsi="Times New Roman" w:eastAsia="宋体" w:cs="Times New Roman"/>
                      <w:bCs/>
                      <w:color w:val="auto"/>
                      <w:sz w:val="22"/>
                      <w:szCs w:val="22"/>
                      <w:lang w:bidi="ar"/>
                    </w:rPr>
                    <w:t>m</w:t>
                  </w:r>
                  <w:r>
                    <w:rPr>
                      <w:rFonts w:hint="default" w:ascii="Times New Roman" w:hAnsi="Times New Roman" w:eastAsia="宋体" w:cs="Times New Roman"/>
                      <w:bCs/>
                      <w:color w:val="auto"/>
                      <w:sz w:val="22"/>
                      <w:szCs w:val="22"/>
                      <w:vertAlign w:val="superscript"/>
                      <w:lang w:bidi="ar"/>
                    </w:rPr>
                    <w:t>2</w:t>
                  </w:r>
                  <w:r>
                    <w:rPr>
                      <w:rFonts w:hint="default" w:ascii="Times New Roman" w:hAnsi="Times New Roman" w:eastAsia="宋体" w:cs="Times New Roman"/>
                      <w:bCs/>
                      <w:color w:val="auto"/>
                      <w:sz w:val="22"/>
                      <w:szCs w:val="22"/>
                      <w:lang w:bidi="ar"/>
                    </w:rPr>
                    <w:t>，用于暂存一般固体废物</w:t>
                  </w:r>
                  <w:r>
                    <w:rPr>
                      <w:rFonts w:hint="eastAsia" w:ascii="Times New Roman" w:hAnsi="Times New Roman" w:eastAsia="宋体" w:cs="Times New Roman"/>
                      <w:bCs/>
                      <w:color w:val="auto"/>
                      <w:sz w:val="22"/>
                      <w:szCs w:val="22"/>
                      <w:lang w:eastAsia="zh-CN" w:bidi="ar"/>
                    </w:rPr>
                    <w:t>；</w:t>
                  </w:r>
                </w:p>
              </w:tc>
              <w:tc>
                <w:tcPr>
                  <w:tcW w:w="1102" w:type="dxa"/>
                  <w:tcBorders>
                    <w:tl2br w:val="nil"/>
                    <w:tr2bl w:val="nil"/>
                  </w:tcBorders>
                  <w:noWrap w:val="0"/>
                  <w:tcMar>
                    <w:left w:w="28" w:type="dxa"/>
                    <w:right w:w="28" w:type="dxa"/>
                  </w:tcMar>
                  <w:vAlign w:val="center"/>
                </w:tcPr>
                <w:p w14:paraId="36F965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2"/>
                      <w:szCs w:val="22"/>
                      <w:vertAlign w:val="baseline"/>
                      <w:lang w:val="en-US" w:eastAsia="zh-CN"/>
                    </w:rPr>
                  </w:pPr>
                  <w:r>
                    <w:rPr>
                      <w:rFonts w:hint="eastAsia" w:ascii="Times New Roman" w:hAnsi="Times New Roman" w:eastAsia="宋体" w:cs="Times New Roman"/>
                      <w:b w:val="0"/>
                      <w:bCs/>
                      <w:color w:val="auto"/>
                      <w:kern w:val="0"/>
                      <w:sz w:val="22"/>
                      <w:szCs w:val="22"/>
                      <w:vertAlign w:val="baseline"/>
                      <w:lang w:val="en-US" w:eastAsia="zh-CN"/>
                    </w:rPr>
                    <w:t>依托</w:t>
                  </w:r>
                </w:p>
              </w:tc>
            </w:tr>
            <w:tr w14:paraId="33BE24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continue"/>
                  <w:tcBorders>
                    <w:tl2br w:val="nil"/>
                    <w:tr2bl w:val="nil"/>
                  </w:tcBorders>
                  <w:noWrap w:val="0"/>
                  <w:tcMar>
                    <w:left w:w="28" w:type="dxa"/>
                    <w:right w:w="28" w:type="dxa"/>
                  </w:tcMar>
                  <w:vAlign w:val="center"/>
                </w:tcPr>
                <w:p w14:paraId="1F3173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479" w:type="dxa"/>
                  <w:vMerge w:val="continue"/>
                  <w:tcBorders>
                    <w:tl2br w:val="nil"/>
                    <w:tr2bl w:val="nil"/>
                  </w:tcBorders>
                  <w:noWrap w:val="0"/>
                  <w:tcMar>
                    <w:left w:w="28" w:type="dxa"/>
                    <w:right w:w="28" w:type="dxa"/>
                  </w:tcMar>
                  <w:vAlign w:val="center"/>
                </w:tcPr>
                <w:p w14:paraId="0A770C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eastAsia="zh-CN"/>
                    </w:rPr>
                  </w:pPr>
                </w:p>
              </w:tc>
              <w:tc>
                <w:tcPr>
                  <w:tcW w:w="4779" w:type="dxa"/>
                  <w:tcBorders>
                    <w:tl2br w:val="nil"/>
                    <w:tr2bl w:val="nil"/>
                  </w:tcBorders>
                  <w:noWrap w:val="0"/>
                  <w:tcMar>
                    <w:left w:w="28" w:type="dxa"/>
                    <w:right w:w="28" w:type="dxa"/>
                  </w:tcMar>
                  <w:vAlign w:val="center"/>
                </w:tcPr>
                <w:p w14:paraId="6A4C8DC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危险废物：设置危废贮存库，</w:t>
                  </w:r>
                  <w:r>
                    <w:rPr>
                      <w:rFonts w:hint="default" w:ascii="Times New Roman" w:hAnsi="Times New Roman" w:eastAsia="宋体" w:cs="Times New Roman"/>
                      <w:bCs/>
                      <w:color w:val="auto"/>
                      <w:sz w:val="22"/>
                      <w:szCs w:val="22"/>
                      <w:lang w:val="en-US" w:eastAsia="zh-CN" w:bidi="ar"/>
                    </w:rPr>
                    <w:t>位于厂区北侧，占地面积约200m</w:t>
                  </w:r>
                  <w:r>
                    <w:rPr>
                      <w:rFonts w:hint="default" w:ascii="Times New Roman" w:hAnsi="Times New Roman" w:eastAsia="宋体" w:cs="Times New Roman"/>
                      <w:bCs/>
                      <w:color w:val="auto"/>
                      <w:sz w:val="22"/>
                      <w:szCs w:val="22"/>
                      <w:vertAlign w:val="superscript"/>
                      <w:lang w:bidi="ar"/>
                    </w:rPr>
                    <w:t>2</w:t>
                  </w:r>
                  <w:r>
                    <w:rPr>
                      <w:rFonts w:hint="default" w:ascii="Times New Roman" w:hAnsi="Times New Roman" w:eastAsia="宋体" w:cs="Times New Roman"/>
                      <w:bCs/>
                      <w:color w:val="auto"/>
                      <w:sz w:val="22"/>
                      <w:szCs w:val="22"/>
                      <w:lang w:bidi="ar"/>
                    </w:rPr>
                    <w:t>，</w:t>
                  </w:r>
                  <w:r>
                    <w:rPr>
                      <w:rFonts w:hint="default" w:ascii="Times New Roman" w:hAnsi="Times New Roman" w:eastAsia="宋体" w:cs="Times New Roman"/>
                      <w:bCs/>
                      <w:color w:val="auto"/>
                      <w:sz w:val="22"/>
                      <w:szCs w:val="22"/>
                      <w:lang w:val="en-US" w:eastAsia="zh-CN" w:bidi="ar"/>
                    </w:rPr>
                    <w:t>用于暂存危险废物。</w:t>
                  </w:r>
                  <w:r>
                    <w:rPr>
                      <w:rFonts w:hint="default" w:ascii="Times New Roman" w:hAnsi="Times New Roman" w:eastAsia="宋体" w:cs="Times New Roman"/>
                      <w:color w:val="auto"/>
                      <w:kern w:val="0"/>
                      <w:sz w:val="22"/>
                      <w:szCs w:val="22"/>
                      <w:vertAlign w:val="baseline"/>
                      <w:lang w:val="en-US" w:eastAsia="zh-CN"/>
                    </w:rPr>
                    <w:t>危废贮存库按照《危险废物贮存污染控制标准》（GB18597-2023）相关要求设置，采取了防风、防雨、防晒、防渗、防漏、防腐处置，液态危险废物贮存设施下方设置托盘</w:t>
                  </w:r>
                  <w:r>
                    <w:rPr>
                      <w:rFonts w:hint="eastAsia" w:ascii="Times New Roman" w:hAnsi="Times New Roman" w:eastAsia="宋体" w:cs="Times New Roman"/>
                      <w:color w:val="auto"/>
                      <w:kern w:val="0"/>
                      <w:sz w:val="22"/>
                      <w:szCs w:val="22"/>
                      <w:vertAlign w:val="baseline"/>
                      <w:lang w:val="en-US" w:eastAsia="zh-CN"/>
                    </w:rPr>
                    <w:t>。</w:t>
                  </w:r>
                </w:p>
              </w:tc>
              <w:tc>
                <w:tcPr>
                  <w:tcW w:w="1102" w:type="dxa"/>
                  <w:tcBorders>
                    <w:tl2br w:val="nil"/>
                    <w:tr2bl w:val="nil"/>
                  </w:tcBorders>
                  <w:noWrap w:val="0"/>
                  <w:tcMar>
                    <w:left w:w="28" w:type="dxa"/>
                    <w:right w:w="28" w:type="dxa"/>
                  </w:tcMar>
                  <w:vAlign w:val="center"/>
                </w:tcPr>
                <w:p w14:paraId="13A6A5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2"/>
                      <w:szCs w:val="22"/>
                      <w:vertAlign w:val="baseline"/>
                      <w:lang w:val="en-US" w:eastAsia="zh-CN"/>
                    </w:rPr>
                  </w:pPr>
                  <w:r>
                    <w:rPr>
                      <w:rFonts w:hint="default" w:ascii="Times New Roman" w:hAnsi="Times New Roman" w:eastAsia="宋体" w:cs="Times New Roman"/>
                      <w:b w:val="0"/>
                      <w:bCs/>
                      <w:color w:val="auto"/>
                      <w:kern w:val="0"/>
                      <w:sz w:val="22"/>
                      <w:szCs w:val="22"/>
                      <w:vertAlign w:val="baseline"/>
                      <w:lang w:val="en-US" w:eastAsia="zh-CN"/>
                    </w:rPr>
                    <w:t>依托</w:t>
                  </w:r>
                </w:p>
              </w:tc>
            </w:tr>
            <w:tr w14:paraId="0D0914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continue"/>
                  <w:tcBorders>
                    <w:tl2br w:val="nil"/>
                    <w:tr2bl w:val="nil"/>
                  </w:tcBorders>
                  <w:noWrap w:val="0"/>
                  <w:tcMar>
                    <w:left w:w="28" w:type="dxa"/>
                    <w:right w:w="28" w:type="dxa"/>
                  </w:tcMar>
                  <w:vAlign w:val="center"/>
                </w:tcPr>
                <w:p w14:paraId="626567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479" w:type="dxa"/>
                  <w:vMerge w:val="continue"/>
                  <w:tcBorders>
                    <w:tl2br w:val="nil"/>
                    <w:tr2bl w:val="nil"/>
                  </w:tcBorders>
                  <w:noWrap w:val="0"/>
                  <w:tcMar>
                    <w:left w:w="28" w:type="dxa"/>
                    <w:right w:w="28" w:type="dxa"/>
                  </w:tcMar>
                  <w:vAlign w:val="center"/>
                </w:tcPr>
                <w:p w14:paraId="23CF79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eastAsia="zh-CN"/>
                    </w:rPr>
                  </w:pPr>
                </w:p>
              </w:tc>
              <w:tc>
                <w:tcPr>
                  <w:tcW w:w="4779" w:type="dxa"/>
                  <w:tcBorders>
                    <w:tl2br w:val="nil"/>
                    <w:tr2bl w:val="nil"/>
                  </w:tcBorders>
                  <w:noWrap w:val="0"/>
                  <w:tcMar>
                    <w:left w:w="28" w:type="dxa"/>
                    <w:right w:w="28" w:type="dxa"/>
                  </w:tcMar>
                  <w:vAlign w:val="center"/>
                </w:tcPr>
                <w:p w14:paraId="49B68C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生活垃圾：</w:t>
                  </w:r>
                  <w:r>
                    <w:rPr>
                      <w:rFonts w:hint="default" w:ascii="Times New Roman" w:hAnsi="Times New Roman" w:eastAsia="宋体" w:cs="Times New Roman"/>
                      <w:bCs/>
                      <w:color w:val="auto"/>
                      <w:sz w:val="22"/>
                      <w:szCs w:val="22"/>
                      <w:lang w:bidi="ar"/>
                    </w:rPr>
                    <w:t>设置垃圾收集桶，</w:t>
                  </w:r>
                  <w:r>
                    <w:rPr>
                      <w:rFonts w:hint="default" w:ascii="Times New Roman" w:hAnsi="Times New Roman" w:eastAsia="宋体" w:cs="Times New Roman"/>
                      <w:bCs/>
                      <w:color w:val="auto"/>
                      <w:sz w:val="22"/>
                      <w:szCs w:val="22"/>
                      <w:lang w:val="en-US" w:eastAsia="zh-CN" w:bidi="ar"/>
                    </w:rPr>
                    <w:t>位于办公楼。</w:t>
                  </w:r>
                  <w:r>
                    <w:rPr>
                      <w:rFonts w:hint="default" w:ascii="Times New Roman" w:hAnsi="Times New Roman" w:eastAsia="宋体" w:cs="Times New Roman"/>
                      <w:bCs/>
                      <w:color w:val="auto"/>
                      <w:sz w:val="22"/>
                      <w:szCs w:val="22"/>
                      <w:lang w:bidi="ar"/>
                    </w:rPr>
                    <w:t>生活垃圾经集中收集后交由环卫部门统一处理</w:t>
                  </w:r>
                </w:p>
              </w:tc>
              <w:tc>
                <w:tcPr>
                  <w:tcW w:w="1102" w:type="dxa"/>
                  <w:tcBorders>
                    <w:tl2br w:val="nil"/>
                    <w:tr2bl w:val="nil"/>
                  </w:tcBorders>
                  <w:noWrap w:val="0"/>
                  <w:tcMar>
                    <w:left w:w="28" w:type="dxa"/>
                    <w:right w:w="28" w:type="dxa"/>
                  </w:tcMar>
                  <w:vAlign w:val="center"/>
                </w:tcPr>
                <w:p w14:paraId="331651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2"/>
                      <w:szCs w:val="22"/>
                      <w:vertAlign w:val="baseline"/>
                      <w:lang w:val="en-US" w:eastAsia="zh-CN"/>
                    </w:rPr>
                  </w:pPr>
                  <w:r>
                    <w:rPr>
                      <w:rFonts w:hint="default" w:ascii="Times New Roman" w:hAnsi="Times New Roman" w:eastAsia="宋体" w:cs="Times New Roman"/>
                      <w:b w:val="0"/>
                      <w:bCs/>
                      <w:color w:val="auto"/>
                      <w:kern w:val="0"/>
                      <w:sz w:val="22"/>
                      <w:szCs w:val="22"/>
                      <w:vertAlign w:val="baseline"/>
                      <w:lang w:val="en-US" w:eastAsia="zh-CN"/>
                    </w:rPr>
                    <w:t>依托</w:t>
                  </w:r>
                </w:p>
              </w:tc>
            </w:tr>
            <w:tr w14:paraId="667CC9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continue"/>
                  <w:tcBorders>
                    <w:tl2br w:val="nil"/>
                    <w:tr2bl w:val="nil"/>
                  </w:tcBorders>
                  <w:noWrap w:val="0"/>
                  <w:tcMar>
                    <w:left w:w="28" w:type="dxa"/>
                    <w:right w:w="28" w:type="dxa"/>
                  </w:tcMar>
                  <w:vAlign w:val="center"/>
                </w:tcPr>
                <w:p w14:paraId="50A098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479" w:type="dxa"/>
                  <w:tcBorders>
                    <w:tl2br w:val="nil"/>
                    <w:tr2bl w:val="nil"/>
                  </w:tcBorders>
                  <w:noWrap w:val="0"/>
                  <w:tcMar>
                    <w:left w:w="28" w:type="dxa"/>
                    <w:right w:w="28" w:type="dxa"/>
                  </w:tcMar>
                  <w:vAlign w:val="center"/>
                </w:tcPr>
                <w:p w14:paraId="06FFD1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lang w:eastAsia="zh-CN"/>
                    </w:rPr>
                    <w:t>噪声</w:t>
                  </w:r>
                </w:p>
              </w:tc>
              <w:tc>
                <w:tcPr>
                  <w:tcW w:w="4779" w:type="dxa"/>
                  <w:tcBorders>
                    <w:tl2br w:val="nil"/>
                    <w:tr2bl w:val="nil"/>
                  </w:tcBorders>
                  <w:noWrap w:val="0"/>
                  <w:tcMar>
                    <w:left w:w="28" w:type="dxa"/>
                    <w:right w:w="28" w:type="dxa"/>
                  </w:tcMar>
                  <w:vAlign w:val="center"/>
                </w:tcPr>
                <w:p w14:paraId="336212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eastAsia" w:ascii="Times New Roman" w:hAnsi="Times New Roman" w:eastAsia="宋体" w:cs="Times New Roman"/>
                      <w:color w:val="auto"/>
                      <w:kern w:val="0"/>
                      <w:sz w:val="22"/>
                      <w:szCs w:val="22"/>
                      <w:vertAlign w:val="baseline"/>
                      <w:lang w:val="en-US" w:eastAsia="zh-CN" w:bidi="ar-SA"/>
                    </w:rPr>
                    <w:t>项目</w:t>
                  </w:r>
                  <w:r>
                    <w:rPr>
                      <w:rFonts w:hint="default" w:ascii="Times New Roman" w:hAnsi="Times New Roman" w:eastAsia="宋体" w:cs="Times New Roman"/>
                      <w:color w:val="auto"/>
                      <w:kern w:val="0"/>
                      <w:sz w:val="22"/>
                      <w:szCs w:val="22"/>
                      <w:vertAlign w:val="baseline"/>
                      <w:lang w:val="en-US" w:eastAsia="zh-CN" w:bidi="ar-SA"/>
                    </w:rPr>
                    <w:t>设备选用低噪环保设备，</w:t>
                  </w:r>
                  <w:r>
                    <w:rPr>
                      <w:rFonts w:hint="default" w:ascii="Times New Roman" w:hAnsi="Times New Roman" w:eastAsia="宋体" w:cs="Times New Roman"/>
                      <w:color w:val="auto"/>
                      <w:sz w:val="22"/>
                      <w:szCs w:val="22"/>
                    </w:rPr>
                    <w:t>机械设备定期保养维护</w:t>
                  </w:r>
                </w:p>
              </w:tc>
              <w:tc>
                <w:tcPr>
                  <w:tcW w:w="1102" w:type="dxa"/>
                  <w:tcBorders>
                    <w:tl2br w:val="nil"/>
                    <w:tr2bl w:val="nil"/>
                  </w:tcBorders>
                  <w:noWrap w:val="0"/>
                  <w:tcMar>
                    <w:left w:w="28" w:type="dxa"/>
                    <w:right w:w="28" w:type="dxa"/>
                  </w:tcMar>
                  <w:vAlign w:val="center"/>
                </w:tcPr>
                <w:p w14:paraId="474F1E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2"/>
                      <w:szCs w:val="22"/>
                      <w:vertAlign w:val="baseline"/>
                      <w:lang w:val="en-US" w:eastAsia="zh-CN"/>
                    </w:rPr>
                  </w:pPr>
                  <w:r>
                    <w:rPr>
                      <w:rFonts w:hint="eastAsia" w:ascii="Times New Roman" w:hAnsi="Times New Roman" w:eastAsia="宋体" w:cs="Times New Roman"/>
                      <w:b w:val="0"/>
                      <w:bCs/>
                      <w:color w:val="auto"/>
                      <w:kern w:val="0"/>
                      <w:sz w:val="22"/>
                      <w:szCs w:val="22"/>
                      <w:vertAlign w:val="baseline"/>
                      <w:lang w:val="en-US" w:eastAsia="zh-CN"/>
                    </w:rPr>
                    <w:t>/</w:t>
                  </w:r>
                </w:p>
              </w:tc>
            </w:tr>
            <w:tr w14:paraId="1162EF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continue"/>
                  <w:tcBorders>
                    <w:tl2br w:val="nil"/>
                    <w:tr2bl w:val="nil"/>
                  </w:tcBorders>
                  <w:noWrap w:val="0"/>
                  <w:tcMar>
                    <w:left w:w="28" w:type="dxa"/>
                    <w:right w:w="28" w:type="dxa"/>
                  </w:tcMar>
                  <w:vAlign w:val="center"/>
                </w:tcPr>
                <w:p w14:paraId="3E902F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479" w:type="dxa"/>
                  <w:vMerge w:val="restart"/>
                  <w:tcBorders>
                    <w:tl2br w:val="nil"/>
                    <w:tr2bl w:val="nil"/>
                  </w:tcBorders>
                  <w:noWrap w:val="0"/>
                  <w:tcMar>
                    <w:left w:w="28" w:type="dxa"/>
                    <w:right w:w="28" w:type="dxa"/>
                  </w:tcMar>
                  <w:vAlign w:val="center"/>
                </w:tcPr>
                <w:p w14:paraId="211642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lang w:eastAsia="zh-CN"/>
                    </w:rPr>
                    <w:t>环境风险</w:t>
                  </w:r>
                </w:p>
              </w:tc>
              <w:tc>
                <w:tcPr>
                  <w:tcW w:w="4779" w:type="dxa"/>
                  <w:tcBorders>
                    <w:tl2br w:val="nil"/>
                    <w:tr2bl w:val="nil"/>
                  </w:tcBorders>
                  <w:noWrap w:val="0"/>
                  <w:tcMar>
                    <w:left w:w="28" w:type="dxa"/>
                    <w:right w:w="28" w:type="dxa"/>
                  </w:tcMar>
                  <w:vAlign w:val="center"/>
                </w:tcPr>
                <w:p w14:paraId="541D6B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设置有</w:t>
                  </w:r>
                  <w:r>
                    <w:rPr>
                      <w:rFonts w:hint="default" w:ascii="Times New Roman" w:hAnsi="Times New Roman" w:eastAsia="宋体" w:cs="Times New Roman"/>
                      <w:color w:val="auto"/>
                      <w:sz w:val="22"/>
                      <w:szCs w:val="22"/>
                      <w:lang w:val="en-US" w:eastAsia="zh-CN"/>
                    </w:rPr>
                    <w:t>单独的油品库，建筑</w:t>
                  </w:r>
                  <w:r>
                    <w:rPr>
                      <w:rFonts w:hint="eastAsia" w:ascii="Times New Roman" w:hAnsi="Times New Roman" w:eastAsia="宋体" w:cs="Times New Roman"/>
                      <w:color w:val="auto"/>
                      <w:sz w:val="22"/>
                      <w:szCs w:val="22"/>
                      <w:lang w:val="en-US" w:eastAsia="zh-CN"/>
                    </w:rPr>
                    <w:t>面积</w:t>
                  </w:r>
                  <w:r>
                    <w:rPr>
                      <w:rFonts w:hint="default" w:ascii="Times New Roman" w:hAnsi="Times New Roman" w:eastAsia="宋体" w:cs="Times New Roman"/>
                      <w:color w:val="auto"/>
                      <w:sz w:val="22"/>
                      <w:szCs w:val="22"/>
                      <w:lang w:val="en-US" w:eastAsia="zh-CN"/>
                    </w:rPr>
                    <w:t>15m</w:t>
                  </w:r>
                  <w:r>
                    <w:rPr>
                      <w:rFonts w:hint="default" w:ascii="Times New Roman" w:hAnsi="Times New Roman" w:eastAsia="宋体" w:cs="Times New Roman"/>
                      <w:color w:val="auto"/>
                      <w:sz w:val="22"/>
                      <w:szCs w:val="22"/>
                      <w:vertAlign w:val="superscript"/>
                      <w:lang w:val="en-US" w:eastAsia="zh-CN"/>
                    </w:rPr>
                    <w:t>2</w:t>
                  </w:r>
                  <w:r>
                    <w:rPr>
                      <w:rFonts w:hint="default" w:ascii="Times New Roman" w:hAnsi="Times New Roman" w:eastAsia="宋体" w:cs="Times New Roman"/>
                      <w:color w:val="auto"/>
                      <w:sz w:val="22"/>
                      <w:szCs w:val="22"/>
                      <w:lang w:val="en-US" w:eastAsia="zh-CN"/>
                    </w:rPr>
                    <w:t>。油品库进行重点防渗处置，底部设置托盘</w:t>
                  </w:r>
                </w:p>
              </w:tc>
              <w:tc>
                <w:tcPr>
                  <w:tcW w:w="1102" w:type="dxa"/>
                  <w:tcBorders>
                    <w:tl2br w:val="nil"/>
                    <w:tr2bl w:val="nil"/>
                  </w:tcBorders>
                  <w:noWrap w:val="0"/>
                  <w:tcMar>
                    <w:left w:w="28" w:type="dxa"/>
                    <w:right w:w="28" w:type="dxa"/>
                  </w:tcMar>
                  <w:vAlign w:val="center"/>
                </w:tcPr>
                <w:p w14:paraId="169A2E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2"/>
                      <w:szCs w:val="22"/>
                      <w:vertAlign w:val="baseline"/>
                      <w:lang w:val="en-US" w:eastAsia="zh-CN"/>
                    </w:rPr>
                  </w:pPr>
                  <w:r>
                    <w:rPr>
                      <w:rFonts w:hint="eastAsia" w:ascii="Times New Roman" w:hAnsi="Times New Roman" w:eastAsia="宋体" w:cs="Times New Roman"/>
                      <w:b w:val="0"/>
                      <w:bCs/>
                      <w:color w:val="auto"/>
                      <w:kern w:val="0"/>
                      <w:sz w:val="22"/>
                      <w:szCs w:val="22"/>
                      <w:vertAlign w:val="baseline"/>
                      <w:lang w:val="en-US" w:eastAsia="zh-CN"/>
                    </w:rPr>
                    <w:t>/</w:t>
                  </w:r>
                </w:p>
              </w:tc>
            </w:tr>
            <w:tr w14:paraId="5AFAF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01" w:type="dxa"/>
                  <w:vMerge w:val="continue"/>
                  <w:tcBorders>
                    <w:tl2br w:val="nil"/>
                    <w:tr2bl w:val="nil"/>
                  </w:tcBorders>
                  <w:noWrap w:val="0"/>
                  <w:tcMar>
                    <w:left w:w="28" w:type="dxa"/>
                    <w:right w:w="28" w:type="dxa"/>
                  </w:tcMar>
                  <w:vAlign w:val="center"/>
                </w:tcPr>
                <w:p w14:paraId="19B1A2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479" w:type="dxa"/>
                  <w:vMerge w:val="continue"/>
                  <w:tcBorders>
                    <w:tl2br w:val="nil"/>
                    <w:tr2bl w:val="nil"/>
                  </w:tcBorders>
                  <w:noWrap w:val="0"/>
                  <w:tcMar>
                    <w:left w:w="28" w:type="dxa"/>
                    <w:right w:w="28" w:type="dxa"/>
                  </w:tcMar>
                  <w:vAlign w:val="center"/>
                </w:tcPr>
                <w:p w14:paraId="53490A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eastAsia="zh-CN"/>
                    </w:rPr>
                  </w:pPr>
                </w:p>
              </w:tc>
              <w:tc>
                <w:tcPr>
                  <w:tcW w:w="4779" w:type="dxa"/>
                  <w:tcBorders>
                    <w:tl2br w:val="nil"/>
                    <w:tr2bl w:val="nil"/>
                  </w:tcBorders>
                  <w:noWrap w:val="0"/>
                  <w:tcMar>
                    <w:left w:w="28" w:type="dxa"/>
                    <w:right w:w="28" w:type="dxa"/>
                  </w:tcMar>
                  <w:vAlign w:val="center"/>
                </w:tcPr>
                <w:p w14:paraId="139B3A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bidi="ar"/>
                    </w:rPr>
                    <w:t>天然气熔炼炉均设置有气体报警仪</w:t>
                  </w:r>
                </w:p>
              </w:tc>
              <w:tc>
                <w:tcPr>
                  <w:tcW w:w="1102" w:type="dxa"/>
                  <w:tcBorders>
                    <w:tl2br w:val="nil"/>
                    <w:tr2bl w:val="nil"/>
                  </w:tcBorders>
                  <w:noWrap w:val="0"/>
                  <w:tcMar>
                    <w:left w:w="28" w:type="dxa"/>
                    <w:right w:w="28" w:type="dxa"/>
                  </w:tcMar>
                  <w:vAlign w:val="center"/>
                </w:tcPr>
                <w:p w14:paraId="09CD82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2"/>
                      <w:szCs w:val="22"/>
                      <w:vertAlign w:val="baseline"/>
                      <w:lang w:val="en-US" w:eastAsia="zh-CN"/>
                    </w:rPr>
                  </w:pPr>
                  <w:r>
                    <w:rPr>
                      <w:rFonts w:hint="eastAsia" w:ascii="Times New Roman" w:hAnsi="Times New Roman" w:eastAsia="宋体" w:cs="Times New Roman"/>
                      <w:b w:val="0"/>
                      <w:bCs/>
                      <w:color w:val="auto"/>
                      <w:kern w:val="0"/>
                      <w:sz w:val="22"/>
                      <w:szCs w:val="22"/>
                      <w:vertAlign w:val="baseline"/>
                      <w:lang w:val="en-US" w:eastAsia="zh-CN"/>
                    </w:rPr>
                    <w:t>/</w:t>
                  </w:r>
                </w:p>
              </w:tc>
            </w:tr>
          </w:tbl>
          <w:p w14:paraId="1D8287E3">
            <w:pPr>
              <w:keepNext w:val="0"/>
              <w:keepLines w:val="0"/>
              <w:pageBreakBefore w:val="0"/>
              <w:widowControl w:val="0"/>
              <w:kinsoku/>
              <w:wordWrap/>
              <w:overflowPunct/>
              <w:topLinePunct w:val="0"/>
              <w:autoSpaceDE/>
              <w:autoSpaceDN/>
              <w:bidi w:val="0"/>
              <w:snapToGrid w:val="0"/>
              <w:spacing w:line="460" w:lineRule="exact"/>
              <w:textAlignment w:val="auto"/>
              <w:rPr>
                <w:rFonts w:hint="default" w:ascii="Times New Roman" w:hAnsi="Times New Roman" w:eastAsia="宋体" w:cs="Times New Roman"/>
                <w:color w:val="auto"/>
                <w:sz w:val="26"/>
                <w:szCs w:val="26"/>
                <w:highlight w:val="none"/>
                <w:lang w:val="en-US" w:eastAsia="zh-CN"/>
              </w:rPr>
            </w:pPr>
          </w:p>
          <w:p w14:paraId="31FE58D5">
            <w:pPr>
              <w:keepNext w:val="0"/>
              <w:keepLines w:val="0"/>
              <w:pageBreakBefore w:val="0"/>
              <w:widowControl w:val="0"/>
              <w:kinsoku/>
              <w:wordWrap/>
              <w:overflowPunct/>
              <w:topLinePunct w:val="0"/>
              <w:autoSpaceDE/>
              <w:autoSpaceDN/>
              <w:bidi w:val="0"/>
              <w:snapToGrid w:val="0"/>
              <w:spacing w:line="460" w:lineRule="exact"/>
              <w:textAlignment w:val="auto"/>
              <w:rPr>
                <w:rFonts w:hint="default" w:ascii="Times New Roman" w:hAnsi="Times New Roman" w:eastAsia="宋体" w:cs="Times New Roman"/>
                <w:color w:val="auto"/>
                <w:sz w:val="26"/>
                <w:szCs w:val="26"/>
                <w:highlight w:val="none"/>
                <w:lang w:val="en-US" w:eastAsia="zh-CN"/>
              </w:rPr>
            </w:pPr>
          </w:p>
        </w:tc>
      </w:tr>
    </w:tbl>
    <w:p w14:paraId="75D9E15D">
      <w:pPr>
        <w:pStyle w:val="20"/>
        <w:jc w:val="both"/>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0"/>
        <w:gridCol w:w="8520"/>
      </w:tblGrid>
      <w:tr w14:paraId="4D9A69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03" w:hRule="atLeast"/>
          <w:jc w:val="center"/>
        </w:trPr>
        <w:tc>
          <w:tcPr>
            <w:tcW w:w="540" w:type="dxa"/>
            <w:tcBorders>
              <w:tl2br w:val="nil"/>
              <w:tr2bl w:val="nil"/>
            </w:tcBorders>
            <w:noWrap w:val="0"/>
            <w:vAlign w:val="center"/>
          </w:tcPr>
          <w:p w14:paraId="0F34CB64">
            <w:pPr>
              <w:bidi w:val="0"/>
              <w:jc w:val="center"/>
              <w:rPr>
                <w:rFonts w:hint="default" w:ascii="Times New Roman" w:hAnsi="Times New Roman" w:eastAsia="黑体" w:cs="Times New Roman"/>
                <w:snapToGrid w:val="0"/>
                <w:color w:val="auto"/>
                <w:sz w:val="36"/>
                <w:szCs w:val="36"/>
                <w:vertAlign w:val="baseline"/>
              </w:rPr>
            </w:pPr>
            <w:r>
              <w:rPr>
                <w:rFonts w:hint="default" w:ascii="Times New Roman" w:hAnsi="Times New Roman" w:eastAsia="宋体" w:cs="Times New Roman"/>
                <w:color w:val="auto"/>
                <w:sz w:val="26"/>
                <w:szCs w:val="26"/>
                <w:lang w:val="en-US" w:eastAsia="zh-CN"/>
              </w:rPr>
              <w:t>建设内容</w:t>
            </w:r>
          </w:p>
        </w:tc>
        <w:tc>
          <w:tcPr>
            <w:tcW w:w="8520" w:type="dxa"/>
            <w:tcBorders>
              <w:tl2br w:val="nil"/>
              <w:tr2bl w:val="nil"/>
            </w:tcBorders>
            <w:noWrap w:val="0"/>
            <w:vAlign w:val="top"/>
          </w:tcPr>
          <w:p w14:paraId="7ECCFA41">
            <w:pPr>
              <w:keepNext w:val="0"/>
              <w:keepLines w:val="0"/>
              <w:pageBreakBefore w:val="0"/>
              <w:widowControl w:val="0"/>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b/>
                <w:bCs w:val="0"/>
                <w:color w:val="auto"/>
                <w:sz w:val="26"/>
                <w:szCs w:val="26"/>
              </w:rPr>
            </w:pPr>
            <w:r>
              <w:rPr>
                <w:rFonts w:hint="eastAsia" w:ascii="Times New Roman" w:hAnsi="Times New Roman" w:eastAsia="宋体" w:cs="Times New Roman"/>
                <w:b/>
                <w:bCs w:val="0"/>
                <w:color w:val="auto"/>
                <w:sz w:val="26"/>
                <w:szCs w:val="26"/>
                <w:lang w:val="en-US" w:eastAsia="zh-CN"/>
              </w:rPr>
              <w:t>2.4.1</w:t>
            </w:r>
            <w:r>
              <w:rPr>
                <w:rFonts w:hint="default" w:ascii="Times New Roman" w:hAnsi="Times New Roman" w:eastAsia="宋体" w:cs="Times New Roman"/>
                <w:b/>
                <w:bCs w:val="0"/>
                <w:color w:val="auto"/>
                <w:sz w:val="26"/>
                <w:szCs w:val="26"/>
              </w:rPr>
              <w:t>主体工程</w:t>
            </w:r>
          </w:p>
          <w:p w14:paraId="2AA1DB45">
            <w:pPr>
              <w:adjustRightInd w:val="0"/>
              <w:snapToGrid w:val="0"/>
              <w:spacing w:line="460" w:lineRule="exact"/>
              <w:ind w:firstLine="520" w:firstLineChars="200"/>
              <w:rPr>
                <w:rFonts w:hint="eastAsia" w:ascii="Times New Roman" w:hAnsi="Times New Roman" w:eastAsia="宋体" w:cs="Times New Roman"/>
                <w:color w:val="auto"/>
                <w:kern w:val="0"/>
                <w:sz w:val="26"/>
                <w:szCs w:val="26"/>
                <w:vertAlign w:val="baseline"/>
                <w:lang w:val="en-US" w:eastAsia="zh-CN"/>
              </w:rPr>
            </w:pPr>
            <w:r>
              <w:rPr>
                <w:rFonts w:hint="default" w:ascii="Times New Roman" w:hAnsi="Times New Roman" w:eastAsia="宋体" w:cs="Times New Roman"/>
                <w:color w:val="auto"/>
                <w:kern w:val="0"/>
                <w:sz w:val="26"/>
                <w:szCs w:val="26"/>
                <w:vertAlign w:val="baseline"/>
                <w:lang w:val="en-US" w:eastAsia="zh-CN"/>
              </w:rPr>
              <w:t>熔铸车间</w:t>
            </w:r>
            <w:r>
              <w:rPr>
                <w:rFonts w:hint="eastAsia" w:ascii="Times New Roman" w:hAnsi="Times New Roman" w:eastAsia="宋体" w:cs="Times New Roman"/>
                <w:color w:val="auto"/>
                <w:kern w:val="0"/>
                <w:sz w:val="26"/>
                <w:szCs w:val="26"/>
                <w:vertAlign w:val="baseline"/>
                <w:lang w:val="en-US" w:eastAsia="zh-CN"/>
              </w:rPr>
              <w:t>：厂区中部设置了一个熔铸车间，熔铸车间占地面积约11000m2，单层，1F约15m高。车间内设置2台25t熔炼炉及配套的1套铸造机，1台16t熔炼炉及配套的铸造机，本项目用纯铝液替代铝锭，提升产能，形成年产5.4万吨铝合金圆铸棒的规模。</w:t>
            </w:r>
          </w:p>
          <w:p w14:paraId="443DBE0B">
            <w:pPr>
              <w:adjustRightInd w:val="0"/>
              <w:snapToGrid w:val="0"/>
              <w:spacing w:line="460" w:lineRule="exact"/>
              <w:ind w:firstLine="520" w:firstLineChars="200"/>
              <w:rPr>
                <w:rFonts w:hint="eastAsia" w:ascii="Times New Roman" w:hAnsi="Times New Roman" w:eastAsia="宋体" w:cs="Times New Roman"/>
                <w:color w:val="auto"/>
                <w:kern w:val="0"/>
                <w:sz w:val="26"/>
                <w:szCs w:val="26"/>
                <w:vertAlign w:val="baseline"/>
                <w:lang w:val="en-US" w:eastAsia="zh-CN"/>
              </w:rPr>
            </w:pPr>
            <w:r>
              <w:rPr>
                <w:rFonts w:hint="eastAsia" w:ascii="Times New Roman" w:hAnsi="Times New Roman" w:eastAsia="宋体" w:cs="Times New Roman"/>
                <w:color w:val="auto"/>
                <w:kern w:val="0"/>
                <w:sz w:val="26"/>
                <w:szCs w:val="26"/>
                <w:vertAlign w:val="baseline"/>
                <w:lang w:val="en-US" w:eastAsia="zh-CN"/>
              </w:rPr>
              <w:t>铝回收装置车间：位于厂区北侧，内设1套铝回收装置。</w:t>
            </w:r>
          </w:p>
          <w:p w14:paraId="6F5218C7">
            <w:pPr>
              <w:keepNext w:val="0"/>
              <w:keepLines w:val="0"/>
              <w:pageBreakBefore w:val="0"/>
              <w:widowControl w:val="0"/>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b/>
                <w:bCs w:val="0"/>
                <w:color w:val="auto"/>
                <w:kern w:val="0"/>
                <w:sz w:val="26"/>
                <w:szCs w:val="26"/>
              </w:rPr>
            </w:pPr>
            <w:r>
              <w:rPr>
                <w:rFonts w:hint="eastAsia" w:ascii="Times New Roman" w:hAnsi="Times New Roman" w:eastAsia="宋体" w:cs="Times New Roman"/>
                <w:b/>
                <w:bCs w:val="0"/>
                <w:color w:val="auto"/>
                <w:sz w:val="26"/>
                <w:szCs w:val="26"/>
                <w:lang w:val="en-US" w:eastAsia="zh-CN"/>
              </w:rPr>
              <w:t>2.4.2辅助</w:t>
            </w:r>
            <w:r>
              <w:rPr>
                <w:rFonts w:hint="default" w:ascii="Times New Roman" w:hAnsi="Times New Roman" w:eastAsia="宋体" w:cs="Times New Roman"/>
                <w:b/>
                <w:bCs w:val="0"/>
                <w:color w:val="auto"/>
                <w:kern w:val="0"/>
                <w:sz w:val="26"/>
                <w:szCs w:val="26"/>
              </w:rPr>
              <w:t>工程</w:t>
            </w:r>
          </w:p>
          <w:p w14:paraId="22542A31">
            <w:pPr>
              <w:adjustRightInd w:val="0"/>
              <w:snapToGrid w:val="0"/>
              <w:spacing w:line="460" w:lineRule="exact"/>
              <w:ind w:firstLine="520" w:firstLineChars="200"/>
              <w:rPr>
                <w:rFonts w:hint="eastAsia" w:ascii="Times New Roman" w:hAnsi="Times New Roman" w:eastAsia="宋体" w:cs="Times New Roman"/>
                <w:color w:val="auto"/>
                <w:kern w:val="0"/>
                <w:sz w:val="26"/>
                <w:szCs w:val="26"/>
                <w:vertAlign w:val="baseline"/>
                <w:lang w:val="en-US" w:eastAsia="zh-CN"/>
              </w:rPr>
            </w:pPr>
            <w:r>
              <w:rPr>
                <w:rFonts w:hint="eastAsia" w:ascii="Times New Roman" w:hAnsi="Times New Roman" w:eastAsia="宋体" w:cs="Times New Roman"/>
                <w:color w:val="auto"/>
                <w:kern w:val="0"/>
                <w:sz w:val="26"/>
                <w:szCs w:val="26"/>
                <w:vertAlign w:val="baseline"/>
                <w:lang w:val="en-US" w:eastAsia="zh-CN"/>
              </w:rPr>
              <w:t>辅助工程主要涉及办公楼、机加工和均质区。</w:t>
            </w:r>
          </w:p>
          <w:p w14:paraId="56C0A4C3">
            <w:pPr>
              <w:adjustRightInd w:val="0"/>
              <w:snapToGrid w:val="0"/>
              <w:spacing w:line="460" w:lineRule="exact"/>
              <w:ind w:firstLine="520" w:firstLineChars="200"/>
              <w:rPr>
                <w:rFonts w:hint="eastAsia" w:ascii="Times New Roman" w:hAnsi="Times New Roman" w:eastAsia="宋体" w:cs="Times New Roman"/>
                <w:color w:val="auto"/>
                <w:kern w:val="0"/>
                <w:sz w:val="26"/>
                <w:szCs w:val="26"/>
                <w:vertAlign w:val="baseline"/>
                <w:lang w:val="en-US" w:eastAsia="zh-CN"/>
              </w:rPr>
            </w:pPr>
            <w:r>
              <w:rPr>
                <w:rFonts w:hint="eastAsia" w:ascii="Times New Roman" w:hAnsi="Times New Roman" w:eastAsia="宋体" w:cs="Times New Roman"/>
                <w:color w:val="auto"/>
                <w:kern w:val="0"/>
                <w:sz w:val="26"/>
                <w:szCs w:val="26"/>
                <w:vertAlign w:val="baseline"/>
                <w:lang w:val="en-US" w:eastAsia="zh-CN"/>
              </w:rPr>
              <w:t>本项目依托厂区现有办公楼，位于厂区东侧，占地面积约465m</w:t>
            </w:r>
            <w:r>
              <w:rPr>
                <w:rFonts w:hint="eastAsia" w:ascii="Times New Roman" w:hAnsi="Times New Roman" w:eastAsia="宋体" w:cs="Times New Roman"/>
                <w:color w:val="auto"/>
                <w:kern w:val="0"/>
                <w:sz w:val="26"/>
                <w:szCs w:val="26"/>
                <w:vertAlign w:val="superscript"/>
                <w:lang w:val="en-US" w:eastAsia="zh-CN"/>
              </w:rPr>
              <w:t>2</w:t>
            </w:r>
            <w:r>
              <w:rPr>
                <w:rFonts w:hint="eastAsia" w:ascii="Times New Roman" w:hAnsi="Times New Roman" w:eastAsia="宋体" w:cs="Times New Roman"/>
                <w:color w:val="auto"/>
                <w:kern w:val="0"/>
                <w:sz w:val="26"/>
                <w:szCs w:val="26"/>
                <w:vertAlign w:val="baseline"/>
                <w:lang w:val="en-US" w:eastAsia="zh-CN"/>
              </w:rPr>
              <w:t>，建筑面积1863m</w:t>
            </w:r>
            <w:r>
              <w:rPr>
                <w:rFonts w:hint="eastAsia" w:ascii="Times New Roman" w:hAnsi="Times New Roman" w:eastAsia="宋体" w:cs="Times New Roman"/>
                <w:color w:val="auto"/>
                <w:kern w:val="0"/>
                <w:sz w:val="26"/>
                <w:szCs w:val="26"/>
                <w:vertAlign w:val="superscript"/>
                <w:lang w:val="en-US" w:eastAsia="zh-CN"/>
              </w:rPr>
              <w:t>2</w:t>
            </w:r>
            <w:r>
              <w:rPr>
                <w:rFonts w:hint="eastAsia" w:ascii="Times New Roman" w:hAnsi="Times New Roman" w:eastAsia="宋体" w:cs="Times New Roman"/>
                <w:color w:val="auto"/>
                <w:kern w:val="0"/>
                <w:sz w:val="26"/>
                <w:szCs w:val="26"/>
                <w:vertAlign w:val="baseline"/>
                <w:lang w:val="en-US" w:eastAsia="zh-CN"/>
              </w:rPr>
              <w:t>，4F，砖混结构，提供人员办公、休息。</w:t>
            </w:r>
          </w:p>
          <w:p w14:paraId="12DB779A">
            <w:pPr>
              <w:adjustRightInd w:val="0"/>
              <w:snapToGrid w:val="0"/>
              <w:spacing w:line="460" w:lineRule="exact"/>
              <w:ind w:firstLine="520" w:firstLineChars="200"/>
              <w:rPr>
                <w:rFonts w:hint="eastAsia" w:ascii="Times New Roman" w:hAnsi="Times New Roman" w:eastAsia="宋体" w:cs="Times New Roman"/>
                <w:color w:val="auto"/>
                <w:kern w:val="0"/>
                <w:sz w:val="26"/>
                <w:szCs w:val="26"/>
                <w:vertAlign w:val="baseline"/>
                <w:lang w:val="en-US" w:eastAsia="zh-CN"/>
              </w:rPr>
            </w:pPr>
            <w:r>
              <w:rPr>
                <w:rFonts w:hint="eastAsia" w:ascii="Times New Roman" w:hAnsi="Times New Roman" w:eastAsia="宋体" w:cs="Times New Roman"/>
                <w:color w:val="auto"/>
                <w:kern w:val="0"/>
                <w:sz w:val="26"/>
                <w:szCs w:val="26"/>
                <w:vertAlign w:val="baseline"/>
                <w:lang w:val="en-US" w:eastAsia="zh-CN"/>
              </w:rPr>
              <w:t>本项目依托熔铸车间现有机加区域，位于熔铸车间南侧，主要设置有4台车床和4台锯床，主要用于铝棒后续的机加。</w:t>
            </w:r>
          </w:p>
          <w:p w14:paraId="01E853E3">
            <w:pPr>
              <w:adjustRightInd w:val="0"/>
              <w:snapToGrid w:val="0"/>
              <w:spacing w:line="460" w:lineRule="exact"/>
              <w:ind w:firstLine="520" w:firstLineChars="200"/>
              <w:rPr>
                <w:rFonts w:hint="default" w:ascii="Times New Roman" w:hAnsi="Times New Roman" w:eastAsia="宋体" w:cs="Times New Roman"/>
                <w:color w:val="auto"/>
                <w:kern w:val="0"/>
                <w:sz w:val="26"/>
                <w:szCs w:val="26"/>
                <w:vertAlign w:val="baseline"/>
                <w:lang w:val="en-US" w:eastAsia="zh-CN"/>
              </w:rPr>
            </w:pPr>
            <w:r>
              <w:rPr>
                <w:rFonts w:hint="eastAsia" w:ascii="Times New Roman" w:hAnsi="Times New Roman" w:eastAsia="宋体" w:cs="Times New Roman"/>
                <w:color w:val="auto"/>
                <w:kern w:val="0"/>
                <w:sz w:val="26"/>
                <w:szCs w:val="26"/>
                <w:vertAlign w:val="baseline"/>
                <w:lang w:val="en-US" w:eastAsia="zh-CN"/>
              </w:rPr>
              <w:t>本项目依托熔铸车间现有均质区，位于熔铸车间南侧，主要设置有2台均质炉。</w:t>
            </w:r>
          </w:p>
          <w:p w14:paraId="14ED655A">
            <w:pPr>
              <w:adjustRightInd w:val="0"/>
              <w:snapToGrid w:val="0"/>
              <w:spacing w:line="460" w:lineRule="exact"/>
              <w:jc w:val="left"/>
              <w:rPr>
                <w:rFonts w:hint="default"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lang w:val="en-US" w:eastAsia="zh-CN"/>
              </w:rPr>
              <w:t>2.4.3</w:t>
            </w:r>
            <w:r>
              <w:rPr>
                <w:rFonts w:hint="eastAsia" w:ascii="Times New Roman" w:hAnsi="Times New Roman" w:eastAsia="宋体" w:cs="Times New Roman"/>
                <w:b/>
                <w:bCs w:val="0"/>
                <w:color w:val="auto"/>
                <w:kern w:val="0"/>
                <w:sz w:val="26"/>
                <w:szCs w:val="26"/>
                <w:lang w:val="en-US" w:eastAsia="zh-CN"/>
              </w:rPr>
              <w:t>储运</w:t>
            </w:r>
            <w:r>
              <w:rPr>
                <w:rFonts w:hint="eastAsia" w:ascii="Times New Roman" w:hAnsi="Times New Roman" w:eastAsia="宋体" w:cs="Times New Roman"/>
                <w:b/>
                <w:bCs/>
                <w:color w:val="auto"/>
                <w:kern w:val="0"/>
                <w:sz w:val="26"/>
                <w:szCs w:val="26"/>
                <w:lang w:val="en-US" w:eastAsia="zh-CN"/>
              </w:rPr>
              <w:t>工程</w:t>
            </w:r>
          </w:p>
          <w:p w14:paraId="34C45C65">
            <w:pPr>
              <w:adjustRightInd w:val="0"/>
              <w:snapToGrid w:val="0"/>
              <w:spacing w:line="460" w:lineRule="exact"/>
              <w:ind w:firstLine="520" w:firstLineChars="200"/>
              <w:rPr>
                <w:rFonts w:hint="eastAsia" w:ascii="Times New Roman" w:hAnsi="Times New Roman" w:eastAsia="宋体" w:cs="Times New Roman"/>
                <w:color w:val="auto"/>
                <w:kern w:val="0"/>
                <w:sz w:val="26"/>
                <w:szCs w:val="26"/>
                <w:vertAlign w:val="baseline"/>
                <w:lang w:val="en-US" w:eastAsia="zh-CN"/>
              </w:rPr>
            </w:pPr>
            <w:r>
              <w:rPr>
                <w:rFonts w:hint="eastAsia" w:ascii="Times New Roman" w:hAnsi="Times New Roman" w:eastAsia="宋体" w:cs="Times New Roman"/>
                <w:color w:val="auto"/>
                <w:kern w:val="0"/>
                <w:sz w:val="26"/>
                <w:szCs w:val="26"/>
                <w:vertAlign w:val="baseline"/>
                <w:lang w:val="en-US" w:eastAsia="zh-CN"/>
              </w:rPr>
              <w:t>本项目储运工程包含原材料及成品区和油库。</w:t>
            </w:r>
          </w:p>
          <w:p w14:paraId="40046E9A">
            <w:pPr>
              <w:adjustRightInd w:val="0"/>
              <w:snapToGrid w:val="0"/>
              <w:spacing w:line="460" w:lineRule="exact"/>
              <w:ind w:firstLine="520" w:firstLineChars="200"/>
              <w:rPr>
                <w:rFonts w:hint="eastAsia" w:ascii="Times New Roman" w:hAnsi="Times New Roman" w:eastAsia="宋体" w:cs="Times New Roman"/>
                <w:color w:val="auto"/>
                <w:kern w:val="0"/>
                <w:sz w:val="26"/>
                <w:szCs w:val="26"/>
                <w:vertAlign w:val="baseline"/>
                <w:lang w:val="en-US" w:eastAsia="zh-CN"/>
              </w:rPr>
            </w:pPr>
            <w:r>
              <w:rPr>
                <w:rFonts w:hint="eastAsia" w:ascii="Times New Roman" w:hAnsi="Times New Roman" w:eastAsia="宋体" w:cs="Times New Roman"/>
                <w:color w:val="auto"/>
                <w:kern w:val="0"/>
                <w:sz w:val="26"/>
                <w:szCs w:val="26"/>
                <w:vertAlign w:val="baseline"/>
                <w:lang w:val="en-US" w:eastAsia="zh-CN"/>
              </w:rPr>
              <w:t>本项目依托熔铸车间中部现有的原材料及成品区，主要用于储存原料及成品，占地面积约800m</w:t>
            </w:r>
            <w:r>
              <w:rPr>
                <w:rFonts w:hint="eastAsia" w:ascii="Times New Roman" w:hAnsi="Times New Roman" w:eastAsia="宋体" w:cs="Times New Roman"/>
                <w:color w:val="auto"/>
                <w:kern w:val="0"/>
                <w:sz w:val="26"/>
                <w:szCs w:val="26"/>
                <w:vertAlign w:val="superscript"/>
                <w:lang w:val="en-US" w:eastAsia="zh-CN"/>
              </w:rPr>
              <w:t>2</w:t>
            </w:r>
            <w:r>
              <w:rPr>
                <w:rFonts w:hint="eastAsia" w:ascii="Times New Roman" w:hAnsi="Times New Roman" w:eastAsia="宋体" w:cs="Times New Roman"/>
                <w:color w:val="auto"/>
                <w:kern w:val="0"/>
                <w:sz w:val="26"/>
                <w:szCs w:val="26"/>
                <w:vertAlign w:val="baseline"/>
                <w:lang w:val="en-US" w:eastAsia="zh-CN"/>
              </w:rPr>
              <w:t>。</w:t>
            </w:r>
          </w:p>
          <w:p w14:paraId="11DFEDFD">
            <w:pPr>
              <w:adjustRightInd w:val="0"/>
              <w:snapToGrid w:val="0"/>
              <w:spacing w:line="460" w:lineRule="exact"/>
              <w:ind w:firstLine="520" w:firstLineChars="200"/>
              <w:rPr>
                <w:rFonts w:hint="default" w:ascii="Times New Roman" w:hAnsi="Times New Roman" w:eastAsia="宋体" w:cs="Times New Roman"/>
                <w:color w:val="auto"/>
                <w:kern w:val="0"/>
                <w:sz w:val="26"/>
                <w:szCs w:val="26"/>
                <w:vertAlign w:val="baseline"/>
                <w:lang w:val="en-US" w:eastAsia="zh-CN"/>
              </w:rPr>
            </w:pPr>
            <w:r>
              <w:rPr>
                <w:rFonts w:hint="eastAsia" w:ascii="Times New Roman" w:hAnsi="Times New Roman" w:eastAsia="宋体" w:cs="Times New Roman"/>
                <w:color w:val="auto"/>
                <w:kern w:val="0"/>
                <w:sz w:val="26"/>
                <w:szCs w:val="26"/>
                <w:vertAlign w:val="baseline"/>
                <w:lang w:val="en-US" w:eastAsia="zh-CN"/>
              </w:rPr>
              <w:t>本项目依托厂区东侧的现有油库，</w:t>
            </w:r>
            <w:r>
              <w:rPr>
                <w:rFonts w:hint="eastAsia" w:ascii="Times New Roman" w:hAnsi="Times New Roman" w:eastAsia="宋体" w:cs="Times New Roman"/>
                <w:b w:val="0"/>
                <w:bCs/>
                <w:color w:val="auto"/>
                <w:kern w:val="0"/>
                <w:sz w:val="26"/>
                <w:szCs w:val="26"/>
                <w:vertAlign w:val="baseline"/>
                <w:lang w:val="en-US" w:eastAsia="zh-CN"/>
              </w:rPr>
              <w:t>建筑面积15m</w:t>
            </w:r>
            <w:r>
              <w:rPr>
                <w:rFonts w:hint="eastAsia" w:ascii="Times New Roman" w:hAnsi="Times New Roman" w:eastAsia="宋体" w:cs="Times New Roman"/>
                <w:b w:val="0"/>
                <w:bCs/>
                <w:color w:val="auto"/>
                <w:kern w:val="0"/>
                <w:sz w:val="26"/>
                <w:szCs w:val="26"/>
                <w:vertAlign w:val="superscript"/>
                <w:lang w:val="en-US" w:eastAsia="zh-CN"/>
              </w:rPr>
              <w:t>2</w:t>
            </w:r>
            <w:r>
              <w:rPr>
                <w:rFonts w:hint="eastAsia" w:ascii="Times New Roman" w:hAnsi="Times New Roman" w:eastAsia="宋体" w:cs="Times New Roman"/>
                <w:b w:val="0"/>
                <w:bCs/>
                <w:color w:val="auto"/>
                <w:kern w:val="0"/>
                <w:sz w:val="26"/>
                <w:szCs w:val="26"/>
                <w:vertAlign w:val="baseline"/>
                <w:lang w:val="en-US" w:eastAsia="zh-CN"/>
              </w:rPr>
              <w:t>，暂存柴油、润滑油、切削液等油品。</w:t>
            </w:r>
          </w:p>
          <w:p w14:paraId="2A3A9D4B">
            <w:pPr>
              <w:adjustRightInd w:val="0"/>
              <w:snapToGrid w:val="0"/>
              <w:spacing w:line="460" w:lineRule="exact"/>
              <w:jc w:val="left"/>
              <w:rPr>
                <w:rFonts w:hint="default" w:ascii="Times New Roman" w:hAnsi="Times New Roman" w:eastAsia="宋体" w:cs="Times New Roman"/>
                <w:b/>
                <w:bCs/>
                <w:color w:val="auto"/>
                <w:kern w:val="0"/>
                <w:sz w:val="26"/>
                <w:szCs w:val="26"/>
              </w:rPr>
            </w:pPr>
            <w:r>
              <w:rPr>
                <w:rFonts w:hint="eastAsia" w:ascii="Times New Roman" w:hAnsi="Times New Roman" w:eastAsia="宋体" w:cs="Times New Roman"/>
                <w:b/>
                <w:bCs/>
                <w:color w:val="auto"/>
                <w:kern w:val="0"/>
                <w:sz w:val="26"/>
                <w:szCs w:val="26"/>
                <w:lang w:val="en-US" w:eastAsia="zh-CN"/>
              </w:rPr>
              <w:t>2.4.4</w:t>
            </w:r>
            <w:r>
              <w:rPr>
                <w:rFonts w:hint="default" w:ascii="Times New Roman" w:hAnsi="Times New Roman" w:eastAsia="宋体" w:cs="Times New Roman"/>
                <w:b/>
                <w:bCs/>
                <w:color w:val="auto"/>
                <w:kern w:val="0"/>
                <w:sz w:val="26"/>
                <w:szCs w:val="26"/>
              </w:rPr>
              <w:t>公用工程</w:t>
            </w:r>
          </w:p>
          <w:p w14:paraId="6668B5FA">
            <w:pPr>
              <w:adjustRightInd w:val="0"/>
              <w:snapToGrid w:val="0"/>
              <w:spacing w:line="460" w:lineRule="exact"/>
              <w:ind w:firstLine="520" w:firstLineChars="200"/>
              <w:jc w:val="left"/>
              <w:rPr>
                <w:rFonts w:hint="default" w:ascii="Times New Roman" w:hAnsi="Times New Roman" w:eastAsia="宋体" w:cs="Times New Roman"/>
                <w:bCs/>
                <w:color w:val="auto"/>
                <w:sz w:val="26"/>
                <w:szCs w:val="26"/>
                <w:lang w:val="en-US" w:eastAsia="zh-CN"/>
              </w:rPr>
            </w:pPr>
            <w:r>
              <w:rPr>
                <w:rFonts w:hint="eastAsia" w:ascii="Times New Roman" w:hAnsi="Times New Roman" w:eastAsia="宋体" w:cs="Times New Roman"/>
                <w:bCs/>
                <w:color w:val="auto"/>
                <w:sz w:val="26"/>
                <w:szCs w:val="26"/>
                <w:lang w:val="en-US" w:eastAsia="zh-CN"/>
              </w:rPr>
              <w:t>公用工程包含供水系统、排水系统、供电系统、供气系统、压缩空气、循环水冷却系统及供氩系统。</w:t>
            </w:r>
          </w:p>
          <w:p w14:paraId="5FA4D3D8">
            <w:pPr>
              <w:adjustRightInd w:val="0"/>
              <w:snapToGrid w:val="0"/>
              <w:spacing w:line="460" w:lineRule="exact"/>
              <w:ind w:firstLine="520" w:firstLineChars="200"/>
              <w:jc w:val="left"/>
              <w:rPr>
                <w:rFonts w:hint="default" w:ascii="Times New Roman" w:hAnsi="Times New Roman" w:eastAsia="宋体" w:cs="Times New Roman"/>
                <w:bCs/>
                <w:color w:val="auto"/>
                <w:sz w:val="26"/>
                <w:szCs w:val="26"/>
              </w:rPr>
            </w:pPr>
            <w:r>
              <w:rPr>
                <w:rFonts w:hint="eastAsia" w:ascii="Times New Roman" w:hAnsi="Times New Roman" w:eastAsia="宋体" w:cs="Times New Roman"/>
                <w:bCs/>
                <w:color w:val="auto"/>
                <w:sz w:val="26"/>
                <w:szCs w:val="26"/>
                <w:lang w:val="en-US" w:eastAsia="zh-CN"/>
              </w:rPr>
              <w:t>本项目依托厂区现有的西南铝专用</w:t>
            </w:r>
            <w:r>
              <w:rPr>
                <w:rFonts w:hint="default" w:ascii="Times New Roman" w:hAnsi="Times New Roman" w:eastAsia="宋体" w:cs="Times New Roman"/>
                <w:bCs/>
                <w:color w:val="auto"/>
                <w:sz w:val="26"/>
                <w:szCs w:val="26"/>
              </w:rPr>
              <w:t>供水管网</w:t>
            </w:r>
            <w:r>
              <w:rPr>
                <w:rFonts w:hint="eastAsia" w:ascii="Times New Roman" w:hAnsi="Times New Roman" w:eastAsia="宋体" w:cs="Times New Roman"/>
                <w:bCs/>
                <w:color w:val="auto"/>
                <w:sz w:val="26"/>
                <w:szCs w:val="26"/>
                <w:lang w:val="en-US" w:eastAsia="zh-CN"/>
              </w:rPr>
              <w:t>、西南铝专用供电管网系统、市政天然气管网及排水系统等</w:t>
            </w:r>
            <w:r>
              <w:rPr>
                <w:rFonts w:hint="default" w:ascii="Times New Roman" w:hAnsi="Times New Roman" w:eastAsia="宋体" w:cs="Times New Roman"/>
                <w:bCs/>
                <w:color w:val="auto"/>
                <w:sz w:val="26"/>
                <w:szCs w:val="26"/>
              </w:rPr>
              <w:t>。</w:t>
            </w:r>
          </w:p>
          <w:p w14:paraId="78EADF73">
            <w:pPr>
              <w:adjustRightInd w:val="0"/>
              <w:snapToGrid w:val="0"/>
              <w:spacing w:line="460" w:lineRule="exact"/>
              <w:ind w:firstLine="520" w:firstLineChars="200"/>
              <w:jc w:val="left"/>
              <w:rPr>
                <w:rFonts w:hint="default" w:ascii="Times New Roman" w:hAnsi="Times New Roman" w:eastAsia="宋体" w:cs="Times New Roman"/>
                <w:bCs/>
                <w:color w:val="auto"/>
                <w:sz w:val="26"/>
                <w:szCs w:val="26"/>
                <w:lang w:val="en-US" w:eastAsia="zh-CN"/>
              </w:rPr>
            </w:pPr>
            <w:r>
              <w:rPr>
                <w:rFonts w:hint="eastAsia" w:ascii="Times New Roman" w:hAnsi="Times New Roman" w:eastAsia="宋体" w:cs="Times New Roman"/>
                <w:bCs/>
                <w:color w:val="auto"/>
                <w:sz w:val="26"/>
                <w:szCs w:val="26"/>
                <w:lang w:val="en-US" w:eastAsia="zh-CN"/>
              </w:rPr>
              <w:t>本项目依托空压机房内现有2台螺杆变频空压机，为熔炼炉提供压缩空气；依托现有循环冷却系统2套，16吨熔炼炉150m</w:t>
            </w:r>
            <w:r>
              <w:rPr>
                <w:rFonts w:hint="eastAsia" w:ascii="Times New Roman" w:hAnsi="Times New Roman" w:eastAsia="宋体" w:cs="Times New Roman"/>
                <w:bCs/>
                <w:color w:val="auto"/>
                <w:sz w:val="26"/>
                <w:szCs w:val="26"/>
                <w:vertAlign w:val="superscript"/>
                <w:lang w:val="en-US" w:eastAsia="zh-CN"/>
              </w:rPr>
              <w:t>3</w:t>
            </w:r>
            <w:r>
              <w:rPr>
                <w:rFonts w:hint="eastAsia" w:ascii="Times New Roman" w:hAnsi="Times New Roman" w:eastAsia="宋体" w:cs="Times New Roman"/>
                <w:bCs/>
                <w:color w:val="auto"/>
                <w:sz w:val="26"/>
                <w:szCs w:val="26"/>
                <w:lang w:val="en-US" w:eastAsia="zh-CN"/>
              </w:rPr>
              <w:t>的循环水池2座和冷却塔1座，25t熔炼炉200m</w:t>
            </w:r>
            <w:r>
              <w:rPr>
                <w:rFonts w:hint="eastAsia" w:ascii="Times New Roman" w:hAnsi="Times New Roman" w:eastAsia="宋体" w:cs="Times New Roman"/>
                <w:bCs/>
                <w:color w:val="auto"/>
                <w:sz w:val="26"/>
                <w:szCs w:val="26"/>
                <w:vertAlign w:val="superscript"/>
                <w:lang w:val="en-US" w:eastAsia="zh-CN"/>
              </w:rPr>
              <w:t>3</w:t>
            </w:r>
            <w:r>
              <w:rPr>
                <w:rFonts w:hint="eastAsia" w:ascii="Times New Roman" w:hAnsi="Times New Roman" w:eastAsia="宋体" w:cs="Times New Roman"/>
                <w:bCs/>
                <w:color w:val="auto"/>
                <w:sz w:val="26"/>
                <w:szCs w:val="26"/>
                <w:lang w:val="en-US" w:eastAsia="zh-CN"/>
              </w:rPr>
              <w:t>的循环水池1座和冷却塔1座；依托在熔铸车间外北侧的1个容积为5m</w:t>
            </w:r>
            <w:r>
              <w:rPr>
                <w:rFonts w:hint="eastAsia" w:ascii="Times New Roman" w:hAnsi="Times New Roman" w:eastAsia="宋体" w:cs="Times New Roman"/>
                <w:bCs/>
                <w:color w:val="auto"/>
                <w:sz w:val="26"/>
                <w:szCs w:val="26"/>
                <w:vertAlign w:val="superscript"/>
                <w:lang w:val="en-US" w:eastAsia="zh-CN"/>
              </w:rPr>
              <w:t>3</w:t>
            </w:r>
            <w:r>
              <w:rPr>
                <w:rFonts w:hint="eastAsia" w:ascii="Times New Roman" w:hAnsi="Times New Roman" w:eastAsia="宋体" w:cs="Times New Roman"/>
                <w:bCs/>
                <w:color w:val="auto"/>
                <w:sz w:val="26"/>
                <w:szCs w:val="26"/>
                <w:lang w:val="en-US" w:eastAsia="zh-CN"/>
              </w:rPr>
              <w:t>的氩气储罐。</w:t>
            </w:r>
          </w:p>
          <w:p w14:paraId="240B62E6">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default" w:ascii="Times New Roman" w:hAnsi="Times New Roman" w:eastAsia="宋体" w:cs="Times New Roman"/>
                <w:b/>
                <w:bCs w:val="0"/>
                <w:color w:val="auto"/>
                <w:sz w:val="26"/>
                <w:szCs w:val="26"/>
              </w:rPr>
            </w:pPr>
            <w:r>
              <w:rPr>
                <w:rFonts w:hint="eastAsia" w:ascii="Times New Roman" w:hAnsi="Times New Roman" w:eastAsia="宋体" w:cs="Times New Roman"/>
                <w:b/>
                <w:bCs w:val="0"/>
                <w:color w:val="auto"/>
                <w:sz w:val="26"/>
                <w:szCs w:val="26"/>
                <w:lang w:val="en-US" w:eastAsia="zh-CN"/>
              </w:rPr>
              <w:t>2.4.5</w:t>
            </w:r>
            <w:r>
              <w:rPr>
                <w:rFonts w:hint="default" w:ascii="Times New Roman" w:hAnsi="Times New Roman" w:eastAsia="宋体" w:cs="Times New Roman"/>
                <w:b/>
                <w:bCs w:val="0"/>
                <w:color w:val="auto"/>
                <w:sz w:val="26"/>
                <w:szCs w:val="26"/>
              </w:rPr>
              <w:t>环保工程</w:t>
            </w:r>
          </w:p>
          <w:p w14:paraId="0C414847">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520" w:firstLineChars="200"/>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（1）</w:t>
            </w:r>
            <w:r>
              <w:rPr>
                <w:rFonts w:hint="default" w:ascii="Times New Roman" w:hAnsi="Times New Roman" w:eastAsia="宋体" w:cs="Times New Roman"/>
                <w:color w:val="auto"/>
                <w:sz w:val="26"/>
                <w:szCs w:val="26"/>
                <w:lang w:val="en-US" w:eastAsia="zh-CN"/>
              </w:rPr>
              <w:t>废气</w:t>
            </w:r>
            <w:r>
              <w:rPr>
                <w:rFonts w:hint="eastAsia" w:ascii="Times New Roman" w:hAnsi="Times New Roman" w:eastAsia="宋体" w:cs="Times New Roman"/>
                <w:color w:val="auto"/>
                <w:sz w:val="26"/>
                <w:szCs w:val="26"/>
                <w:lang w:val="en-US" w:eastAsia="zh-CN"/>
              </w:rPr>
              <w:t>处理设施</w:t>
            </w:r>
          </w:p>
          <w:p w14:paraId="5A6E84F7">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520" w:firstLineChars="200"/>
              <w:textAlignment w:val="auto"/>
              <w:rPr>
                <w:rFonts w:hint="eastAsia" w:ascii="Times New Roman" w:hAnsi="Times New Roman" w:eastAsia="宋体" w:cs="Times New Roman"/>
                <w:color w:val="auto"/>
                <w:sz w:val="26"/>
                <w:szCs w:val="26"/>
                <w:lang w:eastAsia="zh-CN"/>
              </w:rPr>
            </w:pPr>
            <w:r>
              <w:rPr>
                <w:rFonts w:hint="eastAsia" w:ascii="Times New Roman" w:hAnsi="Times New Roman" w:eastAsia="宋体" w:cs="Times New Roman"/>
                <w:color w:val="auto"/>
                <w:sz w:val="26"/>
                <w:szCs w:val="26"/>
                <w:lang w:val="en-US" w:eastAsia="zh-CN"/>
              </w:rPr>
              <w:t>① 2个25吨熔炼炉废气和1个16吨熔炼炉废气收集后一并采用“旋风+布袋除尘器”处理后，依托现有21m高DA002排气筒排放</w:t>
            </w:r>
            <w:r>
              <w:rPr>
                <w:rFonts w:hint="eastAsia" w:ascii="Times New Roman" w:hAnsi="Times New Roman" w:eastAsia="宋体" w:cs="Times New Roman"/>
                <w:color w:val="auto"/>
                <w:sz w:val="26"/>
                <w:szCs w:val="26"/>
                <w:lang w:eastAsia="zh-CN"/>
              </w:rPr>
              <w:t>；</w:t>
            </w:r>
          </w:p>
          <w:p w14:paraId="760B65E0">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520" w:firstLineChars="200"/>
              <w:textAlignment w:val="auto"/>
              <w:rPr>
                <w:rFonts w:hint="eastAsia" w:ascii="Times New Roman" w:hAnsi="Times New Roman" w:eastAsia="宋体" w:cs="Times New Roman"/>
                <w:color w:val="auto"/>
                <w:sz w:val="26"/>
                <w:szCs w:val="26"/>
                <w:lang w:eastAsia="zh-CN"/>
              </w:rPr>
            </w:pPr>
            <w:r>
              <w:rPr>
                <w:rFonts w:hint="eastAsia" w:ascii="Times New Roman" w:hAnsi="Times New Roman" w:eastAsia="宋体" w:cs="Times New Roman"/>
                <w:color w:val="auto"/>
                <w:sz w:val="26"/>
                <w:szCs w:val="26"/>
                <w:lang w:val="en-US" w:eastAsia="zh-CN"/>
              </w:rPr>
              <w:t>② 2台均质炉废气一同经现有1根15m高排气筒排放</w:t>
            </w:r>
            <w:r>
              <w:rPr>
                <w:rFonts w:hint="eastAsia" w:ascii="Times New Roman" w:hAnsi="Times New Roman" w:eastAsia="宋体" w:cs="Times New Roman"/>
                <w:color w:val="auto"/>
                <w:sz w:val="26"/>
                <w:szCs w:val="26"/>
              </w:rPr>
              <w:t>（排气筒</w:t>
            </w:r>
            <w:r>
              <w:rPr>
                <w:rFonts w:hint="eastAsia" w:ascii="Times New Roman" w:hAnsi="Times New Roman" w:eastAsia="宋体" w:cs="Times New Roman"/>
                <w:color w:val="auto"/>
                <w:sz w:val="26"/>
                <w:szCs w:val="26"/>
                <w:lang w:val="en-US" w:eastAsia="zh-CN"/>
              </w:rPr>
              <w:t>编号</w:t>
            </w:r>
            <w:r>
              <w:rPr>
                <w:rFonts w:hint="eastAsia" w:ascii="Times New Roman" w:hAnsi="Times New Roman" w:eastAsia="宋体" w:cs="宋体"/>
                <w:color w:val="auto"/>
                <w:sz w:val="26"/>
                <w:szCs w:val="26"/>
              </w:rPr>
              <w:t>DA004</w:t>
            </w:r>
            <w:r>
              <w:rPr>
                <w:rFonts w:hint="eastAsia" w:ascii="Times New Roman" w:hAnsi="Times New Roman" w:eastAsia="宋体" w:cs="Times New Roman"/>
                <w:color w:val="auto"/>
                <w:sz w:val="26"/>
                <w:szCs w:val="26"/>
              </w:rPr>
              <w:t>）</w:t>
            </w:r>
            <w:r>
              <w:rPr>
                <w:rFonts w:hint="eastAsia" w:ascii="Times New Roman" w:hAnsi="Times New Roman" w:eastAsia="宋体" w:cs="Times New Roman"/>
                <w:color w:val="auto"/>
                <w:sz w:val="26"/>
                <w:szCs w:val="26"/>
                <w:lang w:eastAsia="zh-CN"/>
              </w:rPr>
              <w:t>；</w:t>
            </w:r>
          </w:p>
          <w:p w14:paraId="38DC18E0">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520" w:firstLineChars="200"/>
              <w:textAlignment w:val="auto"/>
              <w:rPr>
                <w:rFonts w:hint="eastAsia" w:ascii="Times New Roman" w:hAnsi="Times New Roman" w:eastAsia="宋体" w:cs="Times New Roman"/>
                <w:color w:val="auto"/>
                <w:sz w:val="26"/>
                <w:szCs w:val="26"/>
                <w:lang w:eastAsia="zh-CN"/>
              </w:rPr>
            </w:pPr>
            <w:r>
              <w:rPr>
                <w:rFonts w:hint="eastAsia" w:ascii="Times New Roman" w:hAnsi="Times New Roman" w:eastAsia="宋体" w:cs="Times New Roman"/>
                <w:color w:val="auto"/>
                <w:sz w:val="26"/>
                <w:szCs w:val="26"/>
                <w:lang w:val="en-US" w:eastAsia="zh-CN"/>
              </w:rPr>
              <w:fldChar w:fldCharType="begin"/>
            </w:r>
            <w:r>
              <w:rPr>
                <w:rFonts w:hint="eastAsia" w:ascii="Times New Roman" w:hAnsi="Times New Roman" w:eastAsia="宋体" w:cs="Times New Roman"/>
                <w:color w:val="auto"/>
                <w:sz w:val="26"/>
                <w:szCs w:val="26"/>
                <w:lang w:val="en-US" w:eastAsia="zh-CN"/>
              </w:rPr>
              <w:instrText xml:space="preserve"> = 3 \* GB3 \* MERGEFORMAT </w:instrText>
            </w:r>
            <w:r>
              <w:rPr>
                <w:rFonts w:hint="eastAsia" w:ascii="Times New Roman" w:hAnsi="Times New Roman" w:eastAsia="宋体" w:cs="Times New Roman"/>
                <w:color w:val="auto"/>
                <w:sz w:val="26"/>
                <w:szCs w:val="26"/>
                <w:lang w:val="en-US" w:eastAsia="zh-CN"/>
              </w:rPr>
              <w:fldChar w:fldCharType="separate"/>
            </w:r>
            <w:r>
              <w:rPr>
                <w:color w:val="auto"/>
                <w:sz w:val="26"/>
                <w:szCs w:val="26"/>
              </w:rPr>
              <w:t>③</w:t>
            </w:r>
            <w:r>
              <w:rPr>
                <w:rFonts w:hint="eastAsia" w:ascii="Times New Roman" w:hAnsi="Times New Roman" w:eastAsia="宋体" w:cs="Times New Roman"/>
                <w:color w:val="auto"/>
                <w:sz w:val="26"/>
                <w:szCs w:val="26"/>
                <w:lang w:val="en-US" w:eastAsia="zh-CN"/>
              </w:rPr>
              <w:fldChar w:fldCharType="end"/>
            </w:r>
            <w:r>
              <w:rPr>
                <w:rFonts w:hint="eastAsia" w:ascii="Times New Roman" w:hAnsi="Times New Roman" w:eastAsia="宋体" w:cs="Times New Roman"/>
                <w:color w:val="auto"/>
                <w:sz w:val="26"/>
                <w:szCs w:val="26"/>
                <w:lang w:val="en-US" w:eastAsia="zh-CN"/>
              </w:rPr>
              <w:t>回收装置废气经3#“重力沉降+低压脉冲袋式除尘器”处理后，由1根20m高DA003排气筒排放。</w:t>
            </w:r>
          </w:p>
          <w:p w14:paraId="0D79AA09">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lang w:val="en-US" w:eastAsia="zh-CN"/>
              </w:rPr>
              <w:t>（2）</w:t>
            </w:r>
            <w:r>
              <w:rPr>
                <w:rFonts w:hint="default" w:ascii="Times New Roman" w:hAnsi="Times New Roman" w:eastAsia="宋体" w:cs="Times New Roman"/>
                <w:color w:val="auto"/>
                <w:sz w:val="26"/>
                <w:szCs w:val="26"/>
              </w:rPr>
              <w:t>废水</w:t>
            </w:r>
            <w:r>
              <w:rPr>
                <w:rFonts w:hint="eastAsia" w:ascii="Times New Roman" w:hAnsi="Times New Roman" w:eastAsia="宋体" w:cs="Times New Roman"/>
                <w:color w:val="auto"/>
                <w:sz w:val="26"/>
                <w:szCs w:val="26"/>
                <w:lang w:val="en-US" w:eastAsia="zh-CN"/>
              </w:rPr>
              <w:t>处理设施</w:t>
            </w:r>
          </w:p>
          <w:p w14:paraId="23491AE9">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bCs/>
                <w:color w:val="auto"/>
                <w:sz w:val="26"/>
                <w:szCs w:val="26"/>
                <w:lang w:val="en-US" w:eastAsia="zh-CN"/>
              </w:rPr>
              <w:t>本项目不产生生产废水，不新增生活污水。厂区现有员工洗手废水经隔油池（处理规模约1m</w:t>
            </w:r>
            <w:r>
              <w:rPr>
                <w:rFonts w:hint="eastAsia" w:ascii="Times New Roman" w:hAnsi="Times New Roman" w:eastAsia="宋体" w:cs="Times New Roman"/>
                <w:bCs/>
                <w:color w:val="auto"/>
                <w:sz w:val="26"/>
                <w:szCs w:val="26"/>
                <w:vertAlign w:val="superscript"/>
                <w:lang w:val="en-US" w:eastAsia="zh-CN"/>
              </w:rPr>
              <w:t>3</w:t>
            </w:r>
            <w:r>
              <w:rPr>
                <w:rFonts w:hint="eastAsia" w:ascii="Times New Roman" w:hAnsi="Times New Roman" w:eastAsia="宋体" w:cs="Times New Roman"/>
                <w:bCs/>
                <w:color w:val="auto"/>
                <w:sz w:val="26"/>
                <w:szCs w:val="26"/>
                <w:lang w:val="en-US" w:eastAsia="zh-CN"/>
              </w:rPr>
              <w:t>/d）处理后同其他生活污水一起汇至厂区生化池（处理规模约10m</w:t>
            </w:r>
            <w:r>
              <w:rPr>
                <w:rFonts w:hint="eastAsia" w:ascii="Times New Roman" w:hAnsi="Times New Roman" w:eastAsia="宋体" w:cs="Times New Roman"/>
                <w:bCs/>
                <w:color w:val="auto"/>
                <w:sz w:val="26"/>
                <w:szCs w:val="26"/>
                <w:vertAlign w:val="superscript"/>
                <w:lang w:val="en-US" w:eastAsia="zh-CN"/>
              </w:rPr>
              <w:t>3</w:t>
            </w:r>
            <w:r>
              <w:rPr>
                <w:rFonts w:hint="eastAsia" w:ascii="Times New Roman" w:hAnsi="Times New Roman" w:eastAsia="宋体" w:cs="Times New Roman"/>
                <w:bCs/>
                <w:color w:val="auto"/>
                <w:sz w:val="26"/>
                <w:szCs w:val="26"/>
                <w:lang w:val="en-US" w:eastAsia="zh-CN"/>
              </w:rPr>
              <w:t>/d）处理达《污水综合排放标准》（GB8978-1996）三级标准后排入市政污水管网，最终经西彭城镇污水处理厂处理后排入桥头河，最终汇入长江。</w:t>
            </w:r>
          </w:p>
          <w:p w14:paraId="2D51128E">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3</w:t>
            </w:r>
            <w:r>
              <w:rPr>
                <w:rFonts w:hint="eastAsia"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固</w:t>
            </w:r>
            <w:r>
              <w:rPr>
                <w:rFonts w:hint="default" w:ascii="Times New Roman" w:hAnsi="Times New Roman" w:eastAsia="宋体" w:cs="Times New Roman"/>
                <w:color w:val="auto"/>
                <w:sz w:val="26"/>
                <w:szCs w:val="26"/>
                <w:lang w:val="en-US" w:eastAsia="zh-CN"/>
              </w:rPr>
              <w:t>废</w:t>
            </w:r>
            <w:r>
              <w:rPr>
                <w:rFonts w:hint="eastAsia" w:ascii="Times New Roman" w:hAnsi="Times New Roman" w:eastAsia="宋体" w:cs="Times New Roman"/>
                <w:color w:val="auto"/>
                <w:sz w:val="26"/>
                <w:szCs w:val="26"/>
                <w:lang w:val="en-US" w:eastAsia="zh-CN"/>
              </w:rPr>
              <w:t>处置措施</w:t>
            </w:r>
          </w:p>
          <w:p w14:paraId="484BE65B">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① 危险废物：本项目产生的危险废物主要包含</w:t>
            </w:r>
            <w:r>
              <w:rPr>
                <w:rFonts w:hint="default" w:ascii="Times New Roman" w:hAnsi="Times New Roman" w:eastAsia="宋体" w:cs="Times New Roman"/>
                <w:color w:val="auto"/>
                <w:kern w:val="0"/>
                <w:sz w:val="26"/>
                <w:szCs w:val="26"/>
                <w:highlight w:val="none"/>
                <w:lang w:val="en-US" w:eastAsia="zh-CN"/>
              </w:rPr>
              <w:t>除尘系统除尘灰</w:t>
            </w:r>
            <w:r>
              <w:rPr>
                <w:rFonts w:hint="eastAsia" w:ascii="Times New Roman" w:hAnsi="Times New Roman" w:eastAsia="宋体" w:cs="Times New Roman"/>
                <w:color w:val="auto"/>
                <w:kern w:val="0"/>
                <w:sz w:val="26"/>
                <w:szCs w:val="26"/>
                <w:highlight w:val="none"/>
                <w:lang w:val="en-US" w:eastAsia="zh-CN"/>
              </w:rPr>
              <w:t>、铝灰渣、</w:t>
            </w:r>
            <w:r>
              <w:rPr>
                <w:rFonts w:hint="default" w:ascii="Times New Roman" w:hAnsi="Times New Roman" w:eastAsia="宋体" w:cs="Times New Roman"/>
                <w:color w:val="auto"/>
                <w:kern w:val="0"/>
                <w:sz w:val="26"/>
                <w:szCs w:val="26"/>
                <w:highlight w:val="none"/>
                <w:lang w:val="en-US" w:eastAsia="zh-CN"/>
              </w:rPr>
              <w:t>含</w:t>
            </w:r>
            <w:r>
              <w:rPr>
                <w:rFonts w:hint="eastAsia" w:ascii="Times New Roman" w:hAnsi="Times New Roman" w:eastAsia="宋体" w:cs="Times New Roman"/>
                <w:color w:val="auto"/>
                <w:kern w:val="0"/>
                <w:sz w:val="26"/>
                <w:szCs w:val="26"/>
                <w:highlight w:val="none"/>
                <w:lang w:val="en-US" w:eastAsia="zh-CN"/>
              </w:rPr>
              <w:t>油废铝料、</w:t>
            </w:r>
            <w:r>
              <w:rPr>
                <w:rFonts w:hint="default" w:ascii="Times New Roman" w:hAnsi="Times New Roman" w:eastAsia="宋体" w:cs="Times New Roman"/>
                <w:color w:val="auto"/>
                <w:kern w:val="0"/>
                <w:sz w:val="26"/>
                <w:szCs w:val="26"/>
                <w:highlight w:val="none"/>
                <w:lang w:val="en-US" w:eastAsia="zh-CN"/>
              </w:rPr>
              <w:t>废</w:t>
            </w:r>
            <w:r>
              <w:rPr>
                <w:rFonts w:hint="eastAsia" w:ascii="Times New Roman" w:hAnsi="Times New Roman" w:eastAsia="宋体" w:cs="Times New Roman"/>
                <w:color w:val="auto"/>
                <w:kern w:val="0"/>
                <w:sz w:val="26"/>
                <w:szCs w:val="26"/>
                <w:highlight w:val="none"/>
                <w:lang w:val="en-US" w:eastAsia="zh-CN"/>
              </w:rPr>
              <w:t>液压油、空压机含油废液及废弃的含油抹布、劳保用品</w:t>
            </w:r>
            <w:r>
              <w:rPr>
                <w:rFonts w:hint="eastAsia" w:ascii="Times New Roman" w:hAnsi="Times New Roman" w:eastAsia="宋体" w:cs="Times New Roman"/>
                <w:color w:val="auto"/>
                <w:sz w:val="26"/>
                <w:szCs w:val="26"/>
                <w:lang w:val="en-US" w:eastAsia="zh-CN"/>
              </w:rPr>
              <w:t>等。厂区设置有一处危废贮存库，位于厂区北侧，占地面积200m</w:t>
            </w:r>
            <w:r>
              <w:rPr>
                <w:rFonts w:hint="eastAsia" w:ascii="Times New Roman" w:hAnsi="Times New Roman" w:eastAsia="宋体" w:cs="Times New Roman"/>
                <w:color w:val="auto"/>
                <w:sz w:val="26"/>
                <w:szCs w:val="26"/>
                <w:vertAlign w:val="superscript"/>
                <w:lang w:val="en-US" w:eastAsia="zh-CN"/>
              </w:rPr>
              <w:t>2</w:t>
            </w:r>
            <w:r>
              <w:rPr>
                <w:rFonts w:hint="eastAsia" w:ascii="Times New Roman" w:hAnsi="Times New Roman" w:eastAsia="宋体" w:cs="Times New Roman"/>
                <w:color w:val="auto"/>
                <w:sz w:val="26"/>
                <w:szCs w:val="26"/>
                <w:lang w:val="en-US" w:eastAsia="zh-CN"/>
              </w:rPr>
              <w:t>，采用钢板进行防渗。本项目依托现有危废贮存库暂存。</w:t>
            </w:r>
          </w:p>
          <w:p w14:paraId="551C6977">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② 一般工业固废：本项目产生的一般工业固体废物主要包括</w:t>
            </w:r>
            <w:r>
              <w:rPr>
                <w:rFonts w:hint="default" w:ascii="Times New Roman" w:hAnsi="Times New Roman" w:eastAsia="宋体" w:cs="Times New Roman"/>
                <w:color w:val="auto"/>
                <w:kern w:val="0"/>
                <w:sz w:val="26"/>
                <w:szCs w:val="26"/>
                <w:highlight w:val="none"/>
                <w:lang w:val="en-US" w:eastAsia="zh-CN"/>
              </w:rPr>
              <w:t>报废陶瓷过滤板</w:t>
            </w:r>
            <w:r>
              <w:rPr>
                <w:rFonts w:hint="eastAsia" w:ascii="Times New Roman" w:hAnsi="Times New Roman" w:eastAsia="宋体" w:cs="Times New Roman"/>
                <w:color w:val="auto"/>
                <w:sz w:val="26"/>
                <w:szCs w:val="26"/>
                <w:lang w:val="en-US" w:eastAsia="zh-CN"/>
              </w:rPr>
              <w:t>、</w:t>
            </w:r>
            <w:r>
              <w:rPr>
                <w:rFonts w:hint="default" w:ascii="Times New Roman" w:hAnsi="Times New Roman" w:eastAsia="宋体" w:cs="Times New Roman"/>
                <w:color w:val="auto"/>
                <w:kern w:val="0"/>
                <w:sz w:val="26"/>
                <w:szCs w:val="26"/>
                <w:highlight w:val="none"/>
                <w:lang w:val="en-US" w:eastAsia="zh-CN"/>
              </w:rPr>
              <w:t>废耐火材料等</w:t>
            </w:r>
            <w:r>
              <w:rPr>
                <w:rFonts w:hint="eastAsia" w:ascii="Times New Roman" w:hAnsi="Times New Roman" w:eastAsia="宋体" w:cs="Times New Roman"/>
                <w:color w:val="auto"/>
                <w:kern w:val="0"/>
                <w:sz w:val="26"/>
                <w:szCs w:val="26"/>
                <w:highlight w:val="none"/>
                <w:lang w:val="en-US" w:eastAsia="zh-CN"/>
              </w:rPr>
              <w:t>。</w:t>
            </w:r>
            <w:r>
              <w:rPr>
                <w:rFonts w:hint="eastAsia" w:ascii="Times New Roman" w:hAnsi="Times New Roman" w:eastAsia="宋体" w:cs="Times New Roman"/>
                <w:color w:val="auto"/>
                <w:sz w:val="26"/>
                <w:szCs w:val="26"/>
                <w:lang w:val="en-US" w:eastAsia="zh-CN"/>
              </w:rPr>
              <w:t>现有项目设置一处一般固废暂存间，位于厂区北侧，占地面积50m</w:t>
            </w:r>
            <w:r>
              <w:rPr>
                <w:rFonts w:hint="eastAsia" w:ascii="Times New Roman" w:hAnsi="Times New Roman" w:eastAsia="宋体" w:cs="Times New Roman"/>
                <w:color w:val="auto"/>
                <w:sz w:val="26"/>
                <w:szCs w:val="26"/>
                <w:vertAlign w:val="superscript"/>
                <w:lang w:val="en-US" w:eastAsia="zh-CN"/>
              </w:rPr>
              <w:t>2</w:t>
            </w:r>
            <w:r>
              <w:rPr>
                <w:rFonts w:hint="eastAsia" w:ascii="Times New Roman" w:hAnsi="Times New Roman" w:eastAsia="宋体" w:cs="Times New Roman"/>
                <w:color w:val="auto"/>
                <w:sz w:val="26"/>
                <w:szCs w:val="26"/>
                <w:vertAlign w:val="baseline"/>
                <w:lang w:val="en-US" w:eastAsia="zh-CN"/>
              </w:rPr>
              <w:t>，可直接依托</w:t>
            </w:r>
            <w:r>
              <w:rPr>
                <w:rFonts w:hint="eastAsia" w:ascii="Times New Roman" w:hAnsi="Times New Roman" w:eastAsia="宋体" w:cs="Times New Roman"/>
                <w:color w:val="auto"/>
                <w:sz w:val="26"/>
                <w:szCs w:val="26"/>
                <w:lang w:val="en-US" w:eastAsia="zh-CN"/>
              </w:rPr>
              <w:t>分类暂存一般工业固废</w:t>
            </w:r>
            <w:r>
              <w:rPr>
                <w:rFonts w:hint="eastAsia" w:ascii="Times New Roman" w:hAnsi="Times New Roman" w:eastAsia="宋体" w:cs="Times New Roman"/>
                <w:color w:val="auto"/>
                <w:sz w:val="26"/>
                <w:szCs w:val="26"/>
                <w:vertAlign w:val="baseline"/>
                <w:lang w:val="en-US" w:eastAsia="zh-CN"/>
              </w:rPr>
              <w:t>。</w:t>
            </w:r>
          </w:p>
          <w:p w14:paraId="42E6D351">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 xml:space="preserve">③ </w:t>
            </w:r>
            <w:r>
              <w:rPr>
                <w:rFonts w:hint="default" w:ascii="Times New Roman" w:hAnsi="Times New Roman" w:eastAsia="宋体" w:cs="Times New Roman"/>
                <w:color w:val="auto"/>
                <w:sz w:val="26"/>
                <w:szCs w:val="26"/>
                <w:lang w:val="en-US" w:eastAsia="zh-CN"/>
              </w:rPr>
              <w:t>生活垃圾</w:t>
            </w:r>
            <w:r>
              <w:rPr>
                <w:rFonts w:hint="eastAsia" w:ascii="Times New Roman" w:hAnsi="Times New Roman" w:eastAsia="宋体" w:cs="Times New Roman"/>
                <w:color w:val="auto"/>
                <w:sz w:val="26"/>
                <w:szCs w:val="26"/>
                <w:lang w:val="en-US" w:eastAsia="zh-CN"/>
              </w:rPr>
              <w:t>：本项目不新增生活垃圾，厂区现有生活垃圾</w:t>
            </w:r>
            <w:r>
              <w:rPr>
                <w:rFonts w:hint="default" w:ascii="Times New Roman" w:hAnsi="Times New Roman" w:eastAsia="宋体" w:cs="Times New Roman"/>
                <w:color w:val="auto"/>
                <w:sz w:val="26"/>
                <w:szCs w:val="26"/>
                <w:lang w:val="en-US" w:eastAsia="zh-CN"/>
              </w:rPr>
              <w:t>交地方市政环卫部门统一收运、处置</w:t>
            </w:r>
            <w:r>
              <w:rPr>
                <w:rFonts w:hint="eastAsia" w:ascii="Times New Roman" w:hAnsi="Times New Roman" w:eastAsia="宋体" w:cs="Times New Roman"/>
                <w:color w:val="auto"/>
                <w:sz w:val="26"/>
                <w:szCs w:val="26"/>
                <w:lang w:val="en-US" w:eastAsia="zh-CN"/>
              </w:rPr>
              <w:t>。</w:t>
            </w:r>
          </w:p>
          <w:p w14:paraId="6AC40DC2">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（4）</w:t>
            </w:r>
            <w:r>
              <w:rPr>
                <w:rFonts w:hint="default" w:ascii="Times New Roman" w:hAnsi="Times New Roman" w:eastAsia="宋体" w:cs="Times New Roman"/>
                <w:color w:val="auto"/>
                <w:sz w:val="26"/>
                <w:szCs w:val="26"/>
                <w:lang w:val="en-US" w:eastAsia="zh-CN"/>
              </w:rPr>
              <w:t>噪声</w:t>
            </w:r>
          </w:p>
          <w:p w14:paraId="57D01E3E">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lang w:val="en-US" w:eastAsia="zh-CN"/>
              </w:rPr>
              <w:t>本项目设备</w:t>
            </w:r>
            <w:r>
              <w:rPr>
                <w:rFonts w:hint="default" w:ascii="Times New Roman" w:hAnsi="Times New Roman" w:eastAsia="宋体" w:cs="Times New Roman"/>
                <w:color w:val="auto"/>
                <w:sz w:val="26"/>
                <w:szCs w:val="26"/>
                <w:lang w:val="en-US" w:eastAsia="zh-CN"/>
              </w:rPr>
              <w:t>选用低噪环保设备，机械设备</w:t>
            </w:r>
            <w:r>
              <w:rPr>
                <w:rFonts w:hint="default" w:ascii="Times New Roman" w:hAnsi="Times New Roman" w:eastAsia="宋体" w:cs="Times New Roman"/>
                <w:color w:val="auto"/>
                <w:sz w:val="26"/>
                <w:szCs w:val="26"/>
              </w:rPr>
              <w:t>定期保养维护。</w:t>
            </w:r>
          </w:p>
          <w:p w14:paraId="418CF1EE">
            <w:pPr>
              <w:keepNext w:val="0"/>
              <w:keepLines w:val="0"/>
              <w:pageBreakBefore w:val="0"/>
              <w:widowControl w:val="0"/>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 xml:space="preserve">2.4.6 </w:t>
            </w:r>
            <w:r>
              <w:rPr>
                <w:rFonts w:hint="default" w:ascii="Times New Roman" w:hAnsi="Times New Roman" w:eastAsia="宋体" w:cs="Times New Roman"/>
                <w:b/>
                <w:bCs/>
                <w:color w:val="auto"/>
                <w:sz w:val="26"/>
                <w:szCs w:val="26"/>
                <w:lang w:val="en-US" w:eastAsia="zh-CN"/>
              </w:rPr>
              <w:t>依托</w:t>
            </w:r>
            <w:r>
              <w:rPr>
                <w:rFonts w:hint="eastAsia" w:ascii="Times New Roman" w:hAnsi="Times New Roman" w:eastAsia="宋体" w:cs="Times New Roman"/>
                <w:b/>
                <w:bCs/>
                <w:color w:val="auto"/>
                <w:sz w:val="26"/>
                <w:szCs w:val="26"/>
                <w:lang w:val="en-US" w:eastAsia="zh-CN"/>
              </w:rPr>
              <w:t>可行性分析</w:t>
            </w:r>
          </w:p>
          <w:p w14:paraId="48DDF1DD">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jc w:val="both"/>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本项目依托可行性分析详见下表。</w:t>
            </w:r>
          </w:p>
          <w:p w14:paraId="56CBCF96">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jc w:val="both"/>
              <w:textAlignment w:val="auto"/>
              <w:rPr>
                <w:rFonts w:hint="eastAsia" w:ascii="Times New Roman" w:hAnsi="Times New Roman" w:eastAsia="宋体" w:cs="Times New Roman"/>
                <w:color w:val="auto"/>
                <w:sz w:val="26"/>
                <w:szCs w:val="26"/>
                <w:lang w:val="en-US" w:eastAsia="zh-CN"/>
              </w:rPr>
            </w:pPr>
          </w:p>
          <w:p w14:paraId="577F32D7">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p>
          <w:p w14:paraId="37BC9EAC">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eastAsia" w:ascii="Times New Roman" w:hAnsi="Times New Roman" w:eastAsia="宋体" w:cs="Times New Roman"/>
                <w:b/>
                <w:bCs/>
                <w:color w:val="auto"/>
                <w:sz w:val="26"/>
                <w:szCs w:val="26"/>
                <w:lang w:val="en-US" w:eastAsia="zh-CN"/>
              </w:rPr>
            </w:pPr>
            <w:r>
              <w:rPr>
                <w:rFonts w:hint="default" w:ascii="Times New Roman" w:hAnsi="Times New Roman" w:eastAsia="宋体" w:cs="Times New Roman"/>
                <w:b/>
                <w:bCs/>
                <w:color w:val="auto"/>
                <w:sz w:val="26"/>
                <w:szCs w:val="26"/>
                <w:lang w:val="en-US" w:eastAsia="zh-CN"/>
              </w:rPr>
              <w:t>表</w:t>
            </w:r>
            <w:r>
              <w:rPr>
                <w:rFonts w:hint="eastAsia" w:ascii="Times New Roman" w:hAnsi="Times New Roman" w:eastAsia="宋体" w:cs="Times New Roman"/>
                <w:b/>
                <w:bCs/>
                <w:color w:val="auto"/>
                <w:sz w:val="26"/>
                <w:szCs w:val="26"/>
                <w:lang w:val="en-US" w:eastAsia="zh-CN"/>
              </w:rPr>
              <w:t>2.4-2</w:t>
            </w:r>
            <w:r>
              <w:rPr>
                <w:rFonts w:hint="default" w:ascii="Times New Roman" w:hAnsi="Times New Roman" w:eastAsia="宋体" w:cs="Times New Roman"/>
                <w:b/>
                <w:bCs/>
                <w:color w:val="auto"/>
                <w:sz w:val="26"/>
                <w:szCs w:val="26"/>
                <w:lang w:val="en-US" w:eastAsia="zh-CN"/>
              </w:rPr>
              <w:t xml:space="preserve">  </w:t>
            </w:r>
            <w:r>
              <w:rPr>
                <w:rFonts w:hint="eastAsia" w:ascii="Times New Roman" w:hAnsi="Times New Roman" w:eastAsia="宋体" w:cs="Times New Roman"/>
                <w:b/>
                <w:bCs/>
                <w:color w:val="auto"/>
                <w:sz w:val="26"/>
                <w:szCs w:val="26"/>
                <w:lang w:val="en-US" w:eastAsia="zh-CN"/>
              </w:rPr>
              <w:t>本</w:t>
            </w:r>
            <w:r>
              <w:rPr>
                <w:rFonts w:hint="default" w:ascii="Times New Roman" w:hAnsi="Times New Roman" w:eastAsia="宋体" w:cs="Times New Roman"/>
                <w:b/>
                <w:bCs/>
                <w:color w:val="auto"/>
                <w:sz w:val="26"/>
                <w:szCs w:val="26"/>
                <w:lang w:val="en-US" w:eastAsia="zh-CN"/>
              </w:rPr>
              <w:t>项目</w:t>
            </w:r>
            <w:r>
              <w:rPr>
                <w:rFonts w:hint="eastAsia" w:ascii="Times New Roman" w:hAnsi="Times New Roman" w:eastAsia="宋体" w:cs="Times New Roman"/>
                <w:b/>
                <w:bCs/>
                <w:color w:val="auto"/>
                <w:sz w:val="26"/>
                <w:szCs w:val="26"/>
                <w:lang w:val="en-US" w:eastAsia="zh-CN"/>
              </w:rPr>
              <w:t>依托可行性分析一览表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6"/>
              <w:gridCol w:w="503"/>
              <w:gridCol w:w="515"/>
              <w:gridCol w:w="3250"/>
              <w:gridCol w:w="3372"/>
            </w:tblGrid>
            <w:tr w14:paraId="76B6C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86" w:type="dxa"/>
                  <w:tcBorders>
                    <w:tl2br w:val="nil"/>
                    <w:tr2bl w:val="nil"/>
                  </w:tcBorders>
                  <w:noWrap w:val="0"/>
                  <w:vAlign w:val="center"/>
                </w:tcPr>
                <w:p w14:paraId="047FF5F1">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序号</w:t>
                  </w:r>
                </w:p>
              </w:tc>
              <w:tc>
                <w:tcPr>
                  <w:tcW w:w="503" w:type="dxa"/>
                  <w:tcBorders>
                    <w:tl2br w:val="nil"/>
                    <w:tr2bl w:val="nil"/>
                  </w:tcBorders>
                  <w:noWrap w:val="0"/>
                  <w:vAlign w:val="center"/>
                </w:tcPr>
                <w:p w14:paraId="7B5866DA">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内容</w:t>
                  </w:r>
                </w:p>
              </w:tc>
              <w:tc>
                <w:tcPr>
                  <w:tcW w:w="3765" w:type="dxa"/>
                  <w:gridSpan w:val="2"/>
                  <w:tcBorders>
                    <w:tl2br w:val="nil"/>
                    <w:tr2bl w:val="nil"/>
                  </w:tcBorders>
                  <w:noWrap w:val="0"/>
                  <w:vAlign w:val="center"/>
                </w:tcPr>
                <w:p w14:paraId="24BE9871">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建设情况</w:t>
                  </w:r>
                </w:p>
              </w:tc>
              <w:tc>
                <w:tcPr>
                  <w:tcW w:w="3372" w:type="dxa"/>
                  <w:tcBorders>
                    <w:tl2br w:val="nil"/>
                    <w:tr2bl w:val="nil"/>
                  </w:tcBorders>
                  <w:noWrap w:val="0"/>
                  <w:vAlign w:val="center"/>
                </w:tcPr>
                <w:p w14:paraId="05039D10">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依托关系及可行性</w:t>
                  </w:r>
                </w:p>
              </w:tc>
            </w:tr>
            <w:tr w14:paraId="50DD2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86" w:type="dxa"/>
                  <w:vMerge w:val="restart"/>
                  <w:tcBorders>
                    <w:tl2br w:val="nil"/>
                    <w:tr2bl w:val="nil"/>
                  </w:tcBorders>
                  <w:noWrap w:val="0"/>
                  <w:vAlign w:val="center"/>
                </w:tcPr>
                <w:p w14:paraId="1A0EECB0">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1</w:t>
                  </w:r>
                </w:p>
              </w:tc>
              <w:tc>
                <w:tcPr>
                  <w:tcW w:w="503" w:type="dxa"/>
                  <w:vMerge w:val="restart"/>
                  <w:tcBorders>
                    <w:tl2br w:val="nil"/>
                    <w:tr2bl w:val="nil"/>
                  </w:tcBorders>
                  <w:noWrap w:val="0"/>
                  <w:vAlign w:val="center"/>
                </w:tcPr>
                <w:p w14:paraId="16326E53">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主体工程</w:t>
                  </w:r>
                </w:p>
              </w:tc>
              <w:tc>
                <w:tcPr>
                  <w:tcW w:w="515" w:type="dxa"/>
                  <w:tcBorders>
                    <w:tl2br w:val="nil"/>
                    <w:tr2bl w:val="nil"/>
                  </w:tcBorders>
                  <w:noWrap w:val="0"/>
                  <w:vAlign w:val="center"/>
                </w:tcPr>
                <w:p w14:paraId="59EED295">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熔铸车间</w:t>
                  </w:r>
                </w:p>
              </w:tc>
              <w:tc>
                <w:tcPr>
                  <w:tcW w:w="3250" w:type="dxa"/>
                  <w:tcBorders>
                    <w:tl2br w:val="nil"/>
                    <w:tr2bl w:val="nil"/>
                  </w:tcBorders>
                  <w:noWrap w:val="0"/>
                  <w:vAlign w:val="center"/>
                </w:tcPr>
                <w:p w14:paraId="0673DD95">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厂区中部设置了一个熔铸车间，熔铸车间占地面积约11000m</w:t>
                  </w:r>
                  <w:r>
                    <w:rPr>
                      <w:rFonts w:hint="default" w:ascii="Times New Roman" w:hAnsi="Times New Roman" w:eastAsia="宋体" w:cs="Times New Roman"/>
                      <w:color w:val="auto"/>
                      <w:kern w:val="0"/>
                      <w:sz w:val="22"/>
                      <w:szCs w:val="22"/>
                      <w:vertAlign w:val="superscript"/>
                      <w:lang w:val="en-US" w:eastAsia="zh-CN"/>
                    </w:rPr>
                    <w:t>2</w:t>
                  </w:r>
                  <w:r>
                    <w:rPr>
                      <w:rFonts w:hint="default" w:ascii="Times New Roman" w:hAnsi="Times New Roman" w:eastAsia="宋体" w:cs="Times New Roman"/>
                      <w:color w:val="auto"/>
                      <w:kern w:val="0"/>
                      <w:sz w:val="22"/>
                      <w:szCs w:val="22"/>
                      <w:vertAlign w:val="baseline"/>
                      <w:lang w:val="en-US" w:eastAsia="zh-CN"/>
                    </w:rPr>
                    <w:t>，单层，1F约15m高</w:t>
                  </w:r>
                  <w:r>
                    <w:rPr>
                      <w:rFonts w:hint="eastAsia" w:ascii="Times New Roman" w:hAnsi="Times New Roman" w:eastAsia="宋体" w:cs="Times New Roman"/>
                      <w:color w:val="auto"/>
                      <w:kern w:val="0"/>
                      <w:sz w:val="22"/>
                      <w:szCs w:val="22"/>
                      <w:vertAlign w:val="baseline"/>
                      <w:lang w:val="en-US" w:eastAsia="zh-CN"/>
                    </w:rPr>
                    <w:t>，</w:t>
                  </w:r>
                  <w:r>
                    <w:rPr>
                      <w:rFonts w:hint="default" w:ascii="Times New Roman" w:hAnsi="Times New Roman" w:eastAsia="宋体" w:cs="Times New Roman"/>
                      <w:color w:val="auto"/>
                      <w:kern w:val="0"/>
                      <w:sz w:val="22"/>
                      <w:szCs w:val="22"/>
                      <w:vertAlign w:val="baseline"/>
                      <w:lang w:val="en-US" w:eastAsia="zh-CN"/>
                    </w:rPr>
                    <w:t>车间内设置2台25t熔炼炉及配套的1套铸造机，1台16t熔炼炉及配套的铸造机，</w:t>
                  </w:r>
                  <w:r>
                    <w:rPr>
                      <w:rFonts w:hint="eastAsia" w:ascii="Times New Roman" w:hAnsi="Times New Roman" w:eastAsia="宋体" w:cs="Times New Roman"/>
                      <w:color w:val="auto"/>
                      <w:kern w:val="0"/>
                      <w:sz w:val="22"/>
                      <w:szCs w:val="22"/>
                      <w:vertAlign w:val="baseline"/>
                      <w:lang w:val="en-US" w:eastAsia="zh-CN"/>
                    </w:rPr>
                    <w:t>本项目</w:t>
                  </w:r>
                  <w:r>
                    <w:rPr>
                      <w:rFonts w:hint="default" w:ascii="Times New Roman" w:hAnsi="Times New Roman" w:eastAsia="宋体" w:cs="Times New Roman"/>
                      <w:color w:val="auto"/>
                      <w:kern w:val="0"/>
                      <w:sz w:val="22"/>
                      <w:szCs w:val="22"/>
                      <w:vertAlign w:val="baseline"/>
                      <w:lang w:val="en-US" w:eastAsia="zh-CN"/>
                    </w:rPr>
                    <w:t>用纯铝液替代铝锭，提升产能，形成年产5.</w:t>
                  </w:r>
                  <w:r>
                    <w:rPr>
                      <w:rFonts w:hint="eastAsia" w:ascii="Times New Roman" w:hAnsi="Times New Roman" w:eastAsia="宋体" w:cs="Times New Roman"/>
                      <w:color w:val="auto"/>
                      <w:kern w:val="0"/>
                      <w:sz w:val="22"/>
                      <w:szCs w:val="22"/>
                      <w:vertAlign w:val="baseline"/>
                      <w:lang w:val="en-US" w:eastAsia="zh-CN"/>
                    </w:rPr>
                    <w:t>4</w:t>
                  </w:r>
                  <w:r>
                    <w:rPr>
                      <w:rFonts w:hint="default" w:ascii="Times New Roman" w:hAnsi="Times New Roman" w:eastAsia="宋体" w:cs="Times New Roman"/>
                      <w:color w:val="auto"/>
                      <w:kern w:val="0"/>
                      <w:sz w:val="22"/>
                      <w:szCs w:val="22"/>
                      <w:vertAlign w:val="baseline"/>
                      <w:lang w:val="en-US" w:eastAsia="zh-CN"/>
                    </w:rPr>
                    <w:t>万吨铝合金圆铸棒的规模</w:t>
                  </w:r>
                  <w:r>
                    <w:rPr>
                      <w:rFonts w:hint="eastAsia" w:ascii="Times New Roman" w:hAnsi="Times New Roman" w:eastAsia="宋体" w:cs="Times New Roman"/>
                      <w:i w:val="0"/>
                      <w:color w:val="auto"/>
                      <w:sz w:val="22"/>
                      <w:szCs w:val="22"/>
                      <w:u w:val="none"/>
                      <w:lang w:val="en-US" w:eastAsia="zh-CN"/>
                    </w:rPr>
                    <w:t>。</w:t>
                  </w:r>
                </w:p>
              </w:tc>
              <w:tc>
                <w:tcPr>
                  <w:tcW w:w="3372" w:type="dxa"/>
                  <w:tcBorders>
                    <w:tl2br w:val="nil"/>
                    <w:tr2bl w:val="nil"/>
                  </w:tcBorders>
                  <w:noWrap w:val="0"/>
                  <w:vAlign w:val="center"/>
                </w:tcPr>
                <w:p w14:paraId="2EBA30DB">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本</w:t>
                  </w:r>
                  <w:r>
                    <w:rPr>
                      <w:rFonts w:hint="default" w:ascii="Times New Roman" w:hAnsi="Times New Roman" w:eastAsia="宋体" w:cs="Times New Roman"/>
                      <w:i w:val="0"/>
                      <w:color w:val="auto"/>
                      <w:sz w:val="22"/>
                      <w:szCs w:val="22"/>
                      <w:u w:val="none"/>
                      <w:lang w:val="en-US" w:eastAsia="zh-CN"/>
                    </w:rPr>
                    <w:t>项目</w:t>
                  </w:r>
                  <w:r>
                    <w:rPr>
                      <w:rFonts w:hint="default" w:ascii="Times New Roman" w:hAnsi="Times New Roman" w:eastAsia="宋体" w:cs="Times New Roman"/>
                      <w:color w:val="auto"/>
                      <w:kern w:val="0"/>
                      <w:sz w:val="22"/>
                      <w:szCs w:val="22"/>
                      <w:vertAlign w:val="baseline"/>
                      <w:lang w:val="en-US" w:eastAsia="zh-CN"/>
                    </w:rPr>
                    <w:t>用纯铝液替代铝锭</w:t>
                  </w:r>
                  <w:r>
                    <w:rPr>
                      <w:rFonts w:hint="eastAsia" w:ascii="Times New Roman" w:hAnsi="Times New Roman" w:eastAsia="宋体" w:cs="Times New Roman"/>
                      <w:color w:val="auto"/>
                      <w:kern w:val="0"/>
                      <w:sz w:val="22"/>
                      <w:szCs w:val="22"/>
                      <w:vertAlign w:val="baseline"/>
                      <w:lang w:val="en-US" w:eastAsia="zh-CN"/>
                    </w:rPr>
                    <w:t>，依托熔铸车间内现有</w:t>
                  </w:r>
                  <w:r>
                    <w:rPr>
                      <w:rFonts w:hint="default" w:ascii="Times New Roman" w:hAnsi="Times New Roman" w:eastAsia="宋体" w:cs="Times New Roman"/>
                      <w:color w:val="auto"/>
                      <w:kern w:val="0"/>
                      <w:sz w:val="22"/>
                      <w:szCs w:val="22"/>
                      <w:vertAlign w:val="baseline"/>
                      <w:lang w:val="en-US" w:eastAsia="zh-CN"/>
                    </w:rPr>
                    <w:t>2台25t熔炼炉及配套的1套铸造机，1台16t熔炼炉及配套的铸造机</w:t>
                  </w:r>
                  <w:r>
                    <w:rPr>
                      <w:rFonts w:hint="eastAsia" w:ascii="Times New Roman" w:hAnsi="Times New Roman" w:eastAsia="宋体" w:cs="Times New Roman"/>
                      <w:color w:val="auto"/>
                      <w:kern w:val="0"/>
                      <w:sz w:val="22"/>
                      <w:szCs w:val="22"/>
                      <w:vertAlign w:val="baseline"/>
                      <w:lang w:val="en-US" w:eastAsia="zh-CN"/>
                    </w:rPr>
                    <w:t>，</w:t>
                  </w:r>
                  <w:r>
                    <w:rPr>
                      <w:rFonts w:hint="default" w:ascii="Times New Roman" w:hAnsi="Times New Roman" w:eastAsia="宋体" w:cs="Times New Roman"/>
                      <w:color w:val="auto"/>
                      <w:kern w:val="0"/>
                      <w:sz w:val="22"/>
                      <w:szCs w:val="22"/>
                      <w:vertAlign w:val="baseline"/>
                      <w:lang w:val="en-US" w:eastAsia="zh-CN"/>
                    </w:rPr>
                    <w:t>形成年产5.</w:t>
                  </w:r>
                  <w:r>
                    <w:rPr>
                      <w:rFonts w:hint="eastAsia" w:ascii="Times New Roman" w:hAnsi="Times New Roman" w:eastAsia="宋体" w:cs="Times New Roman"/>
                      <w:color w:val="auto"/>
                      <w:kern w:val="0"/>
                      <w:sz w:val="22"/>
                      <w:szCs w:val="22"/>
                      <w:vertAlign w:val="baseline"/>
                      <w:lang w:val="en-US" w:eastAsia="zh-CN"/>
                    </w:rPr>
                    <w:t>4</w:t>
                  </w:r>
                  <w:r>
                    <w:rPr>
                      <w:rFonts w:hint="default" w:ascii="Times New Roman" w:hAnsi="Times New Roman" w:eastAsia="宋体" w:cs="Times New Roman"/>
                      <w:color w:val="auto"/>
                      <w:kern w:val="0"/>
                      <w:sz w:val="22"/>
                      <w:szCs w:val="22"/>
                      <w:vertAlign w:val="baseline"/>
                      <w:lang w:val="en-US" w:eastAsia="zh-CN"/>
                    </w:rPr>
                    <w:t>万吨铝合金圆铸棒的规模</w:t>
                  </w:r>
                  <w:r>
                    <w:rPr>
                      <w:rFonts w:hint="eastAsia" w:ascii="Times New Roman" w:hAnsi="Times New Roman" w:eastAsia="宋体" w:cs="Times New Roman"/>
                      <w:color w:val="auto"/>
                      <w:kern w:val="0"/>
                      <w:sz w:val="22"/>
                      <w:szCs w:val="22"/>
                      <w:vertAlign w:val="baseline"/>
                      <w:lang w:val="en-US" w:eastAsia="zh-CN"/>
                    </w:rPr>
                    <w:t>。现有熔炼炉及铸造机运行状态良好，可依托。</w:t>
                  </w:r>
                </w:p>
              </w:tc>
            </w:tr>
            <w:tr w14:paraId="03EECE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86" w:type="dxa"/>
                  <w:vMerge w:val="continue"/>
                  <w:tcBorders>
                    <w:tl2br w:val="nil"/>
                    <w:tr2bl w:val="nil"/>
                  </w:tcBorders>
                  <w:noWrap w:val="0"/>
                  <w:vAlign w:val="center"/>
                </w:tcPr>
                <w:p w14:paraId="5C1937D3">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p>
              </w:tc>
              <w:tc>
                <w:tcPr>
                  <w:tcW w:w="503" w:type="dxa"/>
                  <w:vMerge w:val="continue"/>
                  <w:tcBorders>
                    <w:tl2br w:val="nil"/>
                    <w:tr2bl w:val="nil"/>
                  </w:tcBorders>
                  <w:noWrap w:val="0"/>
                  <w:vAlign w:val="center"/>
                </w:tcPr>
                <w:p w14:paraId="04FA3E0F">
                  <w:pPr>
                    <w:keepNext w:val="0"/>
                    <w:keepLines w:val="0"/>
                    <w:widowControl/>
                    <w:suppressLineNumbers w:val="0"/>
                    <w:spacing w:line="240" w:lineRule="auto"/>
                    <w:jc w:val="center"/>
                    <w:textAlignment w:val="center"/>
                    <w:rPr>
                      <w:rFonts w:hint="eastAsia" w:ascii="Times New Roman" w:hAnsi="Times New Roman" w:eastAsia="宋体" w:cs="Times New Roman"/>
                      <w:i w:val="0"/>
                      <w:color w:val="auto"/>
                      <w:sz w:val="22"/>
                      <w:szCs w:val="22"/>
                      <w:u w:val="none"/>
                      <w:lang w:val="en-US" w:eastAsia="zh-CN"/>
                    </w:rPr>
                  </w:pPr>
                </w:p>
              </w:tc>
              <w:tc>
                <w:tcPr>
                  <w:tcW w:w="515" w:type="dxa"/>
                  <w:tcBorders>
                    <w:tl2br w:val="nil"/>
                    <w:tr2bl w:val="nil"/>
                  </w:tcBorders>
                  <w:noWrap w:val="0"/>
                  <w:vAlign w:val="center"/>
                </w:tcPr>
                <w:p w14:paraId="2DA002A9">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铝回收装置车间</w:t>
                  </w:r>
                </w:p>
              </w:tc>
              <w:tc>
                <w:tcPr>
                  <w:tcW w:w="3250" w:type="dxa"/>
                  <w:tcBorders>
                    <w:tl2br w:val="nil"/>
                    <w:tr2bl w:val="nil"/>
                  </w:tcBorders>
                  <w:noWrap w:val="0"/>
                  <w:vAlign w:val="center"/>
                </w:tcPr>
                <w:p w14:paraId="768CF4A9">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位于厂区北侧，内设1套铝回收装置。</w:t>
                  </w:r>
                </w:p>
              </w:tc>
              <w:tc>
                <w:tcPr>
                  <w:tcW w:w="3372" w:type="dxa"/>
                  <w:tcBorders>
                    <w:tl2br w:val="nil"/>
                    <w:tr2bl w:val="nil"/>
                  </w:tcBorders>
                  <w:noWrap w:val="0"/>
                  <w:vAlign w:val="center"/>
                </w:tcPr>
                <w:p w14:paraId="665E150C">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本项目产生的铝灰渣依托铝回收装置处理，经后文核算，本项目建成后铝回收装置年运行时间8191.5h/a，未超过负荷，且DA003排气筒满足达标排放要求，依托可行。</w:t>
                  </w:r>
                </w:p>
              </w:tc>
            </w:tr>
            <w:tr w14:paraId="33EAB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86" w:type="dxa"/>
                  <w:vMerge w:val="restart"/>
                  <w:tcBorders>
                    <w:tl2br w:val="nil"/>
                    <w:tr2bl w:val="nil"/>
                  </w:tcBorders>
                  <w:noWrap w:val="0"/>
                  <w:vAlign w:val="center"/>
                </w:tcPr>
                <w:p w14:paraId="56F44896">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2</w:t>
                  </w:r>
                </w:p>
              </w:tc>
              <w:tc>
                <w:tcPr>
                  <w:tcW w:w="503" w:type="dxa"/>
                  <w:vMerge w:val="restart"/>
                  <w:tcBorders>
                    <w:tl2br w:val="nil"/>
                    <w:tr2bl w:val="nil"/>
                  </w:tcBorders>
                  <w:noWrap w:val="0"/>
                  <w:vAlign w:val="center"/>
                </w:tcPr>
                <w:p w14:paraId="4413AE41">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辅助工程</w:t>
                  </w:r>
                </w:p>
              </w:tc>
              <w:tc>
                <w:tcPr>
                  <w:tcW w:w="515" w:type="dxa"/>
                  <w:tcBorders>
                    <w:tl2br w:val="nil"/>
                    <w:tr2bl w:val="nil"/>
                  </w:tcBorders>
                  <w:noWrap w:val="0"/>
                  <w:vAlign w:val="center"/>
                </w:tcPr>
                <w:p w14:paraId="1D04E961">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办公楼</w:t>
                  </w:r>
                </w:p>
              </w:tc>
              <w:tc>
                <w:tcPr>
                  <w:tcW w:w="3250" w:type="dxa"/>
                  <w:tcBorders>
                    <w:tl2br w:val="nil"/>
                    <w:tr2bl w:val="nil"/>
                  </w:tcBorders>
                  <w:noWrap w:val="0"/>
                  <w:vAlign w:val="center"/>
                </w:tcPr>
                <w:p w14:paraId="12AB8EDC">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snapToGrid w:val="0"/>
                      <w:color w:val="auto"/>
                      <w:kern w:val="0"/>
                      <w:sz w:val="22"/>
                      <w:szCs w:val="22"/>
                      <w:lang w:val="en-US" w:eastAsia="zh-CN"/>
                    </w:rPr>
                    <w:t>位于厂区东侧，占地面积约465m</w:t>
                  </w:r>
                  <w:r>
                    <w:rPr>
                      <w:rFonts w:hint="default" w:ascii="Times New Roman" w:hAnsi="Times New Roman" w:eastAsia="宋体" w:cs="Times New Roman"/>
                      <w:snapToGrid w:val="0"/>
                      <w:color w:val="auto"/>
                      <w:kern w:val="0"/>
                      <w:sz w:val="22"/>
                      <w:szCs w:val="22"/>
                      <w:vertAlign w:val="superscript"/>
                      <w:lang w:val="en-US" w:eastAsia="zh-CN"/>
                    </w:rPr>
                    <w:t>2</w:t>
                  </w:r>
                  <w:r>
                    <w:rPr>
                      <w:rFonts w:hint="default" w:ascii="Times New Roman" w:hAnsi="Times New Roman" w:eastAsia="宋体" w:cs="Times New Roman"/>
                      <w:snapToGrid w:val="0"/>
                      <w:color w:val="auto"/>
                      <w:kern w:val="0"/>
                      <w:sz w:val="22"/>
                      <w:szCs w:val="22"/>
                      <w:lang w:val="en-US" w:eastAsia="zh-CN"/>
                    </w:rPr>
                    <w:t>，4F，砖混结构，建筑面积1863m</w:t>
                  </w:r>
                  <w:r>
                    <w:rPr>
                      <w:rFonts w:hint="default" w:ascii="Times New Roman" w:hAnsi="Times New Roman" w:eastAsia="宋体" w:cs="Times New Roman"/>
                      <w:snapToGrid w:val="0"/>
                      <w:color w:val="auto"/>
                      <w:kern w:val="0"/>
                      <w:sz w:val="22"/>
                      <w:szCs w:val="22"/>
                      <w:vertAlign w:val="superscript"/>
                      <w:lang w:val="en-US" w:eastAsia="zh-CN"/>
                    </w:rPr>
                    <w:t>2</w:t>
                  </w:r>
                  <w:r>
                    <w:rPr>
                      <w:rFonts w:hint="default" w:ascii="Times New Roman" w:hAnsi="Times New Roman" w:eastAsia="宋体" w:cs="Times New Roman"/>
                      <w:snapToGrid w:val="0"/>
                      <w:color w:val="auto"/>
                      <w:kern w:val="0"/>
                      <w:sz w:val="22"/>
                      <w:szCs w:val="22"/>
                      <w:vertAlign w:val="baseline"/>
                      <w:lang w:val="en-US" w:eastAsia="zh-CN"/>
                    </w:rPr>
                    <w:t>，</w:t>
                  </w:r>
                  <w:r>
                    <w:rPr>
                      <w:rFonts w:hint="default" w:ascii="Times New Roman" w:hAnsi="Times New Roman" w:eastAsia="宋体" w:cs="Times New Roman"/>
                      <w:snapToGrid w:val="0"/>
                      <w:color w:val="auto"/>
                      <w:kern w:val="0"/>
                      <w:sz w:val="22"/>
                      <w:szCs w:val="22"/>
                      <w:lang w:val="en-US" w:eastAsia="zh-CN"/>
                    </w:rPr>
                    <w:t>提供人员办公</w:t>
                  </w:r>
                </w:p>
              </w:tc>
              <w:tc>
                <w:tcPr>
                  <w:tcW w:w="3372" w:type="dxa"/>
                  <w:tcBorders>
                    <w:tl2br w:val="nil"/>
                    <w:tr2bl w:val="nil"/>
                  </w:tcBorders>
                  <w:noWrap w:val="0"/>
                  <w:vAlign w:val="center"/>
                </w:tcPr>
                <w:p w14:paraId="48C966F6">
                  <w:pPr>
                    <w:keepNext w:val="0"/>
                    <w:keepLines w:val="0"/>
                    <w:widowControl/>
                    <w:suppressLineNumbers w:val="0"/>
                    <w:spacing w:line="240" w:lineRule="auto"/>
                    <w:jc w:val="center"/>
                    <w:textAlignment w:val="center"/>
                    <w:rPr>
                      <w:rFonts w:hint="eastAsia"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本项目不新增劳动定员，依托现有办公楼可行。</w:t>
                  </w:r>
                </w:p>
              </w:tc>
            </w:tr>
            <w:tr w14:paraId="3A2C4A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86" w:type="dxa"/>
                  <w:vMerge w:val="continue"/>
                  <w:tcBorders>
                    <w:tl2br w:val="nil"/>
                    <w:tr2bl w:val="nil"/>
                  </w:tcBorders>
                  <w:noWrap w:val="0"/>
                  <w:vAlign w:val="center"/>
                </w:tcPr>
                <w:p w14:paraId="1BF9387D">
                  <w:pPr>
                    <w:keepNext w:val="0"/>
                    <w:keepLines w:val="0"/>
                    <w:widowControl/>
                    <w:suppressLineNumbers w:val="0"/>
                    <w:spacing w:line="240" w:lineRule="auto"/>
                    <w:jc w:val="center"/>
                    <w:textAlignment w:val="center"/>
                    <w:rPr>
                      <w:rFonts w:hint="eastAsia" w:ascii="Times New Roman" w:hAnsi="Times New Roman" w:eastAsia="宋体" w:cs="Times New Roman"/>
                      <w:i w:val="0"/>
                      <w:color w:val="auto"/>
                      <w:sz w:val="22"/>
                      <w:szCs w:val="22"/>
                      <w:u w:val="none"/>
                      <w:lang w:val="en-US" w:eastAsia="zh-CN"/>
                    </w:rPr>
                  </w:pPr>
                </w:p>
              </w:tc>
              <w:tc>
                <w:tcPr>
                  <w:tcW w:w="503" w:type="dxa"/>
                  <w:vMerge w:val="continue"/>
                  <w:tcBorders>
                    <w:tl2br w:val="nil"/>
                    <w:tr2bl w:val="nil"/>
                  </w:tcBorders>
                  <w:noWrap w:val="0"/>
                  <w:vAlign w:val="center"/>
                </w:tcPr>
                <w:p w14:paraId="01690D49">
                  <w:pPr>
                    <w:keepNext w:val="0"/>
                    <w:keepLines w:val="0"/>
                    <w:widowControl/>
                    <w:suppressLineNumbers w:val="0"/>
                    <w:spacing w:line="240" w:lineRule="auto"/>
                    <w:jc w:val="center"/>
                    <w:textAlignment w:val="center"/>
                    <w:rPr>
                      <w:rFonts w:hint="eastAsia" w:ascii="Times New Roman" w:hAnsi="Times New Roman" w:eastAsia="宋体" w:cs="Times New Roman"/>
                      <w:i w:val="0"/>
                      <w:color w:val="auto"/>
                      <w:sz w:val="22"/>
                      <w:szCs w:val="22"/>
                      <w:u w:val="none"/>
                      <w:lang w:val="en-US" w:eastAsia="zh-CN"/>
                    </w:rPr>
                  </w:pPr>
                </w:p>
              </w:tc>
              <w:tc>
                <w:tcPr>
                  <w:tcW w:w="515" w:type="dxa"/>
                  <w:tcBorders>
                    <w:tl2br w:val="nil"/>
                    <w:tr2bl w:val="nil"/>
                  </w:tcBorders>
                  <w:noWrap w:val="0"/>
                  <w:vAlign w:val="center"/>
                </w:tcPr>
                <w:p w14:paraId="0F6EB52E">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机加区</w:t>
                  </w:r>
                </w:p>
              </w:tc>
              <w:tc>
                <w:tcPr>
                  <w:tcW w:w="3250" w:type="dxa"/>
                  <w:tcBorders>
                    <w:tl2br w:val="nil"/>
                    <w:tr2bl w:val="nil"/>
                  </w:tcBorders>
                  <w:noWrap w:val="0"/>
                  <w:vAlign w:val="center"/>
                </w:tcPr>
                <w:p w14:paraId="06D896D6">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sz w:val="22"/>
                      <w:szCs w:val="22"/>
                    </w:rPr>
                    <w:t>位于</w:t>
                  </w:r>
                  <w:r>
                    <w:rPr>
                      <w:rFonts w:hint="eastAsia" w:ascii="Times New Roman" w:hAnsi="Times New Roman" w:eastAsia="宋体" w:cs="Times New Roman"/>
                      <w:color w:val="auto"/>
                      <w:sz w:val="22"/>
                      <w:szCs w:val="22"/>
                      <w:lang w:eastAsia="zh-CN"/>
                    </w:rPr>
                    <w:t>熔铸车间</w:t>
                  </w:r>
                  <w:r>
                    <w:rPr>
                      <w:rFonts w:hint="default" w:ascii="Times New Roman" w:hAnsi="Times New Roman" w:eastAsia="宋体" w:cs="Times New Roman"/>
                      <w:color w:val="auto"/>
                      <w:sz w:val="22"/>
                      <w:szCs w:val="22"/>
                    </w:rPr>
                    <w:t>的南侧，设置了4台车床和4台锯床</w:t>
                  </w:r>
                </w:p>
              </w:tc>
              <w:tc>
                <w:tcPr>
                  <w:tcW w:w="3372" w:type="dxa"/>
                  <w:tcBorders>
                    <w:tl2br w:val="nil"/>
                    <w:tr2bl w:val="nil"/>
                  </w:tcBorders>
                  <w:noWrap w:val="0"/>
                  <w:vAlign w:val="center"/>
                </w:tcPr>
                <w:p w14:paraId="5FFA6802">
                  <w:pPr>
                    <w:keepNext w:val="0"/>
                    <w:keepLines w:val="0"/>
                    <w:widowControl/>
                    <w:suppressLineNumbers w:val="0"/>
                    <w:spacing w:line="240" w:lineRule="auto"/>
                    <w:jc w:val="center"/>
                    <w:textAlignment w:val="center"/>
                    <w:rPr>
                      <w:rFonts w:hint="eastAsia"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本项目生产的铝棒需要进行锯切、剥皮等机械加工，现有机械加工设备运行良好，可依托。</w:t>
                  </w:r>
                </w:p>
              </w:tc>
            </w:tr>
            <w:tr w14:paraId="310B5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86" w:type="dxa"/>
                  <w:vMerge w:val="continue"/>
                  <w:tcBorders>
                    <w:tl2br w:val="nil"/>
                    <w:tr2bl w:val="nil"/>
                  </w:tcBorders>
                  <w:noWrap w:val="0"/>
                  <w:vAlign w:val="center"/>
                </w:tcPr>
                <w:p w14:paraId="34DC7BA2">
                  <w:pPr>
                    <w:keepNext w:val="0"/>
                    <w:keepLines w:val="0"/>
                    <w:widowControl/>
                    <w:suppressLineNumbers w:val="0"/>
                    <w:spacing w:line="240" w:lineRule="auto"/>
                    <w:jc w:val="center"/>
                    <w:textAlignment w:val="center"/>
                    <w:rPr>
                      <w:rFonts w:hint="eastAsia" w:ascii="Times New Roman" w:hAnsi="Times New Roman" w:eastAsia="宋体" w:cs="Times New Roman"/>
                      <w:i w:val="0"/>
                      <w:color w:val="auto"/>
                      <w:sz w:val="22"/>
                      <w:szCs w:val="22"/>
                      <w:u w:val="none"/>
                      <w:lang w:val="en-US" w:eastAsia="zh-CN"/>
                    </w:rPr>
                  </w:pPr>
                </w:p>
              </w:tc>
              <w:tc>
                <w:tcPr>
                  <w:tcW w:w="503" w:type="dxa"/>
                  <w:vMerge w:val="continue"/>
                  <w:tcBorders>
                    <w:tl2br w:val="nil"/>
                    <w:tr2bl w:val="nil"/>
                  </w:tcBorders>
                  <w:noWrap w:val="0"/>
                  <w:vAlign w:val="center"/>
                </w:tcPr>
                <w:p w14:paraId="711AE600">
                  <w:pPr>
                    <w:keepNext w:val="0"/>
                    <w:keepLines w:val="0"/>
                    <w:widowControl/>
                    <w:suppressLineNumbers w:val="0"/>
                    <w:spacing w:line="240" w:lineRule="auto"/>
                    <w:jc w:val="center"/>
                    <w:textAlignment w:val="center"/>
                    <w:rPr>
                      <w:rFonts w:hint="eastAsia" w:ascii="Times New Roman" w:hAnsi="Times New Roman" w:eastAsia="宋体" w:cs="Times New Roman"/>
                      <w:i w:val="0"/>
                      <w:color w:val="auto"/>
                      <w:sz w:val="22"/>
                      <w:szCs w:val="22"/>
                      <w:u w:val="none"/>
                      <w:lang w:val="en-US" w:eastAsia="zh-CN"/>
                    </w:rPr>
                  </w:pPr>
                </w:p>
              </w:tc>
              <w:tc>
                <w:tcPr>
                  <w:tcW w:w="515" w:type="dxa"/>
                  <w:tcBorders>
                    <w:tl2br w:val="nil"/>
                    <w:tr2bl w:val="nil"/>
                  </w:tcBorders>
                  <w:noWrap w:val="0"/>
                  <w:vAlign w:val="center"/>
                </w:tcPr>
                <w:p w14:paraId="36AA98A5">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均质区</w:t>
                  </w:r>
                </w:p>
              </w:tc>
              <w:tc>
                <w:tcPr>
                  <w:tcW w:w="3250" w:type="dxa"/>
                  <w:tcBorders>
                    <w:tl2br w:val="nil"/>
                    <w:tr2bl w:val="nil"/>
                  </w:tcBorders>
                  <w:noWrap w:val="0"/>
                  <w:vAlign w:val="center"/>
                </w:tcPr>
                <w:p w14:paraId="7DF20757">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sz w:val="22"/>
                      <w:szCs w:val="22"/>
                      <w:lang w:eastAsia="zh-CN"/>
                    </w:rPr>
                    <w:t>位于熔铸车间的南侧，设置了</w:t>
                  </w:r>
                  <w:r>
                    <w:rPr>
                      <w:rFonts w:hint="eastAsia" w:ascii="Times New Roman" w:hAnsi="Times New Roman" w:eastAsia="宋体" w:cs="Times New Roman"/>
                      <w:color w:val="auto"/>
                      <w:sz w:val="22"/>
                      <w:szCs w:val="22"/>
                      <w:lang w:val="en-US" w:eastAsia="zh-CN"/>
                    </w:rPr>
                    <w:t>2台均质炉</w:t>
                  </w:r>
                </w:p>
              </w:tc>
              <w:tc>
                <w:tcPr>
                  <w:tcW w:w="3372" w:type="dxa"/>
                  <w:tcBorders>
                    <w:tl2br w:val="nil"/>
                    <w:tr2bl w:val="nil"/>
                  </w:tcBorders>
                  <w:noWrap w:val="0"/>
                  <w:vAlign w:val="center"/>
                </w:tcPr>
                <w:p w14:paraId="7CA2CDC7">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本项目生产的铝棒需进行均质，现有2台均质炉运行良好，可依托。</w:t>
                  </w:r>
                </w:p>
              </w:tc>
            </w:tr>
            <w:tr w14:paraId="0C1D4A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86" w:type="dxa"/>
                  <w:vMerge w:val="restart"/>
                  <w:tcBorders>
                    <w:tl2br w:val="nil"/>
                    <w:tr2bl w:val="nil"/>
                  </w:tcBorders>
                  <w:noWrap w:val="0"/>
                  <w:vAlign w:val="center"/>
                </w:tcPr>
                <w:p w14:paraId="1E766D84">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3</w:t>
                  </w:r>
                </w:p>
              </w:tc>
              <w:tc>
                <w:tcPr>
                  <w:tcW w:w="503" w:type="dxa"/>
                  <w:vMerge w:val="restart"/>
                  <w:tcBorders>
                    <w:tl2br w:val="nil"/>
                    <w:tr2bl w:val="nil"/>
                  </w:tcBorders>
                  <w:noWrap w:val="0"/>
                  <w:vAlign w:val="center"/>
                </w:tcPr>
                <w:p w14:paraId="1DEB36E6">
                  <w:pPr>
                    <w:keepNext w:val="0"/>
                    <w:keepLines w:val="0"/>
                    <w:widowControl/>
                    <w:suppressLineNumbers w:val="0"/>
                    <w:spacing w:line="240" w:lineRule="auto"/>
                    <w:jc w:val="center"/>
                    <w:textAlignment w:val="center"/>
                    <w:rPr>
                      <w:rFonts w:hint="eastAsia"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储运工程</w:t>
                  </w:r>
                </w:p>
              </w:tc>
              <w:tc>
                <w:tcPr>
                  <w:tcW w:w="515" w:type="dxa"/>
                  <w:tcBorders>
                    <w:tl2br w:val="nil"/>
                    <w:tr2bl w:val="nil"/>
                  </w:tcBorders>
                  <w:noWrap w:val="0"/>
                  <w:vAlign w:val="center"/>
                </w:tcPr>
                <w:p w14:paraId="59460009">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原材料及成品区</w:t>
                  </w:r>
                </w:p>
              </w:tc>
              <w:tc>
                <w:tcPr>
                  <w:tcW w:w="3250" w:type="dxa"/>
                  <w:tcBorders>
                    <w:tl2br w:val="nil"/>
                    <w:tr2bl w:val="nil"/>
                  </w:tcBorders>
                  <w:noWrap w:val="0"/>
                  <w:vAlign w:val="center"/>
                </w:tcPr>
                <w:p w14:paraId="4E726CE6">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b w:val="0"/>
                      <w:bCs/>
                      <w:color w:val="auto"/>
                      <w:kern w:val="0"/>
                      <w:sz w:val="22"/>
                      <w:szCs w:val="22"/>
                      <w:vertAlign w:val="baseline"/>
                      <w:lang w:val="en-US" w:eastAsia="zh-CN"/>
                    </w:rPr>
                    <w:t>位于</w:t>
                  </w:r>
                  <w:r>
                    <w:rPr>
                      <w:rFonts w:hint="eastAsia" w:ascii="Times New Roman" w:hAnsi="Times New Roman" w:eastAsia="宋体" w:cs="Times New Roman"/>
                      <w:color w:val="auto"/>
                      <w:sz w:val="22"/>
                      <w:szCs w:val="22"/>
                      <w:lang w:eastAsia="zh-CN"/>
                    </w:rPr>
                    <w:t>熔铸</w:t>
                  </w:r>
                  <w:r>
                    <w:rPr>
                      <w:rFonts w:hint="default" w:ascii="Times New Roman" w:hAnsi="Times New Roman" w:eastAsia="宋体" w:cs="Times New Roman"/>
                      <w:b w:val="0"/>
                      <w:bCs/>
                      <w:color w:val="auto"/>
                      <w:kern w:val="0"/>
                      <w:sz w:val="22"/>
                      <w:szCs w:val="22"/>
                      <w:vertAlign w:val="baseline"/>
                      <w:lang w:val="en-US" w:eastAsia="zh-CN"/>
                    </w:rPr>
                    <w:t>车间中部，主要储存原料及成品，占地面积约</w:t>
                  </w:r>
                  <w:r>
                    <w:rPr>
                      <w:rFonts w:hint="eastAsia" w:ascii="Times New Roman" w:hAnsi="Times New Roman" w:eastAsia="宋体" w:cs="Times New Roman"/>
                      <w:b w:val="0"/>
                      <w:bCs/>
                      <w:color w:val="auto"/>
                      <w:kern w:val="0"/>
                      <w:sz w:val="22"/>
                      <w:szCs w:val="22"/>
                      <w:vertAlign w:val="baseline"/>
                      <w:lang w:val="en-US" w:eastAsia="zh-CN"/>
                    </w:rPr>
                    <w:t>800</w:t>
                  </w:r>
                  <w:r>
                    <w:rPr>
                      <w:rFonts w:hint="default" w:ascii="Times New Roman" w:hAnsi="Times New Roman" w:eastAsia="宋体" w:cs="Times New Roman"/>
                      <w:b w:val="0"/>
                      <w:bCs/>
                      <w:color w:val="auto"/>
                      <w:kern w:val="0"/>
                      <w:sz w:val="22"/>
                      <w:szCs w:val="22"/>
                      <w:vertAlign w:val="baseline"/>
                      <w:lang w:val="en-US" w:eastAsia="zh-CN"/>
                    </w:rPr>
                    <w:t>m</w:t>
                  </w:r>
                  <w:r>
                    <w:rPr>
                      <w:rFonts w:hint="default" w:ascii="Times New Roman" w:hAnsi="Times New Roman" w:eastAsia="宋体" w:cs="Times New Roman"/>
                      <w:b w:val="0"/>
                      <w:bCs/>
                      <w:color w:val="auto"/>
                      <w:kern w:val="0"/>
                      <w:sz w:val="22"/>
                      <w:szCs w:val="22"/>
                      <w:vertAlign w:val="superscript"/>
                      <w:lang w:val="en-US" w:eastAsia="zh-CN"/>
                    </w:rPr>
                    <w:t>2</w:t>
                  </w:r>
                </w:p>
              </w:tc>
              <w:tc>
                <w:tcPr>
                  <w:tcW w:w="3372" w:type="dxa"/>
                  <w:tcBorders>
                    <w:tl2br w:val="nil"/>
                    <w:tr2bl w:val="nil"/>
                  </w:tcBorders>
                  <w:noWrap w:val="0"/>
                  <w:vAlign w:val="center"/>
                </w:tcPr>
                <w:p w14:paraId="0F338CB8">
                  <w:pPr>
                    <w:keepNext w:val="0"/>
                    <w:keepLines w:val="0"/>
                    <w:widowControl/>
                    <w:suppressLineNumbers w:val="0"/>
                    <w:spacing w:line="240" w:lineRule="auto"/>
                    <w:jc w:val="center"/>
                    <w:textAlignment w:val="center"/>
                    <w:rPr>
                      <w:rFonts w:hint="eastAsia"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现有原材料及成品区占地面积较大，可依托</w:t>
                  </w:r>
                </w:p>
              </w:tc>
            </w:tr>
            <w:tr w14:paraId="155C3E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86" w:type="dxa"/>
                  <w:vMerge w:val="continue"/>
                  <w:tcBorders>
                    <w:tl2br w:val="nil"/>
                    <w:tr2bl w:val="nil"/>
                  </w:tcBorders>
                  <w:noWrap w:val="0"/>
                  <w:vAlign w:val="center"/>
                </w:tcPr>
                <w:p w14:paraId="14100688">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p>
              </w:tc>
              <w:tc>
                <w:tcPr>
                  <w:tcW w:w="503" w:type="dxa"/>
                  <w:vMerge w:val="continue"/>
                  <w:tcBorders>
                    <w:tl2br w:val="nil"/>
                    <w:tr2bl w:val="nil"/>
                  </w:tcBorders>
                  <w:noWrap w:val="0"/>
                  <w:vAlign w:val="center"/>
                </w:tcPr>
                <w:p w14:paraId="62DC7ED7">
                  <w:pPr>
                    <w:keepNext w:val="0"/>
                    <w:keepLines w:val="0"/>
                    <w:widowControl/>
                    <w:suppressLineNumbers w:val="0"/>
                    <w:spacing w:line="240" w:lineRule="auto"/>
                    <w:jc w:val="center"/>
                    <w:textAlignment w:val="center"/>
                    <w:rPr>
                      <w:rFonts w:hint="eastAsia" w:ascii="Times New Roman" w:hAnsi="Times New Roman" w:eastAsia="宋体" w:cs="Times New Roman"/>
                      <w:i w:val="0"/>
                      <w:color w:val="auto"/>
                      <w:sz w:val="22"/>
                      <w:szCs w:val="22"/>
                      <w:u w:val="none"/>
                      <w:lang w:val="en-US" w:eastAsia="zh-CN"/>
                    </w:rPr>
                  </w:pPr>
                </w:p>
              </w:tc>
              <w:tc>
                <w:tcPr>
                  <w:tcW w:w="515" w:type="dxa"/>
                  <w:tcBorders>
                    <w:tl2br w:val="nil"/>
                    <w:tr2bl w:val="nil"/>
                  </w:tcBorders>
                  <w:noWrap w:val="0"/>
                  <w:vAlign w:val="center"/>
                </w:tcPr>
                <w:p w14:paraId="537B83F5">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油库</w:t>
                  </w:r>
                </w:p>
              </w:tc>
              <w:tc>
                <w:tcPr>
                  <w:tcW w:w="3250" w:type="dxa"/>
                  <w:tcBorders>
                    <w:tl2br w:val="nil"/>
                    <w:tr2bl w:val="nil"/>
                  </w:tcBorders>
                  <w:noWrap w:val="0"/>
                  <w:vAlign w:val="center"/>
                </w:tcPr>
                <w:p w14:paraId="6C405A72">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bCs/>
                      <w:color w:val="auto"/>
                      <w:sz w:val="22"/>
                      <w:szCs w:val="22"/>
                      <w:lang w:bidi="ar"/>
                    </w:rPr>
                    <w:t>位于厂区东侧，建筑面积</w:t>
                  </w:r>
                  <w:r>
                    <w:rPr>
                      <w:rFonts w:hint="default" w:ascii="Times New Roman" w:hAnsi="Times New Roman" w:eastAsia="宋体" w:cs="Times New Roman"/>
                      <w:bCs/>
                      <w:color w:val="auto"/>
                      <w:sz w:val="22"/>
                      <w:szCs w:val="22"/>
                      <w:lang w:val="en-US" w:eastAsia="zh-CN" w:bidi="ar"/>
                    </w:rPr>
                    <w:t>15</w:t>
                  </w:r>
                  <w:r>
                    <w:rPr>
                      <w:rFonts w:hint="default" w:ascii="Times New Roman" w:hAnsi="Times New Roman" w:eastAsia="宋体" w:cs="Times New Roman"/>
                      <w:bCs/>
                      <w:color w:val="auto"/>
                      <w:sz w:val="22"/>
                      <w:szCs w:val="22"/>
                      <w:lang w:bidi="ar"/>
                    </w:rPr>
                    <w:t>m</w:t>
                  </w:r>
                  <w:r>
                    <w:rPr>
                      <w:rFonts w:hint="default" w:ascii="Times New Roman" w:hAnsi="Times New Roman" w:eastAsia="宋体" w:cs="Times New Roman"/>
                      <w:bCs/>
                      <w:color w:val="auto"/>
                      <w:sz w:val="22"/>
                      <w:szCs w:val="22"/>
                      <w:vertAlign w:val="superscript"/>
                      <w:lang w:bidi="ar"/>
                    </w:rPr>
                    <w:t>2</w:t>
                  </w:r>
                  <w:r>
                    <w:rPr>
                      <w:rFonts w:hint="default" w:ascii="Times New Roman" w:hAnsi="Times New Roman" w:eastAsia="宋体" w:cs="Times New Roman"/>
                      <w:snapToGrid w:val="0"/>
                      <w:color w:val="auto"/>
                      <w:kern w:val="0"/>
                      <w:sz w:val="22"/>
                      <w:szCs w:val="22"/>
                      <w:lang w:val="en-US" w:eastAsia="zh-CN"/>
                    </w:rPr>
                    <w:t>，暂存柴油、润滑油、切削液等油品</w:t>
                  </w:r>
                </w:p>
              </w:tc>
              <w:tc>
                <w:tcPr>
                  <w:tcW w:w="3372" w:type="dxa"/>
                  <w:tcBorders>
                    <w:tl2br w:val="nil"/>
                    <w:tr2bl w:val="nil"/>
                  </w:tcBorders>
                  <w:noWrap w:val="0"/>
                  <w:vAlign w:val="center"/>
                </w:tcPr>
                <w:p w14:paraId="75268BBE">
                  <w:pPr>
                    <w:keepNext w:val="0"/>
                    <w:keepLines w:val="0"/>
                    <w:widowControl/>
                    <w:suppressLineNumbers w:val="0"/>
                    <w:spacing w:line="240" w:lineRule="auto"/>
                    <w:jc w:val="center"/>
                    <w:textAlignment w:val="center"/>
                    <w:rPr>
                      <w:rFonts w:hint="eastAsia"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本项目柴油、润滑油、切削液等新增量较少，现有油库能够满足暂存要求，可依托</w:t>
                  </w:r>
                </w:p>
              </w:tc>
            </w:tr>
            <w:tr w14:paraId="36146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86" w:type="dxa"/>
                  <w:vMerge w:val="restart"/>
                  <w:tcBorders>
                    <w:tl2br w:val="nil"/>
                    <w:tr2bl w:val="nil"/>
                  </w:tcBorders>
                  <w:noWrap w:val="0"/>
                  <w:vAlign w:val="center"/>
                </w:tcPr>
                <w:p w14:paraId="1338A9DB">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4</w:t>
                  </w:r>
                </w:p>
              </w:tc>
              <w:tc>
                <w:tcPr>
                  <w:tcW w:w="503" w:type="dxa"/>
                  <w:vMerge w:val="restart"/>
                  <w:tcBorders>
                    <w:tl2br w:val="nil"/>
                    <w:tr2bl w:val="nil"/>
                  </w:tcBorders>
                  <w:noWrap w:val="0"/>
                  <w:vAlign w:val="center"/>
                </w:tcPr>
                <w:p w14:paraId="3D801234">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公用工程</w:t>
                  </w:r>
                </w:p>
              </w:tc>
              <w:tc>
                <w:tcPr>
                  <w:tcW w:w="515" w:type="dxa"/>
                  <w:tcBorders>
                    <w:tl2br w:val="nil"/>
                    <w:tr2bl w:val="nil"/>
                  </w:tcBorders>
                  <w:noWrap w:val="0"/>
                  <w:vAlign w:val="center"/>
                </w:tcPr>
                <w:p w14:paraId="47FFACA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color w:val="auto"/>
                      <w:kern w:val="0"/>
                      <w:sz w:val="22"/>
                      <w:szCs w:val="22"/>
                      <w:vertAlign w:val="baseline"/>
                      <w:lang w:val="en-US" w:eastAsia="zh-CN"/>
                    </w:rPr>
                    <w:t>供水</w:t>
                  </w:r>
                </w:p>
              </w:tc>
              <w:tc>
                <w:tcPr>
                  <w:tcW w:w="3250" w:type="dxa"/>
                  <w:tcBorders>
                    <w:tl2br w:val="nil"/>
                    <w:tr2bl w:val="nil"/>
                  </w:tcBorders>
                  <w:noWrap w:val="0"/>
                  <w:vAlign w:val="center"/>
                </w:tcPr>
                <w:p w14:paraId="1DDAD3C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厂区配置有西南铝专用供水管网</w:t>
                  </w:r>
                </w:p>
              </w:tc>
              <w:tc>
                <w:tcPr>
                  <w:tcW w:w="3372" w:type="dxa"/>
                  <w:tcBorders>
                    <w:tl2br w:val="nil"/>
                    <w:tr2bl w:val="nil"/>
                  </w:tcBorders>
                  <w:noWrap w:val="0"/>
                  <w:vAlign w:val="center"/>
                </w:tcPr>
                <w:p w14:paraId="37C18D13">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直接依托</w:t>
                  </w:r>
                </w:p>
              </w:tc>
            </w:tr>
            <w:tr w14:paraId="39E26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86" w:type="dxa"/>
                  <w:vMerge w:val="continue"/>
                  <w:tcBorders>
                    <w:tl2br w:val="nil"/>
                    <w:tr2bl w:val="nil"/>
                  </w:tcBorders>
                  <w:noWrap w:val="0"/>
                  <w:vAlign w:val="center"/>
                </w:tcPr>
                <w:p w14:paraId="1FCDFF68">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p>
              </w:tc>
              <w:tc>
                <w:tcPr>
                  <w:tcW w:w="503" w:type="dxa"/>
                  <w:vMerge w:val="continue"/>
                  <w:tcBorders>
                    <w:tl2br w:val="nil"/>
                    <w:tr2bl w:val="nil"/>
                  </w:tcBorders>
                  <w:noWrap w:val="0"/>
                  <w:vAlign w:val="center"/>
                </w:tcPr>
                <w:p w14:paraId="1CA0CB83">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p>
              </w:tc>
              <w:tc>
                <w:tcPr>
                  <w:tcW w:w="515" w:type="dxa"/>
                  <w:tcBorders>
                    <w:tl2br w:val="nil"/>
                    <w:tr2bl w:val="nil"/>
                  </w:tcBorders>
                  <w:noWrap w:val="0"/>
                  <w:vAlign w:val="center"/>
                </w:tcPr>
                <w:p w14:paraId="2DAE33B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排水</w:t>
                  </w:r>
                </w:p>
              </w:tc>
              <w:tc>
                <w:tcPr>
                  <w:tcW w:w="3250" w:type="dxa"/>
                  <w:tcBorders>
                    <w:tl2br w:val="nil"/>
                    <w:tr2bl w:val="nil"/>
                  </w:tcBorders>
                  <w:noWrap w:val="0"/>
                  <w:vAlign w:val="center"/>
                </w:tcPr>
                <w:p w14:paraId="3782B6A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color w:val="auto"/>
                      <w:sz w:val="22"/>
                      <w:szCs w:val="22"/>
                      <w:lang w:val="en-US" w:eastAsia="zh-CN"/>
                    </w:rPr>
                    <w:t>实行雨污分流制，雨水经雨水管网收集后排入市政雨水管网，生活污水经厂区生化池处理达标后排放至市政污水管网</w:t>
                  </w:r>
                </w:p>
              </w:tc>
              <w:tc>
                <w:tcPr>
                  <w:tcW w:w="3372" w:type="dxa"/>
                  <w:tcBorders>
                    <w:tl2br w:val="nil"/>
                    <w:tr2bl w:val="nil"/>
                  </w:tcBorders>
                  <w:noWrap w:val="0"/>
                  <w:vAlign w:val="center"/>
                </w:tcPr>
                <w:p w14:paraId="6761C84E">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本</w:t>
                  </w:r>
                  <w:r>
                    <w:rPr>
                      <w:rFonts w:hint="default" w:ascii="Times New Roman" w:hAnsi="Times New Roman" w:eastAsia="宋体" w:cs="Times New Roman"/>
                      <w:i w:val="0"/>
                      <w:color w:val="auto"/>
                      <w:sz w:val="22"/>
                      <w:szCs w:val="22"/>
                      <w:u w:val="none"/>
                      <w:lang w:val="en-US" w:eastAsia="zh-CN"/>
                    </w:rPr>
                    <w:t>项目不产生生产废水，</w:t>
                  </w:r>
                  <w:r>
                    <w:rPr>
                      <w:rFonts w:hint="eastAsia" w:ascii="Times New Roman" w:hAnsi="Times New Roman" w:eastAsia="宋体" w:cs="Times New Roman"/>
                      <w:i w:val="0"/>
                      <w:color w:val="auto"/>
                      <w:sz w:val="22"/>
                      <w:szCs w:val="22"/>
                      <w:u w:val="none"/>
                      <w:lang w:val="en-US" w:eastAsia="zh-CN"/>
                    </w:rPr>
                    <w:t>不新增</w:t>
                  </w:r>
                  <w:r>
                    <w:rPr>
                      <w:rFonts w:hint="default" w:ascii="Times New Roman" w:hAnsi="Times New Roman" w:eastAsia="宋体" w:cs="Times New Roman"/>
                      <w:i w:val="0"/>
                      <w:color w:val="auto"/>
                      <w:sz w:val="22"/>
                      <w:szCs w:val="22"/>
                      <w:u w:val="none"/>
                      <w:lang w:val="en-US" w:eastAsia="zh-CN"/>
                    </w:rPr>
                    <w:t>生活污水</w:t>
                  </w:r>
                </w:p>
              </w:tc>
            </w:tr>
            <w:tr w14:paraId="17D232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386" w:type="dxa"/>
                  <w:vMerge w:val="continue"/>
                  <w:tcBorders>
                    <w:tl2br w:val="nil"/>
                    <w:tr2bl w:val="nil"/>
                  </w:tcBorders>
                  <w:noWrap w:val="0"/>
                  <w:vAlign w:val="center"/>
                </w:tcPr>
                <w:p w14:paraId="33C9AD6E">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p>
              </w:tc>
              <w:tc>
                <w:tcPr>
                  <w:tcW w:w="503" w:type="dxa"/>
                  <w:vMerge w:val="continue"/>
                  <w:tcBorders>
                    <w:tl2br w:val="nil"/>
                    <w:tr2bl w:val="nil"/>
                  </w:tcBorders>
                  <w:noWrap w:val="0"/>
                  <w:vAlign w:val="center"/>
                </w:tcPr>
                <w:p w14:paraId="381E73A1">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p>
              </w:tc>
              <w:tc>
                <w:tcPr>
                  <w:tcW w:w="515" w:type="dxa"/>
                  <w:tcBorders>
                    <w:tl2br w:val="nil"/>
                    <w:tr2bl w:val="nil"/>
                  </w:tcBorders>
                  <w:noWrap w:val="0"/>
                  <w:vAlign w:val="center"/>
                </w:tcPr>
                <w:p w14:paraId="112DB7D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color w:val="auto"/>
                      <w:kern w:val="0"/>
                      <w:sz w:val="22"/>
                      <w:szCs w:val="22"/>
                      <w:vertAlign w:val="baseline"/>
                      <w:lang w:val="en-US" w:eastAsia="zh-CN"/>
                    </w:rPr>
                    <w:t>供电</w:t>
                  </w:r>
                </w:p>
              </w:tc>
              <w:tc>
                <w:tcPr>
                  <w:tcW w:w="3250" w:type="dxa"/>
                  <w:tcBorders>
                    <w:tl2br w:val="nil"/>
                    <w:tr2bl w:val="nil"/>
                  </w:tcBorders>
                  <w:noWrap w:val="0"/>
                  <w:vAlign w:val="center"/>
                </w:tcPr>
                <w:p w14:paraId="152F9BB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厂区配置有西南铝专用供电管网</w:t>
                  </w:r>
                </w:p>
              </w:tc>
              <w:tc>
                <w:tcPr>
                  <w:tcW w:w="3372" w:type="dxa"/>
                  <w:tcBorders>
                    <w:tl2br w:val="nil"/>
                    <w:tr2bl w:val="nil"/>
                  </w:tcBorders>
                  <w:noWrap w:val="0"/>
                  <w:vAlign w:val="center"/>
                </w:tcPr>
                <w:p w14:paraId="56E1E3F1">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直接依托</w:t>
                  </w:r>
                </w:p>
              </w:tc>
            </w:tr>
            <w:tr w14:paraId="612210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386" w:type="dxa"/>
                  <w:vMerge w:val="continue"/>
                  <w:tcBorders>
                    <w:tl2br w:val="nil"/>
                    <w:tr2bl w:val="nil"/>
                  </w:tcBorders>
                  <w:noWrap w:val="0"/>
                  <w:vAlign w:val="center"/>
                </w:tcPr>
                <w:p w14:paraId="3844BBC1">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p>
              </w:tc>
              <w:tc>
                <w:tcPr>
                  <w:tcW w:w="503" w:type="dxa"/>
                  <w:vMerge w:val="continue"/>
                  <w:tcBorders>
                    <w:tl2br w:val="nil"/>
                    <w:tr2bl w:val="nil"/>
                  </w:tcBorders>
                  <w:noWrap w:val="0"/>
                  <w:vAlign w:val="center"/>
                </w:tcPr>
                <w:p w14:paraId="2D6854A8">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p>
              </w:tc>
              <w:tc>
                <w:tcPr>
                  <w:tcW w:w="515" w:type="dxa"/>
                  <w:tcBorders>
                    <w:tl2br w:val="nil"/>
                    <w:tr2bl w:val="nil"/>
                  </w:tcBorders>
                  <w:noWrap w:val="0"/>
                  <w:vAlign w:val="center"/>
                </w:tcPr>
                <w:p w14:paraId="7C10D7A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供气</w:t>
                  </w:r>
                </w:p>
              </w:tc>
              <w:tc>
                <w:tcPr>
                  <w:tcW w:w="3250" w:type="dxa"/>
                  <w:tcBorders>
                    <w:tl2br w:val="nil"/>
                    <w:tr2bl w:val="nil"/>
                  </w:tcBorders>
                  <w:noWrap w:val="0"/>
                  <w:vAlign w:val="center"/>
                </w:tcPr>
                <w:p w14:paraId="2109AB8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color w:val="auto"/>
                      <w:kern w:val="0"/>
                      <w:sz w:val="22"/>
                      <w:szCs w:val="22"/>
                      <w:vertAlign w:val="baseline"/>
                      <w:lang w:val="en-US" w:eastAsia="zh-CN"/>
                    </w:rPr>
                    <w:t>市政天然气管网</w:t>
                  </w:r>
                </w:p>
              </w:tc>
              <w:tc>
                <w:tcPr>
                  <w:tcW w:w="3372" w:type="dxa"/>
                  <w:tcBorders>
                    <w:tl2br w:val="nil"/>
                    <w:tr2bl w:val="nil"/>
                  </w:tcBorders>
                  <w:noWrap w:val="0"/>
                  <w:vAlign w:val="center"/>
                </w:tcPr>
                <w:p w14:paraId="655A5B88">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直接依托</w:t>
                  </w:r>
                </w:p>
              </w:tc>
            </w:tr>
            <w:tr w14:paraId="26C879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86" w:type="dxa"/>
                  <w:vMerge w:val="restart"/>
                  <w:tcBorders>
                    <w:tl2br w:val="nil"/>
                    <w:tr2bl w:val="nil"/>
                  </w:tcBorders>
                  <w:noWrap w:val="0"/>
                  <w:vAlign w:val="center"/>
                </w:tcPr>
                <w:p w14:paraId="2A6781B9">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5</w:t>
                  </w:r>
                </w:p>
              </w:tc>
              <w:tc>
                <w:tcPr>
                  <w:tcW w:w="503" w:type="dxa"/>
                  <w:vMerge w:val="restart"/>
                  <w:tcBorders>
                    <w:tl2br w:val="nil"/>
                    <w:tr2bl w:val="nil"/>
                  </w:tcBorders>
                  <w:noWrap w:val="0"/>
                  <w:vAlign w:val="center"/>
                </w:tcPr>
                <w:p w14:paraId="567EBE9D">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环保工程</w:t>
                  </w:r>
                </w:p>
              </w:tc>
              <w:tc>
                <w:tcPr>
                  <w:tcW w:w="515" w:type="dxa"/>
                  <w:tcBorders>
                    <w:tl2br w:val="nil"/>
                    <w:tr2bl w:val="nil"/>
                  </w:tcBorders>
                  <w:noWrap w:val="0"/>
                  <w:vAlign w:val="center"/>
                </w:tcPr>
                <w:p w14:paraId="56C5449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废水</w:t>
                  </w:r>
                </w:p>
              </w:tc>
              <w:tc>
                <w:tcPr>
                  <w:tcW w:w="3250" w:type="dxa"/>
                  <w:tcBorders>
                    <w:tl2br w:val="nil"/>
                    <w:tr2bl w:val="nil"/>
                  </w:tcBorders>
                  <w:noWrap w:val="0"/>
                  <w:vAlign w:val="center"/>
                </w:tcPr>
                <w:p w14:paraId="0CEF528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sz w:val="22"/>
                      <w:szCs w:val="22"/>
                      <w:lang w:val="en-US" w:eastAsia="zh-CN"/>
                    </w:rPr>
                    <w:t>本项目不产生生产废水，不新增生活污水。</w:t>
                  </w:r>
                  <w:r>
                    <w:rPr>
                      <w:rFonts w:hint="default" w:ascii="Times New Roman" w:hAnsi="Times New Roman" w:eastAsia="宋体" w:cs="Times New Roman"/>
                      <w:color w:val="auto"/>
                      <w:sz w:val="22"/>
                      <w:szCs w:val="22"/>
                    </w:rPr>
                    <w:t>员工洗手</w:t>
                  </w:r>
                  <w:r>
                    <w:rPr>
                      <w:rFonts w:hint="default" w:ascii="Times New Roman" w:hAnsi="Times New Roman" w:eastAsia="宋体" w:cs="Times New Roman"/>
                      <w:color w:val="auto"/>
                      <w:sz w:val="22"/>
                      <w:szCs w:val="22"/>
                      <w:lang w:val="en-US" w:eastAsia="zh-CN"/>
                    </w:rPr>
                    <w:t>废水经</w:t>
                  </w:r>
                  <w:r>
                    <w:rPr>
                      <w:rFonts w:hint="default" w:ascii="Times New Roman" w:hAnsi="Times New Roman" w:eastAsia="宋体" w:cs="Times New Roman"/>
                      <w:color w:val="auto"/>
                      <w:sz w:val="22"/>
                      <w:szCs w:val="22"/>
                    </w:rPr>
                    <w:t>隔油池（处理规模约1m</w:t>
                  </w:r>
                  <w:r>
                    <w:rPr>
                      <w:rFonts w:hint="default" w:ascii="Times New Roman" w:hAnsi="Times New Roman" w:eastAsia="宋体" w:cs="Times New Roman"/>
                      <w:color w:val="auto"/>
                      <w:sz w:val="22"/>
                      <w:szCs w:val="22"/>
                      <w:vertAlign w:val="superscript"/>
                    </w:rPr>
                    <w:t>3</w:t>
                  </w:r>
                  <w:r>
                    <w:rPr>
                      <w:rFonts w:hint="default" w:ascii="Times New Roman" w:hAnsi="Times New Roman" w:eastAsia="宋体" w:cs="Times New Roman"/>
                      <w:color w:val="auto"/>
                      <w:sz w:val="22"/>
                      <w:szCs w:val="22"/>
                    </w:rPr>
                    <w:t>/d）</w:t>
                  </w:r>
                  <w:r>
                    <w:rPr>
                      <w:rFonts w:hint="default" w:ascii="Times New Roman" w:hAnsi="Times New Roman" w:eastAsia="宋体" w:cs="Times New Roman"/>
                      <w:color w:val="auto"/>
                      <w:sz w:val="22"/>
                      <w:szCs w:val="22"/>
                      <w:lang w:val="en-US" w:eastAsia="zh-CN"/>
                    </w:rPr>
                    <w:t>处理后同其他</w:t>
                  </w:r>
                  <w:r>
                    <w:rPr>
                      <w:rFonts w:hint="default" w:ascii="Times New Roman" w:hAnsi="Times New Roman" w:eastAsia="宋体" w:cs="Times New Roman"/>
                      <w:color w:val="auto"/>
                      <w:sz w:val="22"/>
                      <w:szCs w:val="22"/>
                    </w:rPr>
                    <w:t>生活污水</w:t>
                  </w:r>
                  <w:r>
                    <w:rPr>
                      <w:rFonts w:hint="default" w:ascii="Times New Roman" w:hAnsi="Times New Roman" w:eastAsia="宋体" w:cs="Times New Roman"/>
                      <w:color w:val="auto"/>
                      <w:sz w:val="22"/>
                      <w:szCs w:val="22"/>
                      <w:lang w:val="en-US" w:eastAsia="zh-CN"/>
                    </w:rPr>
                    <w:t>一起汇至厂区生化池</w:t>
                  </w:r>
                  <w:r>
                    <w:rPr>
                      <w:rFonts w:hint="default" w:ascii="Times New Roman" w:hAnsi="Times New Roman" w:eastAsia="宋体" w:cs="Times New Roman"/>
                      <w:color w:val="auto"/>
                      <w:sz w:val="22"/>
                      <w:szCs w:val="22"/>
                    </w:rPr>
                    <w:t>（处理规模约1</w:t>
                  </w:r>
                  <w:r>
                    <w:rPr>
                      <w:rFonts w:hint="default" w:ascii="Times New Roman" w:hAnsi="Times New Roman" w:eastAsia="宋体" w:cs="Times New Roman"/>
                      <w:color w:val="auto"/>
                      <w:sz w:val="22"/>
                      <w:szCs w:val="22"/>
                      <w:lang w:val="en-US" w:eastAsia="zh-CN"/>
                    </w:rPr>
                    <w:t>0</w:t>
                  </w:r>
                  <w:r>
                    <w:rPr>
                      <w:rFonts w:hint="default" w:ascii="Times New Roman" w:hAnsi="Times New Roman" w:eastAsia="宋体" w:cs="Times New Roman"/>
                      <w:color w:val="auto"/>
                      <w:sz w:val="22"/>
                      <w:szCs w:val="22"/>
                    </w:rPr>
                    <w:t>m</w:t>
                  </w:r>
                  <w:r>
                    <w:rPr>
                      <w:rFonts w:hint="default" w:ascii="Times New Roman" w:hAnsi="Times New Roman" w:eastAsia="宋体" w:cs="Times New Roman"/>
                      <w:color w:val="auto"/>
                      <w:sz w:val="22"/>
                      <w:szCs w:val="22"/>
                      <w:vertAlign w:val="superscript"/>
                    </w:rPr>
                    <w:t>3</w:t>
                  </w:r>
                  <w:r>
                    <w:rPr>
                      <w:rFonts w:hint="default" w:ascii="Times New Roman" w:hAnsi="Times New Roman" w:eastAsia="宋体" w:cs="Times New Roman"/>
                      <w:color w:val="auto"/>
                      <w:sz w:val="22"/>
                      <w:szCs w:val="22"/>
                    </w:rPr>
                    <w:t>/d）处理达《污水综合排放标准》（GB8978-1996）三级标准后排入市政污水管网，最终经西彭城镇污水处理厂处理后排入桥头河</w:t>
                  </w:r>
                  <w:r>
                    <w:rPr>
                      <w:rFonts w:hint="default" w:ascii="Times New Roman" w:hAnsi="Times New Roman" w:eastAsia="宋体" w:cs="Times New Roman"/>
                      <w:color w:val="auto"/>
                      <w:sz w:val="22"/>
                      <w:szCs w:val="22"/>
                      <w:lang w:eastAsia="zh-CN"/>
                    </w:rPr>
                    <w:t>，</w:t>
                  </w:r>
                  <w:r>
                    <w:rPr>
                      <w:rFonts w:hint="default" w:ascii="Times New Roman" w:hAnsi="Times New Roman" w:eastAsia="宋体" w:cs="Times New Roman"/>
                      <w:bCs/>
                      <w:color w:val="auto"/>
                      <w:sz w:val="22"/>
                      <w:szCs w:val="22"/>
                      <w:lang w:val="en-US" w:eastAsia="zh-CN"/>
                    </w:rPr>
                    <w:t>最终汇入长江</w:t>
                  </w:r>
                </w:p>
              </w:tc>
              <w:tc>
                <w:tcPr>
                  <w:tcW w:w="3372" w:type="dxa"/>
                  <w:tcBorders>
                    <w:tl2br w:val="nil"/>
                    <w:tr2bl w:val="nil"/>
                  </w:tcBorders>
                  <w:noWrap w:val="0"/>
                  <w:vAlign w:val="center"/>
                </w:tcPr>
                <w:p w14:paraId="6F1389B1">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本项目不产生生产废水，不新增生活污水</w:t>
                  </w:r>
                </w:p>
              </w:tc>
            </w:tr>
            <w:tr w14:paraId="65351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86" w:type="dxa"/>
                  <w:vMerge w:val="continue"/>
                  <w:tcBorders>
                    <w:tl2br w:val="nil"/>
                    <w:tr2bl w:val="nil"/>
                  </w:tcBorders>
                  <w:noWrap w:val="0"/>
                  <w:vAlign w:val="center"/>
                </w:tcPr>
                <w:p w14:paraId="5483D2C9">
                  <w:pPr>
                    <w:keepNext w:val="0"/>
                    <w:keepLines w:val="0"/>
                    <w:widowControl/>
                    <w:suppressLineNumbers w:val="0"/>
                    <w:jc w:val="both"/>
                    <w:textAlignment w:val="center"/>
                    <w:rPr>
                      <w:rFonts w:hint="default" w:ascii="Times New Roman" w:hAnsi="Times New Roman" w:eastAsia="宋体" w:cs="Times New Roman"/>
                      <w:i w:val="0"/>
                      <w:color w:val="auto"/>
                      <w:sz w:val="22"/>
                      <w:szCs w:val="22"/>
                      <w:u w:val="none"/>
                      <w:lang w:val="en-US" w:eastAsia="zh-CN"/>
                    </w:rPr>
                  </w:pPr>
                </w:p>
              </w:tc>
              <w:tc>
                <w:tcPr>
                  <w:tcW w:w="503" w:type="dxa"/>
                  <w:vMerge w:val="continue"/>
                  <w:tcBorders>
                    <w:tl2br w:val="nil"/>
                    <w:tr2bl w:val="nil"/>
                  </w:tcBorders>
                  <w:noWrap w:val="0"/>
                  <w:vAlign w:val="center"/>
                </w:tcPr>
                <w:p w14:paraId="3DE20C96">
                  <w:pPr>
                    <w:keepNext w:val="0"/>
                    <w:keepLines w:val="0"/>
                    <w:widowControl/>
                    <w:suppressLineNumbers w:val="0"/>
                    <w:jc w:val="both"/>
                    <w:textAlignment w:val="center"/>
                    <w:rPr>
                      <w:rFonts w:hint="default" w:ascii="Times New Roman" w:hAnsi="Times New Roman" w:eastAsia="宋体" w:cs="Times New Roman"/>
                      <w:i w:val="0"/>
                      <w:color w:val="auto"/>
                      <w:sz w:val="22"/>
                      <w:szCs w:val="22"/>
                      <w:u w:val="none"/>
                      <w:lang w:val="en-US" w:eastAsia="zh-CN"/>
                    </w:rPr>
                  </w:pPr>
                </w:p>
              </w:tc>
              <w:tc>
                <w:tcPr>
                  <w:tcW w:w="515" w:type="dxa"/>
                  <w:vMerge w:val="restart"/>
                  <w:tcBorders>
                    <w:tl2br w:val="nil"/>
                    <w:tr2bl w:val="nil"/>
                  </w:tcBorders>
                  <w:noWrap w:val="0"/>
                  <w:vAlign w:val="center"/>
                </w:tcPr>
                <w:p w14:paraId="2D3A44D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废气</w:t>
                  </w:r>
                </w:p>
              </w:tc>
              <w:tc>
                <w:tcPr>
                  <w:tcW w:w="3250" w:type="dxa"/>
                  <w:tcBorders>
                    <w:tl2br w:val="nil"/>
                    <w:tr2bl w:val="nil"/>
                  </w:tcBorders>
                  <w:noWrap w:val="0"/>
                  <w:vAlign w:val="center"/>
                </w:tcPr>
                <w:p w14:paraId="6750D0F7">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kern w:val="0"/>
                      <w:sz w:val="22"/>
                      <w:szCs w:val="22"/>
                      <w:vertAlign w:val="baseline"/>
                      <w:lang w:val="en-US" w:eastAsia="zh-CN" w:bidi="ar-SA"/>
                    </w:rPr>
                    <w:t>2个25吨熔炼炉废气和1个16吨熔炼炉废气收集后一并采用</w:t>
                  </w:r>
                  <w:r>
                    <w:rPr>
                      <w:rFonts w:hint="eastAsia" w:ascii="Times New Roman" w:hAnsi="Times New Roman" w:eastAsia="宋体" w:cs="Times New Roman"/>
                      <w:color w:val="auto"/>
                      <w:kern w:val="0"/>
                      <w:sz w:val="22"/>
                      <w:szCs w:val="22"/>
                      <w:vertAlign w:val="baseline"/>
                      <w:lang w:val="en-US" w:eastAsia="zh-CN" w:bidi="ar-SA"/>
                    </w:rPr>
                    <w:t>1#</w:t>
                  </w:r>
                  <w:r>
                    <w:rPr>
                      <w:rFonts w:hint="default" w:ascii="Times New Roman" w:hAnsi="Times New Roman" w:eastAsia="宋体" w:cs="Times New Roman"/>
                      <w:color w:val="auto"/>
                      <w:kern w:val="0"/>
                      <w:sz w:val="22"/>
                      <w:szCs w:val="22"/>
                      <w:vertAlign w:val="baseline"/>
                      <w:lang w:val="en-US" w:eastAsia="zh-CN" w:bidi="ar-SA"/>
                    </w:rPr>
                    <w:t>“旋风+布袋除尘器”处理后，依托现有21m高DA002排气筒排放</w:t>
                  </w:r>
                  <w:r>
                    <w:rPr>
                      <w:rFonts w:hint="default" w:ascii="Times New Roman" w:hAnsi="Times New Roman" w:eastAsia="宋体" w:cs="Times New Roman"/>
                      <w:color w:val="auto"/>
                      <w:sz w:val="22"/>
                      <w:szCs w:val="22"/>
                      <w:lang w:val="en-US" w:eastAsia="zh-CN"/>
                    </w:rPr>
                    <w:t>。</w:t>
                  </w:r>
                  <w:r>
                    <w:rPr>
                      <w:rFonts w:hint="eastAsia" w:ascii="Times New Roman" w:hAnsi="Times New Roman" w:eastAsia="宋体" w:cs="Times New Roman"/>
                      <w:color w:val="auto"/>
                      <w:sz w:val="22"/>
                      <w:szCs w:val="22"/>
                      <w:lang w:val="en-US" w:eastAsia="zh-CN"/>
                    </w:rPr>
                    <w:t>DA002排气筒</w:t>
                  </w:r>
                  <w:r>
                    <w:rPr>
                      <w:rFonts w:hint="default" w:ascii="Times New Roman" w:hAnsi="Times New Roman" w:eastAsia="宋体" w:cs="Times New Roman"/>
                      <w:color w:val="auto"/>
                      <w:sz w:val="22"/>
                      <w:szCs w:val="22"/>
                      <w:lang w:val="en-US" w:eastAsia="zh-CN"/>
                    </w:rPr>
                    <w:t>现状风机</w:t>
                  </w:r>
                  <w:r>
                    <w:rPr>
                      <w:rFonts w:hint="eastAsia" w:ascii="Times New Roman" w:hAnsi="Times New Roman" w:eastAsia="宋体" w:cs="Times New Roman"/>
                      <w:color w:val="auto"/>
                      <w:sz w:val="22"/>
                      <w:szCs w:val="22"/>
                      <w:lang w:val="en-US" w:eastAsia="zh-CN"/>
                    </w:rPr>
                    <w:t>设计</w:t>
                  </w:r>
                  <w:r>
                    <w:rPr>
                      <w:rFonts w:hint="default" w:ascii="Times New Roman" w:hAnsi="Times New Roman" w:eastAsia="宋体" w:cs="Times New Roman"/>
                      <w:color w:val="auto"/>
                      <w:sz w:val="22"/>
                      <w:szCs w:val="22"/>
                      <w:lang w:val="en-US" w:eastAsia="zh-CN"/>
                    </w:rPr>
                    <w:t>风量为15000</w:t>
                  </w:r>
                  <w:r>
                    <w:rPr>
                      <w:rFonts w:hint="eastAsia" w:ascii="Times New Roman" w:hAnsi="Times New Roman" w:eastAsia="宋体" w:cs="Times New Roman"/>
                      <w:color w:val="auto"/>
                      <w:sz w:val="22"/>
                      <w:szCs w:val="22"/>
                      <w:lang w:val="en-US" w:eastAsia="zh-CN"/>
                    </w:rPr>
                    <w:t>0</w:t>
                  </w:r>
                  <w:r>
                    <w:rPr>
                      <w:rFonts w:hint="default" w:ascii="Times New Roman" w:hAnsi="Times New Roman" w:eastAsia="宋体" w:cs="Times New Roman"/>
                      <w:color w:val="auto"/>
                      <w:sz w:val="22"/>
                      <w:szCs w:val="22"/>
                      <w:lang w:val="en-US" w:eastAsia="zh-CN"/>
                    </w:rPr>
                    <w:t>m</w:t>
                  </w:r>
                  <w:r>
                    <w:rPr>
                      <w:rFonts w:hint="default" w:ascii="Times New Roman" w:hAnsi="Times New Roman" w:eastAsia="宋体" w:cs="Times New Roman"/>
                      <w:color w:val="auto"/>
                      <w:sz w:val="22"/>
                      <w:szCs w:val="22"/>
                      <w:vertAlign w:val="superscript"/>
                      <w:lang w:val="en-US" w:eastAsia="zh-CN"/>
                    </w:rPr>
                    <w:t>3</w:t>
                  </w:r>
                  <w:r>
                    <w:rPr>
                      <w:rFonts w:hint="default" w:ascii="Times New Roman" w:hAnsi="Times New Roman" w:eastAsia="宋体" w:cs="Times New Roman"/>
                      <w:color w:val="auto"/>
                      <w:sz w:val="22"/>
                      <w:szCs w:val="22"/>
                      <w:lang w:val="en-US" w:eastAsia="zh-CN"/>
                    </w:rPr>
                    <w:t>/h</w:t>
                  </w:r>
                </w:p>
              </w:tc>
              <w:tc>
                <w:tcPr>
                  <w:tcW w:w="3372" w:type="dxa"/>
                  <w:tcBorders>
                    <w:tl2br w:val="nil"/>
                    <w:tr2bl w:val="nil"/>
                  </w:tcBorders>
                  <w:noWrap w:val="0"/>
                  <w:vAlign w:val="center"/>
                </w:tcPr>
                <w:p w14:paraId="116F1E52">
                  <w:pPr>
                    <w:keepNext w:val="0"/>
                    <w:keepLines w:val="0"/>
                    <w:pageBreakBefore w:val="0"/>
                    <w:widowControl/>
                    <w:suppressLineNumbers w:val="0"/>
                    <w:kinsoku/>
                    <w:wordWrap w:val="0"/>
                    <w:overflowPunct/>
                    <w:topLinePunct w:val="0"/>
                    <w:autoSpaceDE/>
                    <w:autoSpaceDN/>
                    <w:bidi w:val="0"/>
                    <w:adjustRightInd/>
                    <w:snapToGrid/>
                    <w:jc w:val="both"/>
                    <w:textAlignment w:val="center"/>
                    <w:rPr>
                      <w:rFonts w:hint="default"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经核算，本项目建成后2#排气筒最大风量为125200m</w:t>
                  </w:r>
                  <w:r>
                    <w:rPr>
                      <w:rFonts w:hint="eastAsia" w:ascii="Times New Roman" w:hAnsi="Times New Roman" w:eastAsia="宋体" w:cs="Times New Roman"/>
                      <w:i w:val="0"/>
                      <w:color w:val="auto"/>
                      <w:sz w:val="22"/>
                      <w:szCs w:val="22"/>
                      <w:u w:val="none"/>
                      <w:vertAlign w:val="superscript"/>
                      <w:lang w:val="en-US" w:eastAsia="zh-CN"/>
                    </w:rPr>
                    <w:t>3</w:t>
                  </w:r>
                  <w:r>
                    <w:rPr>
                      <w:rFonts w:hint="eastAsia" w:ascii="Times New Roman" w:hAnsi="Times New Roman" w:eastAsia="宋体" w:cs="Times New Roman"/>
                      <w:i w:val="0"/>
                      <w:color w:val="auto"/>
                      <w:sz w:val="22"/>
                      <w:szCs w:val="22"/>
                      <w:u w:val="none"/>
                      <w:lang w:val="en-US" w:eastAsia="zh-CN"/>
                    </w:rPr>
                    <w:t>/h（本项目82000m</w:t>
                  </w:r>
                  <w:r>
                    <w:rPr>
                      <w:rFonts w:hint="eastAsia" w:ascii="Times New Roman" w:hAnsi="Times New Roman" w:eastAsia="宋体" w:cs="Times New Roman"/>
                      <w:i w:val="0"/>
                      <w:color w:val="auto"/>
                      <w:sz w:val="22"/>
                      <w:szCs w:val="22"/>
                      <w:u w:val="none"/>
                      <w:vertAlign w:val="superscript"/>
                      <w:lang w:val="en-US" w:eastAsia="zh-CN"/>
                    </w:rPr>
                    <w:t>3</w:t>
                  </w:r>
                  <w:r>
                    <w:rPr>
                      <w:rFonts w:hint="eastAsia" w:ascii="Times New Roman" w:hAnsi="Times New Roman" w:eastAsia="宋体" w:cs="Times New Roman"/>
                      <w:i w:val="0"/>
                      <w:color w:val="auto"/>
                      <w:sz w:val="22"/>
                      <w:szCs w:val="22"/>
                      <w:u w:val="none"/>
                      <w:lang w:val="en-US" w:eastAsia="zh-CN"/>
                    </w:rPr>
                    <w:t>/h，现有智能化产线DA002排气筒43200m</w:t>
                  </w:r>
                  <w:r>
                    <w:rPr>
                      <w:rFonts w:hint="eastAsia" w:ascii="Times New Roman" w:hAnsi="Times New Roman" w:eastAsia="宋体" w:cs="Times New Roman"/>
                      <w:i w:val="0"/>
                      <w:color w:val="auto"/>
                      <w:sz w:val="22"/>
                      <w:szCs w:val="22"/>
                      <w:u w:val="none"/>
                      <w:vertAlign w:val="superscript"/>
                      <w:lang w:val="en-US" w:eastAsia="zh-CN"/>
                    </w:rPr>
                    <w:t>3</w:t>
                  </w:r>
                  <w:r>
                    <w:rPr>
                      <w:rFonts w:hint="eastAsia" w:ascii="Times New Roman" w:hAnsi="Times New Roman" w:eastAsia="宋体" w:cs="Times New Roman"/>
                      <w:i w:val="0"/>
                      <w:color w:val="auto"/>
                      <w:sz w:val="22"/>
                      <w:szCs w:val="22"/>
                      <w:u w:val="none"/>
                      <w:lang w:val="en-US" w:eastAsia="zh-CN"/>
                    </w:rPr>
                    <w:t>/h），2#排气筒风机设计风量为150000m</w:t>
                  </w:r>
                  <w:r>
                    <w:rPr>
                      <w:rFonts w:hint="eastAsia" w:ascii="Times New Roman" w:hAnsi="Times New Roman" w:eastAsia="宋体" w:cs="Times New Roman"/>
                      <w:i w:val="0"/>
                      <w:color w:val="auto"/>
                      <w:sz w:val="22"/>
                      <w:szCs w:val="22"/>
                      <w:u w:val="none"/>
                      <w:vertAlign w:val="superscript"/>
                      <w:lang w:val="en-US" w:eastAsia="zh-CN"/>
                    </w:rPr>
                    <w:t>3</w:t>
                  </w:r>
                  <w:r>
                    <w:rPr>
                      <w:rFonts w:hint="eastAsia" w:ascii="Times New Roman" w:hAnsi="Times New Roman" w:eastAsia="宋体" w:cs="Times New Roman"/>
                      <w:i w:val="0"/>
                      <w:color w:val="auto"/>
                      <w:sz w:val="22"/>
                      <w:szCs w:val="22"/>
                      <w:u w:val="none"/>
                      <w:lang w:val="en-US" w:eastAsia="zh-CN"/>
                    </w:rPr>
                    <w:t>/h，满足要求。</w:t>
                  </w:r>
                  <w:r>
                    <w:rPr>
                      <w:rFonts w:hint="default" w:ascii="Times New Roman" w:hAnsi="Times New Roman" w:eastAsia="宋体" w:cs="Times New Roman"/>
                      <w:color w:val="auto"/>
                      <w:sz w:val="22"/>
                      <w:szCs w:val="22"/>
                      <w:lang w:val="en-US" w:eastAsia="zh-CN"/>
                    </w:rPr>
                    <w:t>同时，根据竣工环境保护验收监测报告（渝大安（环）检〔2023〕第YS026号）</w:t>
                  </w:r>
                  <w:r>
                    <w:rPr>
                      <w:rFonts w:hint="eastAsia" w:ascii="Times New Roman" w:hAnsi="Times New Roman" w:eastAsia="宋体" w:cs="Times New Roman"/>
                      <w:color w:val="auto"/>
                      <w:sz w:val="22"/>
                      <w:szCs w:val="22"/>
                      <w:lang w:val="en-US" w:eastAsia="zh-CN"/>
                    </w:rPr>
                    <w:t>及例行自行监测报告，1#“旋风+布袋除尘器”运行稳定，能够满足污染物达标排放的要求，依托可行。</w:t>
                  </w:r>
                </w:p>
              </w:tc>
            </w:tr>
            <w:tr w14:paraId="56E87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86" w:type="dxa"/>
                  <w:vMerge w:val="continue"/>
                  <w:tcBorders>
                    <w:tl2br w:val="nil"/>
                    <w:tr2bl w:val="nil"/>
                  </w:tcBorders>
                  <w:noWrap w:val="0"/>
                  <w:vAlign w:val="center"/>
                </w:tcPr>
                <w:p w14:paraId="17595625">
                  <w:pPr>
                    <w:keepNext w:val="0"/>
                    <w:keepLines w:val="0"/>
                    <w:widowControl/>
                    <w:suppressLineNumbers w:val="0"/>
                    <w:jc w:val="both"/>
                    <w:textAlignment w:val="center"/>
                    <w:rPr>
                      <w:rFonts w:hint="default" w:ascii="Times New Roman" w:hAnsi="Times New Roman" w:eastAsia="宋体" w:cs="Times New Roman"/>
                      <w:i w:val="0"/>
                      <w:color w:val="auto"/>
                      <w:sz w:val="22"/>
                      <w:szCs w:val="22"/>
                      <w:u w:val="none"/>
                      <w:lang w:val="en-US" w:eastAsia="zh-CN"/>
                    </w:rPr>
                  </w:pPr>
                </w:p>
              </w:tc>
              <w:tc>
                <w:tcPr>
                  <w:tcW w:w="503" w:type="dxa"/>
                  <w:vMerge w:val="continue"/>
                  <w:tcBorders>
                    <w:tl2br w:val="nil"/>
                    <w:tr2bl w:val="nil"/>
                  </w:tcBorders>
                  <w:noWrap w:val="0"/>
                  <w:vAlign w:val="center"/>
                </w:tcPr>
                <w:p w14:paraId="1AB53984">
                  <w:pPr>
                    <w:keepNext w:val="0"/>
                    <w:keepLines w:val="0"/>
                    <w:widowControl/>
                    <w:suppressLineNumbers w:val="0"/>
                    <w:jc w:val="both"/>
                    <w:textAlignment w:val="center"/>
                    <w:rPr>
                      <w:rFonts w:hint="default" w:ascii="Times New Roman" w:hAnsi="Times New Roman" w:eastAsia="宋体" w:cs="Times New Roman"/>
                      <w:i w:val="0"/>
                      <w:color w:val="auto"/>
                      <w:sz w:val="22"/>
                      <w:szCs w:val="22"/>
                      <w:u w:val="none"/>
                      <w:lang w:val="en-US" w:eastAsia="zh-CN"/>
                    </w:rPr>
                  </w:pPr>
                </w:p>
              </w:tc>
              <w:tc>
                <w:tcPr>
                  <w:tcW w:w="515" w:type="dxa"/>
                  <w:vMerge w:val="continue"/>
                  <w:tcBorders>
                    <w:tl2br w:val="nil"/>
                    <w:tr2bl w:val="nil"/>
                  </w:tcBorders>
                  <w:noWrap w:val="0"/>
                  <w:vAlign w:val="center"/>
                </w:tcPr>
                <w:p w14:paraId="715B2DC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3250" w:type="dxa"/>
                  <w:tcBorders>
                    <w:tl2br w:val="nil"/>
                    <w:tr2bl w:val="nil"/>
                  </w:tcBorders>
                  <w:noWrap w:val="0"/>
                  <w:vAlign w:val="center"/>
                </w:tcPr>
                <w:p w14:paraId="704B06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bidi="ar-SA"/>
                    </w:rPr>
                    <w:t>2台均质炉废气经现有15m高DA004排气筒排放</w:t>
                  </w:r>
                </w:p>
              </w:tc>
              <w:tc>
                <w:tcPr>
                  <w:tcW w:w="3372" w:type="dxa"/>
                  <w:tcBorders>
                    <w:tl2br w:val="nil"/>
                    <w:tr2bl w:val="nil"/>
                  </w:tcBorders>
                  <w:noWrap w:val="0"/>
                  <w:vAlign w:val="center"/>
                </w:tcPr>
                <w:p w14:paraId="4987E9A1">
                  <w:pPr>
                    <w:keepNext w:val="0"/>
                    <w:keepLines w:val="0"/>
                    <w:widowControl/>
                    <w:suppressLineNumbers w:val="0"/>
                    <w:jc w:val="both"/>
                    <w:textAlignment w:val="center"/>
                    <w:rPr>
                      <w:rFonts w:hint="default"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均质废气主要为天然气燃烧废气，天然气属于清洁能源，依托现有15m高排气筒进行有组织排放可行</w:t>
                  </w:r>
                </w:p>
              </w:tc>
            </w:tr>
            <w:tr w14:paraId="5122F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86" w:type="dxa"/>
                  <w:vMerge w:val="continue"/>
                  <w:tcBorders>
                    <w:tl2br w:val="nil"/>
                    <w:tr2bl w:val="nil"/>
                  </w:tcBorders>
                  <w:noWrap w:val="0"/>
                  <w:vAlign w:val="center"/>
                </w:tcPr>
                <w:p w14:paraId="21A34408">
                  <w:pPr>
                    <w:keepNext w:val="0"/>
                    <w:keepLines w:val="0"/>
                    <w:widowControl/>
                    <w:suppressLineNumbers w:val="0"/>
                    <w:jc w:val="both"/>
                    <w:textAlignment w:val="center"/>
                    <w:rPr>
                      <w:rFonts w:hint="default" w:ascii="Times New Roman" w:hAnsi="Times New Roman" w:eastAsia="宋体" w:cs="Times New Roman"/>
                      <w:i w:val="0"/>
                      <w:color w:val="auto"/>
                      <w:sz w:val="22"/>
                      <w:szCs w:val="22"/>
                      <w:u w:val="none"/>
                      <w:lang w:val="en-US" w:eastAsia="zh-CN"/>
                    </w:rPr>
                  </w:pPr>
                </w:p>
              </w:tc>
              <w:tc>
                <w:tcPr>
                  <w:tcW w:w="503" w:type="dxa"/>
                  <w:vMerge w:val="continue"/>
                  <w:tcBorders>
                    <w:tl2br w:val="nil"/>
                    <w:tr2bl w:val="nil"/>
                  </w:tcBorders>
                  <w:noWrap w:val="0"/>
                  <w:vAlign w:val="center"/>
                </w:tcPr>
                <w:p w14:paraId="3BEE0C07">
                  <w:pPr>
                    <w:keepNext w:val="0"/>
                    <w:keepLines w:val="0"/>
                    <w:widowControl/>
                    <w:suppressLineNumbers w:val="0"/>
                    <w:jc w:val="both"/>
                    <w:textAlignment w:val="center"/>
                    <w:rPr>
                      <w:rFonts w:hint="default" w:ascii="Times New Roman" w:hAnsi="Times New Roman" w:eastAsia="宋体" w:cs="Times New Roman"/>
                      <w:i w:val="0"/>
                      <w:color w:val="auto"/>
                      <w:sz w:val="22"/>
                      <w:szCs w:val="22"/>
                      <w:u w:val="none"/>
                      <w:lang w:val="en-US" w:eastAsia="zh-CN"/>
                    </w:rPr>
                  </w:pPr>
                </w:p>
              </w:tc>
              <w:tc>
                <w:tcPr>
                  <w:tcW w:w="515" w:type="dxa"/>
                  <w:vMerge w:val="restart"/>
                  <w:tcBorders>
                    <w:tl2br w:val="nil"/>
                    <w:tr2bl w:val="nil"/>
                  </w:tcBorders>
                  <w:noWrap w:val="0"/>
                  <w:vAlign w:val="center"/>
                </w:tcPr>
                <w:p w14:paraId="6485062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固废</w:t>
                  </w:r>
                </w:p>
              </w:tc>
              <w:tc>
                <w:tcPr>
                  <w:tcW w:w="3250" w:type="dxa"/>
                  <w:tcBorders>
                    <w:tl2br w:val="nil"/>
                    <w:tr2bl w:val="nil"/>
                  </w:tcBorders>
                  <w:noWrap w:val="0"/>
                  <w:vAlign w:val="center"/>
                </w:tcPr>
                <w:p w14:paraId="79092DF9">
                  <w:pPr>
                    <w:keepNext w:val="0"/>
                    <w:keepLines w:val="0"/>
                    <w:widowControl/>
                    <w:suppressLineNumbers w:val="0"/>
                    <w:jc w:val="both"/>
                    <w:textAlignment w:val="center"/>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color w:val="auto"/>
                      <w:kern w:val="0"/>
                      <w:sz w:val="22"/>
                      <w:szCs w:val="22"/>
                      <w:vertAlign w:val="baseline"/>
                      <w:lang w:val="en-US" w:eastAsia="zh-CN"/>
                    </w:rPr>
                    <w:t>设置一般固废暂存间，</w:t>
                  </w:r>
                  <w:r>
                    <w:rPr>
                      <w:rFonts w:hint="default" w:ascii="Times New Roman" w:hAnsi="Times New Roman" w:eastAsia="宋体" w:cs="Times New Roman"/>
                      <w:bCs/>
                      <w:color w:val="auto"/>
                      <w:sz w:val="22"/>
                      <w:szCs w:val="22"/>
                      <w:lang w:val="en-US" w:eastAsia="zh-CN" w:bidi="ar"/>
                    </w:rPr>
                    <w:t>位于厂区北侧</w:t>
                  </w:r>
                  <w:r>
                    <w:rPr>
                      <w:rFonts w:hint="default" w:ascii="Times New Roman" w:hAnsi="Times New Roman" w:eastAsia="宋体" w:cs="Times New Roman"/>
                      <w:bCs/>
                      <w:color w:val="auto"/>
                      <w:sz w:val="22"/>
                      <w:szCs w:val="22"/>
                      <w:lang w:bidi="ar"/>
                    </w:rPr>
                    <w:t>，</w:t>
                  </w:r>
                  <w:r>
                    <w:rPr>
                      <w:rFonts w:hint="default" w:ascii="Times New Roman" w:hAnsi="Times New Roman" w:eastAsia="宋体" w:cs="Times New Roman"/>
                      <w:bCs/>
                      <w:color w:val="auto"/>
                      <w:sz w:val="22"/>
                      <w:szCs w:val="22"/>
                      <w:lang w:val="en-US" w:eastAsia="zh-CN" w:bidi="ar"/>
                    </w:rPr>
                    <w:t>占地</w:t>
                  </w:r>
                  <w:r>
                    <w:rPr>
                      <w:rFonts w:hint="default" w:ascii="Times New Roman" w:hAnsi="Times New Roman" w:eastAsia="宋体" w:cs="Times New Roman"/>
                      <w:bCs/>
                      <w:color w:val="auto"/>
                      <w:sz w:val="22"/>
                      <w:szCs w:val="22"/>
                      <w:lang w:bidi="ar"/>
                    </w:rPr>
                    <w:t>面积约</w:t>
                  </w:r>
                  <w:r>
                    <w:rPr>
                      <w:rFonts w:hint="default" w:ascii="Times New Roman" w:hAnsi="Times New Roman" w:eastAsia="宋体" w:cs="Times New Roman"/>
                      <w:bCs/>
                      <w:color w:val="auto"/>
                      <w:sz w:val="22"/>
                      <w:szCs w:val="22"/>
                      <w:lang w:val="en-US" w:eastAsia="zh-CN" w:bidi="ar"/>
                    </w:rPr>
                    <w:t>50</w:t>
                  </w:r>
                  <w:r>
                    <w:rPr>
                      <w:rFonts w:hint="default" w:ascii="Times New Roman" w:hAnsi="Times New Roman" w:eastAsia="宋体" w:cs="Times New Roman"/>
                      <w:bCs/>
                      <w:color w:val="auto"/>
                      <w:sz w:val="22"/>
                      <w:szCs w:val="22"/>
                      <w:lang w:bidi="ar"/>
                    </w:rPr>
                    <w:t>m</w:t>
                  </w:r>
                  <w:r>
                    <w:rPr>
                      <w:rFonts w:hint="default" w:ascii="Times New Roman" w:hAnsi="Times New Roman" w:eastAsia="宋体" w:cs="Times New Roman"/>
                      <w:bCs/>
                      <w:color w:val="auto"/>
                      <w:sz w:val="22"/>
                      <w:szCs w:val="22"/>
                      <w:vertAlign w:val="superscript"/>
                      <w:lang w:bidi="ar"/>
                    </w:rPr>
                    <w:t>2</w:t>
                  </w:r>
                  <w:r>
                    <w:rPr>
                      <w:rFonts w:hint="default" w:ascii="Times New Roman" w:hAnsi="Times New Roman" w:eastAsia="宋体" w:cs="Times New Roman"/>
                      <w:bCs/>
                      <w:color w:val="auto"/>
                      <w:sz w:val="22"/>
                      <w:szCs w:val="22"/>
                      <w:lang w:bidi="ar"/>
                    </w:rPr>
                    <w:t>，用于暂存一般固体废物</w:t>
                  </w:r>
                  <w:r>
                    <w:rPr>
                      <w:rFonts w:hint="default" w:ascii="Times New Roman" w:hAnsi="Times New Roman" w:eastAsia="宋体" w:cs="Times New Roman"/>
                      <w:bCs/>
                      <w:color w:val="auto"/>
                      <w:sz w:val="22"/>
                      <w:szCs w:val="22"/>
                      <w:lang w:eastAsia="zh-CN" w:bidi="ar"/>
                    </w:rPr>
                    <w:t>。</w:t>
                  </w:r>
                </w:p>
              </w:tc>
              <w:tc>
                <w:tcPr>
                  <w:tcW w:w="3372" w:type="dxa"/>
                  <w:tcBorders>
                    <w:tl2br w:val="nil"/>
                    <w:tr2bl w:val="nil"/>
                  </w:tcBorders>
                  <w:noWrap w:val="0"/>
                  <w:vAlign w:val="center"/>
                </w:tcPr>
                <w:p w14:paraId="5439D1FF">
                  <w:pPr>
                    <w:keepNext w:val="0"/>
                    <w:keepLines w:val="0"/>
                    <w:widowControl/>
                    <w:suppressLineNumbers w:val="0"/>
                    <w:jc w:val="both"/>
                    <w:textAlignment w:val="center"/>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现有一般固废暂存间已进行一般防渗处理，</w:t>
                  </w:r>
                  <w:r>
                    <w:rPr>
                      <w:rFonts w:hint="eastAsia" w:ascii="Times New Roman" w:hAnsi="Times New Roman" w:eastAsia="宋体" w:cs="Times New Roman"/>
                      <w:i w:val="0"/>
                      <w:color w:val="auto"/>
                      <w:sz w:val="22"/>
                      <w:szCs w:val="22"/>
                      <w:u w:val="none"/>
                      <w:lang w:val="en-US" w:eastAsia="zh-CN"/>
                    </w:rPr>
                    <w:t>满足规范化建设要求。现有一般固废暂存间占地面积约50m</w:t>
                  </w:r>
                  <w:r>
                    <w:rPr>
                      <w:rFonts w:hint="eastAsia" w:ascii="Times New Roman" w:hAnsi="Times New Roman" w:eastAsia="宋体" w:cs="Times New Roman"/>
                      <w:i w:val="0"/>
                      <w:color w:val="auto"/>
                      <w:sz w:val="22"/>
                      <w:szCs w:val="22"/>
                      <w:u w:val="none"/>
                      <w:vertAlign w:val="superscript"/>
                      <w:lang w:val="en-US" w:eastAsia="zh-CN"/>
                    </w:rPr>
                    <w:t>2</w:t>
                  </w:r>
                  <w:r>
                    <w:rPr>
                      <w:rFonts w:hint="eastAsia" w:ascii="Times New Roman" w:hAnsi="Times New Roman" w:eastAsia="宋体" w:cs="Times New Roman"/>
                      <w:i w:val="0"/>
                      <w:color w:val="auto"/>
                      <w:sz w:val="22"/>
                      <w:szCs w:val="22"/>
                      <w:u w:val="none"/>
                      <w:lang w:val="en-US" w:eastAsia="zh-CN"/>
                    </w:rPr>
                    <w:t>，按照堆高2m进行计算，可接纳100m</w:t>
                  </w:r>
                  <w:r>
                    <w:rPr>
                      <w:rFonts w:hint="eastAsia" w:ascii="Times New Roman" w:hAnsi="Times New Roman" w:eastAsia="宋体" w:cs="Times New Roman"/>
                      <w:i w:val="0"/>
                      <w:color w:val="auto"/>
                      <w:sz w:val="22"/>
                      <w:szCs w:val="22"/>
                      <w:u w:val="none"/>
                      <w:vertAlign w:val="superscript"/>
                      <w:lang w:val="en-US" w:eastAsia="zh-CN"/>
                    </w:rPr>
                    <w:t>3</w:t>
                  </w:r>
                  <w:r>
                    <w:rPr>
                      <w:rFonts w:hint="eastAsia" w:ascii="Times New Roman" w:hAnsi="Times New Roman" w:eastAsia="宋体" w:cs="Times New Roman"/>
                      <w:i w:val="0"/>
                      <w:color w:val="auto"/>
                      <w:sz w:val="22"/>
                      <w:szCs w:val="22"/>
                      <w:u w:val="none"/>
                      <w:lang w:val="en-US" w:eastAsia="zh-CN"/>
                    </w:rPr>
                    <w:t>的一般固废，容量较大，满足本项目的处理需求</w:t>
                  </w:r>
                </w:p>
              </w:tc>
            </w:tr>
            <w:tr w14:paraId="492EF3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86" w:type="dxa"/>
                  <w:vMerge w:val="continue"/>
                  <w:tcBorders>
                    <w:tl2br w:val="nil"/>
                    <w:tr2bl w:val="nil"/>
                  </w:tcBorders>
                  <w:noWrap w:val="0"/>
                  <w:vAlign w:val="center"/>
                </w:tcPr>
                <w:p w14:paraId="22F87E0C">
                  <w:pPr>
                    <w:keepNext w:val="0"/>
                    <w:keepLines w:val="0"/>
                    <w:widowControl/>
                    <w:suppressLineNumbers w:val="0"/>
                    <w:jc w:val="both"/>
                    <w:textAlignment w:val="center"/>
                    <w:rPr>
                      <w:rFonts w:hint="default" w:ascii="Times New Roman" w:hAnsi="Times New Roman" w:eastAsia="宋体" w:cs="Times New Roman"/>
                      <w:i w:val="0"/>
                      <w:color w:val="auto"/>
                      <w:sz w:val="22"/>
                      <w:szCs w:val="22"/>
                      <w:u w:val="none"/>
                      <w:lang w:val="en-US" w:eastAsia="zh-CN"/>
                    </w:rPr>
                  </w:pPr>
                </w:p>
              </w:tc>
              <w:tc>
                <w:tcPr>
                  <w:tcW w:w="503" w:type="dxa"/>
                  <w:vMerge w:val="continue"/>
                  <w:tcBorders>
                    <w:tl2br w:val="nil"/>
                    <w:tr2bl w:val="nil"/>
                  </w:tcBorders>
                  <w:noWrap w:val="0"/>
                  <w:vAlign w:val="center"/>
                </w:tcPr>
                <w:p w14:paraId="6DC63CF1">
                  <w:pPr>
                    <w:keepNext w:val="0"/>
                    <w:keepLines w:val="0"/>
                    <w:widowControl/>
                    <w:suppressLineNumbers w:val="0"/>
                    <w:jc w:val="both"/>
                    <w:textAlignment w:val="center"/>
                    <w:rPr>
                      <w:rFonts w:hint="default" w:ascii="Times New Roman" w:hAnsi="Times New Roman" w:eastAsia="宋体" w:cs="Times New Roman"/>
                      <w:i w:val="0"/>
                      <w:color w:val="auto"/>
                      <w:sz w:val="22"/>
                      <w:szCs w:val="22"/>
                      <w:u w:val="none"/>
                      <w:lang w:val="en-US" w:eastAsia="zh-CN"/>
                    </w:rPr>
                  </w:pPr>
                </w:p>
              </w:tc>
              <w:tc>
                <w:tcPr>
                  <w:tcW w:w="515" w:type="dxa"/>
                  <w:vMerge w:val="continue"/>
                  <w:tcBorders>
                    <w:tl2br w:val="nil"/>
                    <w:tr2bl w:val="nil"/>
                  </w:tcBorders>
                  <w:noWrap w:val="0"/>
                  <w:vAlign w:val="center"/>
                </w:tcPr>
                <w:p w14:paraId="21A69A2E">
                  <w:pPr>
                    <w:keepNext w:val="0"/>
                    <w:keepLines w:val="0"/>
                    <w:widowControl/>
                    <w:suppressLineNumbers w:val="0"/>
                    <w:jc w:val="both"/>
                    <w:textAlignment w:val="center"/>
                    <w:rPr>
                      <w:rFonts w:hint="default" w:ascii="Times New Roman" w:hAnsi="Times New Roman" w:eastAsia="宋体" w:cs="Times New Roman"/>
                      <w:i w:val="0"/>
                      <w:color w:val="auto"/>
                      <w:sz w:val="22"/>
                      <w:szCs w:val="22"/>
                      <w:u w:val="none"/>
                      <w:lang w:val="en-US" w:eastAsia="zh-CN"/>
                    </w:rPr>
                  </w:pPr>
                </w:p>
              </w:tc>
              <w:tc>
                <w:tcPr>
                  <w:tcW w:w="3250" w:type="dxa"/>
                  <w:tcBorders>
                    <w:tl2br w:val="nil"/>
                    <w:tr2bl w:val="nil"/>
                  </w:tcBorders>
                  <w:noWrap w:val="0"/>
                  <w:vAlign w:val="center"/>
                </w:tcPr>
                <w:p w14:paraId="44E2B6DB">
                  <w:pPr>
                    <w:keepNext w:val="0"/>
                    <w:keepLines w:val="0"/>
                    <w:widowControl/>
                    <w:suppressLineNumbers w:val="0"/>
                    <w:jc w:val="both"/>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设置</w:t>
                  </w:r>
                  <w:r>
                    <w:rPr>
                      <w:rFonts w:hint="eastAsia" w:ascii="Times New Roman" w:hAnsi="Times New Roman" w:eastAsia="宋体" w:cs="Times New Roman"/>
                      <w:color w:val="auto"/>
                      <w:kern w:val="0"/>
                      <w:sz w:val="22"/>
                      <w:szCs w:val="22"/>
                      <w:vertAlign w:val="baseline"/>
                      <w:lang w:val="en-US" w:eastAsia="zh-CN"/>
                    </w:rPr>
                    <w:t>危废贮存库</w:t>
                  </w:r>
                  <w:r>
                    <w:rPr>
                      <w:rFonts w:hint="default" w:ascii="Times New Roman" w:hAnsi="Times New Roman" w:eastAsia="宋体" w:cs="Times New Roman"/>
                      <w:color w:val="auto"/>
                      <w:kern w:val="0"/>
                      <w:sz w:val="22"/>
                      <w:szCs w:val="22"/>
                      <w:vertAlign w:val="baseline"/>
                      <w:lang w:val="en-US" w:eastAsia="zh-CN"/>
                    </w:rPr>
                    <w:t>，</w:t>
                  </w:r>
                  <w:r>
                    <w:rPr>
                      <w:rFonts w:hint="default" w:ascii="Times New Roman" w:hAnsi="Times New Roman" w:eastAsia="宋体" w:cs="Times New Roman"/>
                      <w:bCs/>
                      <w:color w:val="auto"/>
                      <w:sz w:val="22"/>
                      <w:szCs w:val="22"/>
                      <w:lang w:val="en-US" w:eastAsia="zh-CN" w:bidi="ar"/>
                    </w:rPr>
                    <w:t>位于厂区北侧，采用钢板进行防渗，占地面积约200m</w:t>
                  </w:r>
                  <w:r>
                    <w:rPr>
                      <w:rFonts w:hint="default" w:ascii="Times New Roman" w:hAnsi="Times New Roman" w:eastAsia="宋体" w:cs="Times New Roman"/>
                      <w:bCs/>
                      <w:color w:val="auto"/>
                      <w:sz w:val="22"/>
                      <w:szCs w:val="22"/>
                      <w:vertAlign w:val="superscript"/>
                      <w:lang w:bidi="ar"/>
                    </w:rPr>
                    <w:t>2</w:t>
                  </w:r>
                  <w:r>
                    <w:rPr>
                      <w:rFonts w:hint="default" w:ascii="Times New Roman" w:hAnsi="Times New Roman" w:eastAsia="宋体" w:cs="Times New Roman"/>
                      <w:bCs/>
                      <w:color w:val="auto"/>
                      <w:sz w:val="22"/>
                      <w:szCs w:val="22"/>
                      <w:lang w:bidi="ar"/>
                    </w:rPr>
                    <w:t>，</w:t>
                  </w:r>
                  <w:r>
                    <w:rPr>
                      <w:rFonts w:hint="default" w:ascii="Times New Roman" w:hAnsi="Times New Roman" w:eastAsia="宋体" w:cs="Times New Roman"/>
                      <w:bCs/>
                      <w:color w:val="auto"/>
                      <w:sz w:val="22"/>
                      <w:szCs w:val="22"/>
                      <w:lang w:val="en-US" w:eastAsia="zh-CN" w:bidi="ar"/>
                    </w:rPr>
                    <w:t>用于暂存危险废物</w:t>
                  </w:r>
                </w:p>
              </w:tc>
              <w:tc>
                <w:tcPr>
                  <w:tcW w:w="3372" w:type="dxa"/>
                  <w:tcBorders>
                    <w:tl2br w:val="nil"/>
                    <w:tr2bl w:val="nil"/>
                  </w:tcBorders>
                  <w:noWrap w:val="0"/>
                  <w:vAlign w:val="center"/>
                </w:tcPr>
                <w:p w14:paraId="3E3C9938">
                  <w:pPr>
                    <w:keepNext w:val="0"/>
                    <w:keepLines w:val="0"/>
                    <w:widowControl/>
                    <w:suppressLineNumbers w:val="0"/>
                    <w:jc w:val="both"/>
                    <w:textAlignment w:val="center"/>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建设单位已建危废贮存库，占地面积约200m</w:t>
                  </w:r>
                  <w:r>
                    <w:rPr>
                      <w:rFonts w:hint="default" w:ascii="Times New Roman" w:hAnsi="Times New Roman" w:eastAsia="宋体" w:cs="Times New Roman"/>
                      <w:i w:val="0"/>
                      <w:color w:val="auto"/>
                      <w:sz w:val="22"/>
                      <w:szCs w:val="22"/>
                      <w:u w:val="none"/>
                      <w:vertAlign w:val="superscript"/>
                      <w:lang w:val="en-US" w:eastAsia="zh-CN"/>
                    </w:rPr>
                    <w:t>2</w:t>
                  </w:r>
                  <w:r>
                    <w:rPr>
                      <w:rFonts w:hint="default" w:ascii="Times New Roman" w:hAnsi="Times New Roman" w:eastAsia="宋体" w:cs="Times New Roman"/>
                      <w:i w:val="0"/>
                      <w:color w:val="auto"/>
                      <w:sz w:val="22"/>
                      <w:szCs w:val="22"/>
                      <w:u w:val="none"/>
                      <w:lang w:val="en-US" w:eastAsia="zh-CN"/>
                    </w:rPr>
                    <w:t>。本项目危废堆高按照1.5m进行控制，危废贮存库有效容积约180m</w:t>
                  </w:r>
                  <w:r>
                    <w:rPr>
                      <w:rFonts w:hint="default" w:ascii="Times New Roman" w:hAnsi="Times New Roman" w:eastAsia="宋体" w:cs="Times New Roman"/>
                      <w:i w:val="0"/>
                      <w:color w:val="auto"/>
                      <w:sz w:val="22"/>
                      <w:szCs w:val="22"/>
                      <w:u w:val="none"/>
                      <w:vertAlign w:val="superscript"/>
                      <w:lang w:val="en-US" w:eastAsia="zh-CN"/>
                    </w:rPr>
                    <w:t>2</w:t>
                  </w:r>
                  <w:r>
                    <w:rPr>
                      <w:rFonts w:hint="default" w:ascii="Times New Roman" w:hAnsi="Times New Roman" w:eastAsia="宋体" w:cs="Times New Roman"/>
                      <w:i w:val="0"/>
                      <w:color w:val="auto"/>
                      <w:sz w:val="22"/>
                      <w:szCs w:val="22"/>
                      <w:u w:val="none"/>
                      <w:lang w:val="en-US" w:eastAsia="zh-CN"/>
                    </w:rPr>
                    <w:t>，有效贮存体积约270m</w:t>
                  </w:r>
                  <w:r>
                    <w:rPr>
                      <w:rFonts w:hint="default" w:ascii="Times New Roman" w:hAnsi="Times New Roman" w:eastAsia="宋体" w:cs="Times New Roman"/>
                      <w:i w:val="0"/>
                      <w:color w:val="auto"/>
                      <w:sz w:val="22"/>
                      <w:szCs w:val="22"/>
                      <w:u w:val="none"/>
                      <w:vertAlign w:val="superscript"/>
                      <w:lang w:val="en-US" w:eastAsia="zh-CN"/>
                    </w:rPr>
                    <w:t>3</w:t>
                  </w:r>
                  <w:r>
                    <w:rPr>
                      <w:rFonts w:hint="default" w:ascii="Times New Roman" w:hAnsi="Times New Roman" w:eastAsia="宋体" w:cs="Times New Roman"/>
                      <w:i w:val="0"/>
                      <w:color w:val="auto"/>
                      <w:sz w:val="22"/>
                      <w:szCs w:val="22"/>
                      <w:u w:val="none"/>
                      <w:lang w:val="en-US" w:eastAsia="zh-CN"/>
                    </w:rPr>
                    <w:t>，本项目建成后，全厂的危险废物年产生量约</w:t>
                  </w:r>
                  <w:r>
                    <w:rPr>
                      <w:rFonts w:hint="eastAsia" w:ascii="Times New Roman" w:hAnsi="Times New Roman" w:eastAsia="宋体" w:cs="Times New Roman"/>
                      <w:i w:val="0"/>
                      <w:color w:val="auto"/>
                      <w:sz w:val="22"/>
                      <w:szCs w:val="22"/>
                      <w:u w:val="none"/>
                      <w:lang w:val="en-US" w:eastAsia="zh-CN"/>
                    </w:rPr>
                    <w:t>6022.92</w:t>
                  </w:r>
                  <w:r>
                    <w:rPr>
                      <w:rFonts w:hint="default" w:ascii="Times New Roman" w:hAnsi="Times New Roman" w:eastAsia="宋体" w:cs="Times New Roman"/>
                      <w:i w:val="0"/>
                      <w:color w:val="auto"/>
                      <w:sz w:val="22"/>
                      <w:szCs w:val="22"/>
                      <w:u w:val="none"/>
                      <w:lang w:val="en-US" w:eastAsia="zh-CN"/>
                    </w:rPr>
                    <w:t>t/a，转移周期约15d/1次，则危险废物的单月需要贮存的最大量为</w:t>
                  </w:r>
                  <w:r>
                    <w:rPr>
                      <w:rFonts w:hint="eastAsia" w:ascii="Times New Roman" w:hAnsi="Times New Roman" w:eastAsia="宋体" w:cs="Times New Roman"/>
                      <w:i w:val="0"/>
                      <w:color w:val="auto"/>
                      <w:sz w:val="22"/>
                      <w:szCs w:val="22"/>
                      <w:u w:val="none"/>
                      <w:lang w:val="en-US" w:eastAsia="zh-CN"/>
                    </w:rPr>
                    <w:t>251</w:t>
                  </w:r>
                  <w:r>
                    <w:rPr>
                      <w:rFonts w:hint="default" w:ascii="Times New Roman" w:hAnsi="Times New Roman" w:eastAsia="宋体" w:cs="Times New Roman"/>
                      <w:i w:val="0"/>
                      <w:color w:val="auto"/>
                      <w:sz w:val="22"/>
                      <w:szCs w:val="22"/>
                      <w:u w:val="none"/>
                      <w:lang w:val="en-US" w:eastAsia="zh-CN"/>
                    </w:rPr>
                    <w:t>t，满足贮存本项目实施后全厂贮存需求</w:t>
                  </w:r>
                </w:p>
              </w:tc>
            </w:tr>
          </w:tbl>
          <w:p w14:paraId="213E3E24">
            <w:pPr>
              <w:keepNext w:val="0"/>
              <w:keepLines w:val="0"/>
              <w:pageBreakBefore w:val="0"/>
              <w:widowControl w:val="0"/>
              <w:kinsoku/>
              <w:wordWrap/>
              <w:overflowPunct/>
              <w:topLinePunct w:val="0"/>
              <w:autoSpaceDE/>
              <w:autoSpaceDN/>
              <w:bidi w:val="0"/>
              <w:spacing w:line="460" w:lineRule="exact"/>
              <w:textAlignment w:val="auto"/>
              <w:rPr>
                <w:rFonts w:hint="eastAsia" w:ascii="Times New Roman" w:hAnsi="Times New Roman" w:eastAsia="宋体" w:cs="Times New Roman"/>
                <w:b/>
                <w:color w:val="auto"/>
                <w:sz w:val="26"/>
                <w:szCs w:val="26"/>
                <w:highlight w:val="none"/>
                <w:lang w:val="en-US" w:eastAsia="zh-CN"/>
              </w:rPr>
            </w:pPr>
          </w:p>
          <w:p w14:paraId="32CF5A9E">
            <w:pPr>
              <w:keepNext w:val="0"/>
              <w:keepLines w:val="0"/>
              <w:pageBreakBefore w:val="0"/>
              <w:widowControl w:val="0"/>
              <w:kinsoku/>
              <w:wordWrap/>
              <w:overflowPunct/>
              <w:topLinePunct w:val="0"/>
              <w:autoSpaceDE/>
              <w:autoSpaceDN/>
              <w:bidi w:val="0"/>
              <w:spacing w:line="460" w:lineRule="exact"/>
              <w:textAlignment w:val="auto"/>
              <w:rPr>
                <w:rFonts w:hint="default"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color w:val="auto"/>
                <w:sz w:val="26"/>
                <w:szCs w:val="26"/>
                <w:highlight w:val="none"/>
                <w:lang w:val="en-US" w:eastAsia="zh-CN"/>
              </w:rPr>
              <w:t>2.5</w:t>
            </w:r>
            <w:r>
              <w:rPr>
                <w:rFonts w:hint="default" w:ascii="Times New Roman" w:hAnsi="Times New Roman" w:eastAsia="宋体" w:cs="Times New Roman"/>
                <w:b/>
                <w:color w:val="auto"/>
                <w:sz w:val="26"/>
                <w:szCs w:val="26"/>
                <w:highlight w:val="none"/>
                <w:lang w:val="en-US" w:eastAsia="zh-CN"/>
              </w:rPr>
              <w:t>主</w:t>
            </w:r>
            <w:r>
              <w:rPr>
                <w:rFonts w:hint="default" w:ascii="Times New Roman" w:hAnsi="Times New Roman" w:eastAsia="宋体" w:cs="Times New Roman"/>
                <w:b/>
                <w:bCs/>
                <w:color w:val="auto"/>
                <w:kern w:val="0"/>
                <w:sz w:val="26"/>
                <w:szCs w:val="26"/>
                <w:lang w:val="en-US" w:eastAsia="zh-CN"/>
              </w:rPr>
              <w:t>要生产设施及设施参数</w:t>
            </w:r>
          </w:p>
          <w:p w14:paraId="5B0FB9CC">
            <w:pPr>
              <w:adjustRightInd w:val="0"/>
              <w:snapToGrid w:val="0"/>
              <w:spacing w:line="460" w:lineRule="exact"/>
              <w:jc w:val="left"/>
              <w:rPr>
                <w:rFonts w:hint="eastAsia"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lang w:val="en-US" w:eastAsia="zh-CN"/>
              </w:rPr>
              <w:t>2.5.1主要生产设备设施</w:t>
            </w:r>
          </w:p>
          <w:p w14:paraId="62A79026">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Times New Roman" w:hAnsi="Times New Roman" w:eastAsia="宋体" w:cs="Times New Roman"/>
                <w:color w:val="auto"/>
                <w:sz w:val="26"/>
                <w:szCs w:val="26"/>
                <w:highlight w:val="none"/>
                <w:lang w:eastAsia="zh-CN"/>
              </w:rPr>
            </w:pPr>
            <w:r>
              <w:rPr>
                <w:rFonts w:hint="default" w:ascii="Times New Roman" w:hAnsi="Times New Roman" w:eastAsia="宋体" w:cs="Times New Roman"/>
                <w:color w:val="auto"/>
                <w:sz w:val="26"/>
                <w:szCs w:val="26"/>
                <w:highlight w:val="none"/>
              </w:rPr>
              <w:t>对照工信部《高耗能落后机电设备（产品）淘汰目录》（第一批、第二批）、《部分工业行业淘汰落后生产工艺装备和产品指导目录（2010年本）》</w:t>
            </w:r>
            <w:r>
              <w:rPr>
                <w:rFonts w:hint="default" w:ascii="Times New Roman" w:hAnsi="Times New Roman" w:eastAsia="宋体" w:cs="Times New Roman"/>
                <w:color w:val="auto"/>
                <w:sz w:val="26"/>
                <w:szCs w:val="26"/>
                <w:highlight w:val="none"/>
                <w:lang w:eastAsia="zh-CN"/>
              </w:rPr>
              <w:t>（</w:t>
            </w:r>
            <w:r>
              <w:rPr>
                <w:rFonts w:hint="default" w:ascii="Times New Roman" w:hAnsi="Times New Roman" w:eastAsia="宋体" w:cs="Times New Roman"/>
                <w:color w:val="auto"/>
                <w:sz w:val="26"/>
                <w:szCs w:val="26"/>
                <w:highlight w:val="none"/>
              </w:rPr>
              <w:t>工信部工产业</w:t>
            </w:r>
            <w:r>
              <w:rPr>
                <w:rFonts w:hint="eastAsia" w:ascii="Times New Roman" w:hAnsi="Times New Roman" w:eastAsia="宋体" w:cs="Times New Roman"/>
                <w:color w:val="auto"/>
                <w:sz w:val="26"/>
                <w:szCs w:val="26"/>
                <w:highlight w:val="none"/>
                <w:lang w:eastAsia="zh-CN"/>
              </w:rPr>
              <w:t>〔</w:t>
            </w:r>
            <w:r>
              <w:rPr>
                <w:rFonts w:hint="default" w:ascii="Times New Roman" w:hAnsi="Times New Roman" w:eastAsia="宋体" w:cs="Times New Roman"/>
                <w:color w:val="auto"/>
                <w:sz w:val="26"/>
                <w:szCs w:val="26"/>
                <w:highlight w:val="none"/>
              </w:rPr>
              <w:t>2010</w:t>
            </w:r>
            <w:r>
              <w:rPr>
                <w:rFonts w:hint="eastAsia" w:ascii="Times New Roman" w:hAnsi="Times New Roman" w:eastAsia="宋体" w:cs="Times New Roman"/>
                <w:color w:val="auto"/>
                <w:sz w:val="26"/>
                <w:szCs w:val="26"/>
                <w:highlight w:val="none"/>
                <w:lang w:eastAsia="zh-CN"/>
              </w:rPr>
              <w:t>〕</w:t>
            </w:r>
            <w:r>
              <w:rPr>
                <w:rFonts w:hint="default" w:ascii="Times New Roman" w:hAnsi="Times New Roman" w:eastAsia="宋体" w:cs="Times New Roman"/>
                <w:color w:val="auto"/>
                <w:sz w:val="26"/>
                <w:szCs w:val="26"/>
                <w:highlight w:val="none"/>
              </w:rPr>
              <w:t>第122号</w:t>
            </w:r>
            <w:r>
              <w:rPr>
                <w:rFonts w:hint="default" w:ascii="Times New Roman" w:hAnsi="Times New Roman" w:eastAsia="宋体" w:cs="Times New Roman"/>
                <w:color w:val="auto"/>
                <w:sz w:val="26"/>
                <w:szCs w:val="26"/>
                <w:highlight w:val="none"/>
                <w:lang w:eastAsia="zh-CN"/>
              </w:rPr>
              <w:t>）</w:t>
            </w:r>
            <w:r>
              <w:rPr>
                <w:rFonts w:hint="default" w:ascii="Times New Roman" w:hAnsi="Times New Roman" w:eastAsia="宋体" w:cs="Times New Roman"/>
                <w:color w:val="auto"/>
                <w:sz w:val="26"/>
                <w:szCs w:val="26"/>
                <w:highlight w:val="none"/>
              </w:rPr>
              <w:t>及《产业结构调整指导目录（20</w:t>
            </w:r>
            <w:r>
              <w:rPr>
                <w:rFonts w:hint="eastAsia" w:ascii="Times New Roman" w:hAnsi="Times New Roman" w:eastAsia="宋体" w:cs="Times New Roman"/>
                <w:color w:val="auto"/>
                <w:sz w:val="26"/>
                <w:szCs w:val="26"/>
                <w:highlight w:val="none"/>
                <w:lang w:val="en-US" w:eastAsia="zh-CN"/>
              </w:rPr>
              <w:t>24</w:t>
            </w:r>
            <w:r>
              <w:rPr>
                <w:rFonts w:hint="default" w:ascii="Times New Roman" w:hAnsi="Times New Roman" w:eastAsia="宋体" w:cs="Times New Roman"/>
                <w:color w:val="auto"/>
                <w:sz w:val="26"/>
                <w:szCs w:val="26"/>
                <w:highlight w:val="none"/>
              </w:rPr>
              <w:t>年本）》，</w:t>
            </w:r>
            <w:r>
              <w:rPr>
                <w:rFonts w:hint="eastAsia" w:ascii="Times New Roman" w:hAnsi="Times New Roman" w:eastAsia="宋体" w:cs="Times New Roman"/>
                <w:color w:val="auto"/>
                <w:sz w:val="26"/>
                <w:szCs w:val="26"/>
                <w:highlight w:val="none"/>
                <w:lang w:val="en-US" w:eastAsia="zh-CN"/>
              </w:rPr>
              <w:t>本</w:t>
            </w:r>
            <w:r>
              <w:rPr>
                <w:rFonts w:hint="default" w:ascii="Times New Roman" w:hAnsi="Times New Roman" w:eastAsia="宋体" w:cs="Times New Roman"/>
                <w:color w:val="auto"/>
                <w:sz w:val="26"/>
                <w:szCs w:val="26"/>
                <w:highlight w:val="none"/>
                <w:lang w:eastAsia="zh-CN"/>
              </w:rPr>
              <w:t>项目</w:t>
            </w:r>
            <w:r>
              <w:rPr>
                <w:rFonts w:hint="default" w:ascii="Times New Roman" w:hAnsi="Times New Roman" w:eastAsia="宋体" w:cs="Times New Roman"/>
                <w:color w:val="auto"/>
                <w:sz w:val="26"/>
                <w:szCs w:val="26"/>
                <w:highlight w:val="none"/>
              </w:rPr>
              <w:t>所用设备不属于淘汰落后设备</w:t>
            </w:r>
            <w:r>
              <w:rPr>
                <w:rFonts w:hint="eastAsia" w:ascii="Times New Roman" w:hAnsi="Times New Roman" w:eastAsia="宋体" w:cs="Times New Roman"/>
                <w:color w:val="auto"/>
                <w:sz w:val="26"/>
                <w:szCs w:val="26"/>
                <w:highlight w:val="none"/>
                <w:lang w:eastAsia="zh-CN"/>
              </w:rPr>
              <w:t>。</w:t>
            </w:r>
          </w:p>
          <w:p w14:paraId="496A7252">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本项目新增设备及现有项目</w:t>
            </w:r>
            <w:r>
              <w:rPr>
                <w:rFonts w:hint="default" w:ascii="Times New Roman" w:hAnsi="Times New Roman" w:eastAsia="宋体" w:cs="Times New Roman"/>
                <w:color w:val="auto"/>
                <w:sz w:val="26"/>
                <w:szCs w:val="26"/>
                <w:highlight w:val="none"/>
              </w:rPr>
              <w:t>主要生产设备见</w:t>
            </w:r>
            <w:r>
              <w:rPr>
                <w:rFonts w:hint="eastAsia" w:ascii="Times New Roman" w:hAnsi="Times New Roman" w:eastAsia="宋体" w:cs="Times New Roman"/>
                <w:color w:val="auto"/>
                <w:sz w:val="26"/>
                <w:szCs w:val="26"/>
                <w:highlight w:val="none"/>
                <w:lang w:val="en-US" w:eastAsia="zh-CN"/>
              </w:rPr>
              <w:t>下表</w:t>
            </w:r>
            <w:r>
              <w:rPr>
                <w:rFonts w:hint="default" w:ascii="Times New Roman" w:hAnsi="Times New Roman" w:eastAsia="宋体" w:cs="Times New Roman"/>
                <w:color w:val="auto"/>
                <w:sz w:val="26"/>
                <w:szCs w:val="26"/>
                <w:highlight w:val="none"/>
              </w:rPr>
              <w:t>。</w:t>
            </w:r>
            <w:r>
              <w:rPr>
                <w:rFonts w:hint="eastAsia" w:ascii="Times New Roman" w:hAnsi="Times New Roman" w:eastAsia="宋体" w:cs="Times New Roman"/>
                <w:color w:val="auto"/>
                <w:sz w:val="26"/>
                <w:szCs w:val="26"/>
                <w:highlight w:val="none"/>
                <w:lang w:val="en-US" w:eastAsia="zh-CN"/>
              </w:rPr>
              <w:t>本项目主要依托“老一区熔炼中心熔铸生产线改扩建项目”的相关设备，与现有项目“铝合金深加工智能化生产线建设项目（重新报批）”相对独立。</w:t>
            </w:r>
          </w:p>
          <w:p w14:paraId="6E6C43CD">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Times New Roman" w:hAnsi="Times New Roman" w:eastAsia="宋体" w:cs="Times New Roman"/>
                <w:color w:val="auto"/>
                <w:sz w:val="26"/>
                <w:szCs w:val="26"/>
                <w:highlight w:val="none"/>
                <w:lang w:val="en-US" w:eastAsia="zh-CN"/>
              </w:rPr>
            </w:pPr>
          </w:p>
          <w:p w14:paraId="13AACBC5">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Times New Roman"/>
                <w:b/>
                <w:bCs w:val="0"/>
                <w:color w:val="auto"/>
                <w:sz w:val="26"/>
                <w:szCs w:val="26"/>
                <w:highlight w:val="none"/>
              </w:rPr>
            </w:pPr>
            <w:r>
              <w:rPr>
                <w:rFonts w:hint="default" w:ascii="Times New Roman" w:hAnsi="Times New Roman" w:eastAsia="宋体" w:cs="Times New Roman"/>
                <w:b/>
                <w:bCs w:val="0"/>
                <w:color w:val="auto"/>
                <w:sz w:val="26"/>
                <w:szCs w:val="26"/>
                <w:highlight w:val="none"/>
              </w:rPr>
              <w:t>表</w:t>
            </w:r>
            <w:r>
              <w:rPr>
                <w:rFonts w:hint="eastAsia" w:ascii="Times New Roman" w:hAnsi="Times New Roman" w:eastAsia="宋体" w:cs="Times New Roman"/>
                <w:b/>
                <w:bCs w:val="0"/>
                <w:color w:val="auto"/>
                <w:sz w:val="26"/>
                <w:szCs w:val="26"/>
                <w:highlight w:val="none"/>
                <w:lang w:val="en-US" w:eastAsia="zh-CN"/>
              </w:rPr>
              <w:t>2.5-1</w:t>
            </w:r>
            <w:r>
              <w:rPr>
                <w:rFonts w:hint="default" w:ascii="Times New Roman" w:hAnsi="Times New Roman" w:eastAsia="宋体" w:cs="Times New Roman"/>
                <w:b/>
                <w:bCs w:val="0"/>
                <w:color w:val="auto"/>
                <w:sz w:val="26"/>
                <w:szCs w:val="26"/>
                <w:highlight w:val="none"/>
              </w:rPr>
              <w:t xml:space="preserve">  </w:t>
            </w:r>
            <w:r>
              <w:rPr>
                <w:rFonts w:hint="eastAsia" w:ascii="Times New Roman" w:hAnsi="Times New Roman" w:eastAsia="宋体" w:cs="Times New Roman"/>
                <w:b/>
                <w:bCs w:val="0"/>
                <w:color w:val="auto"/>
                <w:sz w:val="26"/>
                <w:szCs w:val="26"/>
                <w:highlight w:val="none"/>
                <w:lang w:val="en-US" w:eastAsia="zh-CN"/>
              </w:rPr>
              <w:t>全厂</w:t>
            </w:r>
            <w:r>
              <w:rPr>
                <w:rFonts w:hint="default" w:ascii="Times New Roman" w:hAnsi="Times New Roman" w:eastAsia="宋体" w:cs="Times New Roman"/>
                <w:b/>
                <w:bCs w:val="0"/>
                <w:color w:val="auto"/>
                <w:sz w:val="26"/>
                <w:szCs w:val="26"/>
                <w:highlight w:val="none"/>
              </w:rPr>
              <w:t>主要生产设备一览表</w:t>
            </w:r>
          </w:p>
          <w:tbl>
            <w:tblPr>
              <w:tblStyle w:val="25"/>
              <w:tblW w:w="485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70"/>
              <w:gridCol w:w="2740"/>
              <w:gridCol w:w="1410"/>
              <w:gridCol w:w="1118"/>
              <w:gridCol w:w="1988"/>
            </w:tblGrid>
            <w:tr w14:paraId="1B09AB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421E8EB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序号</w:t>
                  </w:r>
                </w:p>
              </w:tc>
              <w:tc>
                <w:tcPr>
                  <w:tcW w:w="2740" w:type="dxa"/>
                  <w:tcBorders>
                    <w:tl2br w:val="nil"/>
                    <w:tr2bl w:val="nil"/>
                  </w:tcBorders>
                  <w:noWrap w:val="0"/>
                  <w:vAlign w:val="center"/>
                </w:tcPr>
                <w:p w14:paraId="6FCE606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设备名称</w:t>
                  </w:r>
                </w:p>
              </w:tc>
              <w:tc>
                <w:tcPr>
                  <w:tcW w:w="1410" w:type="dxa"/>
                  <w:tcBorders>
                    <w:tl2br w:val="nil"/>
                    <w:tr2bl w:val="nil"/>
                  </w:tcBorders>
                  <w:noWrap w:val="0"/>
                  <w:vAlign w:val="center"/>
                </w:tcPr>
                <w:p w14:paraId="26807B5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型号规格</w:t>
                  </w:r>
                </w:p>
              </w:tc>
              <w:tc>
                <w:tcPr>
                  <w:tcW w:w="1118" w:type="dxa"/>
                  <w:tcBorders>
                    <w:right w:val="single" w:color="auto" w:sz="4" w:space="0"/>
                    <w:tl2br w:val="nil"/>
                    <w:tr2bl w:val="nil"/>
                  </w:tcBorders>
                  <w:noWrap w:val="0"/>
                  <w:vAlign w:val="center"/>
                </w:tcPr>
                <w:p w14:paraId="45C9C2C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数量</w:t>
                  </w:r>
                </w:p>
              </w:tc>
              <w:tc>
                <w:tcPr>
                  <w:tcW w:w="1988" w:type="dxa"/>
                  <w:tcBorders>
                    <w:tl2br w:val="nil"/>
                    <w:tr2bl w:val="nil"/>
                  </w:tcBorders>
                  <w:noWrap w:val="0"/>
                  <w:vAlign w:val="center"/>
                </w:tcPr>
                <w:p w14:paraId="76A6A58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备注</w:t>
                  </w:r>
                </w:p>
              </w:tc>
            </w:tr>
            <w:tr w14:paraId="3B0903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026" w:type="dxa"/>
                  <w:gridSpan w:val="5"/>
                  <w:tcBorders>
                    <w:tl2br w:val="nil"/>
                    <w:tr2bl w:val="nil"/>
                  </w:tcBorders>
                  <w:noWrap w:val="0"/>
                  <w:vAlign w:val="center"/>
                </w:tcPr>
                <w:p w14:paraId="7C08326F">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b/>
                      <w:bCs/>
                      <w:color w:val="auto"/>
                      <w:kern w:val="0"/>
                      <w:sz w:val="22"/>
                      <w:szCs w:val="22"/>
                      <w:vertAlign w:val="baseline"/>
                      <w:lang w:val="en-US" w:eastAsia="zh-CN"/>
                    </w:rPr>
                    <w:t>本项目新增生产设备</w:t>
                  </w:r>
                </w:p>
              </w:tc>
            </w:tr>
            <w:tr w14:paraId="33BDC1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640F02B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1</w:t>
                  </w:r>
                </w:p>
              </w:tc>
              <w:tc>
                <w:tcPr>
                  <w:tcW w:w="2740" w:type="dxa"/>
                  <w:tcBorders>
                    <w:tl2br w:val="nil"/>
                    <w:tr2bl w:val="nil"/>
                  </w:tcBorders>
                  <w:noWrap w:val="0"/>
                  <w:vAlign w:val="center"/>
                </w:tcPr>
                <w:p w14:paraId="4AC5281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铝液包</w:t>
                  </w:r>
                </w:p>
              </w:tc>
              <w:tc>
                <w:tcPr>
                  <w:tcW w:w="1410" w:type="dxa"/>
                  <w:tcBorders>
                    <w:tl2br w:val="nil"/>
                    <w:tr2bl w:val="nil"/>
                  </w:tcBorders>
                  <w:noWrap w:val="0"/>
                  <w:vAlign w:val="center"/>
                </w:tcPr>
                <w:p w14:paraId="3E944BD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w:t>
                  </w:r>
                </w:p>
              </w:tc>
              <w:tc>
                <w:tcPr>
                  <w:tcW w:w="1118" w:type="dxa"/>
                  <w:tcBorders>
                    <w:right w:val="single" w:color="auto" w:sz="4" w:space="0"/>
                    <w:tl2br w:val="nil"/>
                    <w:tr2bl w:val="nil"/>
                  </w:tcBorders>
                  <w:noWrap w:val="0"/>
                  <w:vAlign w:val="center"/>
                </w:tcPr>
                <w:p w14:paraId="2835837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20</w:t>
                  </w:r>
                </w:p>
              </w:tc>
              <w:tc>
                <w:tcPr>
                  <w:tcW w:w="1988" w:type="dxa"/>
                  <w:tcBorders>
                    <w:tl2br w:val="nil"/>
                    <w:tr2bl w:val="nil"/>
                  </w:tcBorders>
                  <w:noWrap w:val="0"/>
                  <w:vAlign w:val="center"/>
                </w:tcPr>
                <w:p w14:paraId="5BF03EB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新增</w:t>
                  </w:r>
                </w:p>
              </w:tc>
            </w:tr>
            <w:tr w14:paraId="5F42B2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53E5810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2</w:t>
                  </w:r>
                </w:p>
              </w:tc>
              <w:tc>
                <w:tcPr>
                  <w:tcW w:w="2740" w:type="dxa"/>
                  <w:tcBorders>
                    <w:tl2br w:val="nil"/>
                    <w:tr2bl w:val="nil"/>
                  </w:tcBorders>
                  <w:noWrap w:val="0"/>
                  <w:vAlign w:val="center"/>
                </w:tcPr>
                <w:p w14:paraId="39F754C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烘包器</w:t>
                  </w:r>
                </w:p>
              </w:tc>
              <w:tc>
                <w:tcPr>
                  <w:tcW w:w="1410" w:type="dxa"/>
                  <w:tcBorders>
                    <w:tl2br w:val="nil"/>
                    <w:tr2bl w:val="nil"/>
                  </w:tcBorders>
                  <w:noWrap w:val="0"/>
                  <w:vAlign w:val="center"/>
                </w:tcPr>
                <w:p w14:paraId="70C4178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w:t>
                  </w:r>
                </w:p>
              </w:tc>
              <w:tc>
                <w:tcPr>
                  <w:tcW w:w="1118" w:type="dxa"/>
                  <w:tcBorders>
                    <w:right w:val="single" w:color="auto" w:sz="4" w:space="0"/>
                    <w:tl2br w:val="nil"/>
                    <w:tr2bl w:val="nil"/>
                  </w:tcBorders>
                  <w:noWrap w:val="0"/>
                  <w:vAlign w:val="center"/>
                </w:tcPr>
                <w:p w14:paraId="314B85F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20</w:t>
                  </w:r>
                </w:p>
              </w:tc>
              <w:tc>
                <w:tcPr>
                  <w:tcW w:w="1988" w:type="dxa"/>
                  <w:tcBorders>
                    <w:tl2br w:val="nil"/>
                    <w:tr2bl w:val="nil"/>
                  </w:tcBorders>
                  <w:noWrap w:val="0"/>
                  <w:vAlign w:val="center"/>
                </w:tcPr>
                <w:p w14:paraId="7D5E70B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新增</w:t>
                  </w:r>
                </w:p>
              </w:tc>
            </w:tr>
            <w:tr w14:paraId="61A81F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026" w:type="dxa"/>
                  <w:gridSpan w:val="5"/>
                  <w:tcBorders>
                    <w:tl2br w:val="nil"/>
                    <w:tr2bl w:val="nil"/>
                  </w:tcBorders>
                  <w:noWrap w:val="0"/>
                  <w:vAlign w:val="center"/>
                </w:tcPr>
                <w:p w14:paraId="399D94E2">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b/>
                      <w:bCs/>
                      <w:color w:val="auto"/>
                      <w:kern w:val="0"/>
                      <w:sz w:val="22"/>
                      <w:szCs w:val="22"/>
                      <w:vertAlign w:val="baseline"/>
                      <w:lang w:val="en-US" w:eastAsia="zh-CN"/>
                    </w:rPr>
                    <w:t>现有项目生产设备</w:t>
                  </w:r>
                </w:p>
              </w:tc>
            </w:tr>
            <w:tr w14:paraId="155AAA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026" w:type="dxa"/>
                  <w:gridSpan w:val="5"/>
                  <w:tcBorders>
                    <w:tl2br w:val="nil"/>
                    <w:tr2bl w:val="nil"/>
                  </w:tcBorders>
                  <w:noWrap w:val="0"/>
                  <w:vAlign w:val="center"/>
                </w:tcPr>
                <w:p w14:paraId="11CAA7E9">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b w:val="0"/>
                      <w:bCs w:val="0"/>
                      <w:color w:val="auto"/>
                      <w:kern w:val="0"/>
                      <w:sz w:val="22"/>
                      <w:szCs w:val="22"/>
                      <w:vertAlign w:val="baseline"/>
                      <w:lang w:val="en-US" w:eastAsia="zh-CN"/>
                    </w:rPr>
                    <w:t>1、老一区熔炼中心熔铸生产线改扩建项目</w:t>
                  </w:r>
                </w:p>
              </w:tc>
            </w:tr>
            <w:tr w14:paraId="05CC54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6706B4F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w:t>
                  </w:r>
                </w:p>
              </w:tc>
              <w:tc>
                <w:tcPr>
                  <w:tcW w:w="2740" w:type="dxa"/>
                  <w:tcBorders>
                    <w:tl2br w:val="nil"/>
                    <w:tr2bl w:val="nil"/>
                  </w:tcBorders>
                  <w:noWrap w:val="0"/>
                  <w:vAlign w:val="center"/>
                </w:tcPr>
                <w:p w14:paraId="23E40D86">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16t熔保一体炉</w:t>
                  </w:r>
                </w:p>
              </w:tc>
              <w:tc>
                <w:tcPr>
                  <w:tcW w:w="1410" w:type="dxa"/>
                  <w:tcBorders>
                    <w:tl2br w:val="nil"/>
                    <w:tr2bl w:val="nil"/>
                  </w:tcBorders>
                  <w:noWrap w:val="0"/>
                  <w:vAlign w:val="center"/>
                </w:tcPr>
                <w:p w14:paraId="41F3436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16t</w:t>
                  </w:r>
                </w:p>
              </w:tc>
              <w:tc>
                <w:tcPr>
                  <w:tcW w:w="1118" w:type="dxa"/>
                  <w:tcBorders>
                    <w:right w:val="single" w:color="auto" w:sz="4" w:space="0"/>
                    <w:tl2br w:val="nil"/>
                    <w:tr2bl w:val="nil"/>
                  </w:tcBorders>
                  <w:noWrap w:val="0"/>
                  <w:vAlign w:val="center"/>
                </w:tcPr>
                <w:p w14:paraId="38EC638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5C081BD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77C492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4FA265B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2</w:t>
                  </w:r>
                </w:p>
              </w:tc>
              <w:tc>
                <w:tcPr>
                  <w:tcW w:w="2740" w:type="dxa"/>
                  <w:tcBorders>
                    <w:tl2br w:val="nil"/>
                    <w:tr2bl w:val="nil"/>
                  </w:tcBorders>
                  <w:noWrap w:val="0"/>
                  <w:vAlign w:val="center"/>
                </w:tcPr>
                <w:p w14:paraId="5E0BF09B">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在线处理系统</w:t>
                  </w:r>
                </w:p>
              </w:tc>
              <w:tc>
                <w:tcPr>
                  <w:tcW w:w="1410" w:type="dxa"/>
                  <w:tcBorders>
                    <w:tl2br w:val="nil"/>
                    <w:tr2bl w:val="nil"/>
                  </w:tcBorders>
                  <w:noWrap w:val="0"/>
                  <w:vAlign w:val="center"/>
                </w:tcPr>
                <w:p w14:paraId="6B101EE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20t</w:t>
                  </w:r>
                </w:p>
              </w:tc>
              <w:tc>
                <w:tcPr>
                  <w:tcW w:w="1118" w:type="dxa"/>
                  <w:tcBorders>
                    <w:right w:val="single" w:color="auto" w:sz="4" w:space="0"/>
                    <w:tl2br w:val="nil"/>
                    <w:tr2bl w:val="nil"/>
                  </w:tcBorders>
                  <w:noWrap w:val="0"/>
                  <w:vAlign w:val="center"/>
                </w:tcPr>
                <w:p w14:paraId="252465B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0497AF2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24E004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5F2307B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3</w:t>
                  </w:r>
                </w:p>
              </w:tc>
              <w:tc>
                <w:tcPr>
                  <w:tcW w:w="2740" w:type="dxa"/>
                  <w:tcBorders>
                    <w:tl2br w:val="nil"/>
                    <w:tr2bl w:val="nil"/>
                  </w:tcBorders>
                  <w:noWrap w:val="0"/>
                  <w:vAlign w:val="center"/>
                </w:tcPr>
                <w:p w14:paraId="263A52D7">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车床二</w:t>
                  </w:r>
                </w:p>
              </w:tc>
              <w:tc>
                <w:tcPr>
                  <w:tcW w:w="1410" w:type="dxa"/>
                  <w:tcBorders>
                    <w:tl2br w:val="nil"/>
                    <w:tr2bl w:val="nil"/>
                  </w:tcBorders>
                  <w:noWrap w:val="0"/>
                  <w:vAlign w:val="center"/>
                </w:tcPr>
                <w:p w14:paraId="497BFEB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0.3t/h</w:t>
                  </w:r>
                </w:p>
              </w:tc>
              <w:tc>
                <w:tcPr>
                  <w:tcW w:w="1118" w:type="dxa"/>
                  <w:tcBorders>
                    <w:right w:val="single" w:color="auto" w:sz="4" w:space="0"/>
                    <w:tl2br w:val="nil"/>
                    <w:tr2bl w:val="nil"/>
                  </w:tcBorders>
                  <w:noWrap w:val="0"/>
                  <w:vAlign w:val="center"/>
                </w:tcPr>
                <w:p w14:paraId="53018E8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7447751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42A5CA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6DA03E6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4</w:t>
                  </w:r>
                </w:p>
              </w:tc>
              <w:tc>
                <w:tcPr>
                  <w:tcW w:w="2740" w:type="dxa"/>
                  <w:tcBorders>
                    <w:tl2br w:val="nil"/>
                    <w:tr2bl w:val="nil"/>
                  </w:tcBorders>
                  <w:noWrap w:val="0"/>
                  <w:vAlign w:val="center"/>
                </w:tcPr>
                <w:p w14:paraId="11C608D3">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车床三</w:t>
                  </w:r>
                </w:p>
              </w:tc>
              <w:tc>
                <w:tcPr>
                  <w:tcW w:w="1410" w:type="dxa"/>
                  <w:tcBorders>
                    <w:tl2br w:val="nil"/>
                    <w:tr2bl w:val="nil"/>
                  </w:tcBorders>
                  <w:noWrap w:val="0"/>
                  <w:vAlign w:val="center"/>
                </w:tcPr>
                <w:p w14:paraId="268DC08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0.6t/h</w:t>
                  </w:r>
                </w:p>
              </w:tc>
              <w:tc>
                <w:tcPr>
                  <w:tcW w:w="1118" w:type="dxa"/>
                  <w:tcBorders>
                    <w:right w:val="single" w:color="auto" w:sz="4" w:space="0"/>
                    <w:tl2br w:val="nil"/>
                    <w:tr2bl w:val="nil"/>
                  </w:tcBorders>
                  <w:noWrap w:val="0"/>
                  <w:vAlign w:val="center"/>
                </w:tcPr>
                <w:p w14:paraId="411F8DC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3B0B72B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151259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741C31FE">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5</w:t>
                  </w:r>
                </w:p>
              </w:tc>
              <w:tc>
                <w:tcPr>
                  <w:tcW w:w="2740" w:type="dxa"/>
                  <w:tcBorders>
                    <w:tl2br w:val="nil"/>
                    <w:tr2bl w:val="nil"/>
                  </w:tcBorders>
                  <w:noWrap w:val="0"/>
                  <w:vAlign w:val="center"/>
                </w:tcPr>
                <w:p w14:paraId="18BDAD2C">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车床四</w:t>
                  </w:r>
                </w:p>
              </w:tc>
              <w:tc>
                <w:tcPr>
                  <w:tcW w:w="1410" w:type="dxa"/>
                  <w:tcBorders>
                    <w:tl2br w:val="nil"/>
                    <w:tr2bl w:val="nil"/>
                  </w:tcBorders>
                  <w:noWrap w:val="0"/>
                  <w:vAlign w:val="center"/>
                </w:tcPr>
                <w:p w14:paraId="5C0DC68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0.6t/h</w:t>
                  </w:r>
                </w:p>
              </w:tc>
              <w:tc>
                <w:tcPr>
                  <w:tcW w:w="1118" w:type="dxa"/>
                  <w:tcBorders>
                    <w:right w:val="single" w:color="auto" w:sz="4" w:space="0"/>
                    <w:tl2br w:val="nil"/>
                    <w:tr2bl w:val="nil"/>
                  </w:tcBorders>
                  <w:noWrap w:val="0"/>
                  <w:vAlign w:val="center"/>
                </w:tcPr>
                <w:p w14:paraId="4452B2E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4682083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065307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7BC19D9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6</w:t>
                  </w:r>
                </w:p>
              </w:tc>
              <w:tc>
                <w:tcPr>
                  <w:tcW w:w="2740" w:type="dxa"/>
                  <w:tcBorders>
                    <w:tl2br w:val="nil"/>
                    <w:tr2bl w:val="nil"/>
                  </w:tcBorders>
                  <w:noWrap w:val="0"/>
                  <w:vAlign w:val="center"/>
                </w:tcPr>
                <w:p w14:paraId="56DA22A0">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车床一</w:t>
                  </w:r>
                </w:p>
              </w:tc>
              <w:tc>
                <w:tcPr>
                  <w:tcW w:w="1410" w:type="dxa"/>
                  <w:tcBorders>
                    <w:tl2br w:val="nil"/>
                    <w:tr2bl w:val="nil"/>
                  </w:tcBorders>
                  <w:noWrap w:val="0"/>
                  <w:vAlign w:val="center"/>
                </w:tcPr>
                <w:p w14:paraId="714B694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0.3t/h</w:t>
                  </w:r>
                </w:p>
              </w:tc>
              <w:tc>
                <w:tcPr>
                  <w:tcW w:w="1118" w:type="dxa"/>
                  <w:tcBorders>
                    <w:right w:val="single" w:color="auto" w:sz="4" w:space="0"/>
                    <w:tl2br w:val="nil"/>
                    <w:tr2bl w:val="nil"/>
                  </w:tcBorders>
                  <w:noWrap w:val="0"/>
                  <w:vAlign w:val="center"/>
                </w:tcPr>
                <w:p w14:paraId="33E1AE0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147DEBB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7FBF07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7F16025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7</w:t>
                  </w:r>
                </w:p>
              </w:tc>
              <w:tc>
                <w:tcPr>
                  <w:tcW w:w="2740" w:type="dxa"/>
                  <w:tcBorders>
                    <w:tl2br w:val="nil"/>
                    <w:tr2bl w:val="nil"/>
                  </w:tcBorders>
                  <w:noWrap w:val="0"/>
                  <w:vAlign w:val="center"/>
                </w:tcPr>
                <w:p w14:paraId="7EC33EC6">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带锯</w:t>
                  </w:r>
                  <w:r>
                    <w:rPr>
                      <w:rFonts w:hint="default" w:ascii="Times New Roman" w:hAnsi="Times New Roman" w:eastAsia="宋体" w:cs="Times New Roman"/>
                      <w:snapToGrid w:val="0"/>
                      <w:color w:val="auto"/>
                      <w:kern w:val="0"/>
                      <w:sz w:val="22"/>
                      <w:szCs w:val="22"/>
                      <w:lang w:eastAsia="zh-CN"/>
                    </w:rPr>
                    <w:t>一</w:t>
                  </w:r>
                </w:p>
              </w:tc>
              <w:tc>
                <w:tcPr>
                  <w:tcW w:w="1410" w:type="dxa"/>
                  <w:tcBorders>
                    <w:tl2br w:val="nil"/>
                    <w:tr2bl w:val="nil"/>
                  </w:tcBorders>
                  <w:noWrap w:val="0"/>
                  <w:vAlign w:val="center"/>
                </w:tcPr>
                <w:p w14:paraId="0729687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c>
                <w:tcPr>
                  <w:tcW w:w="1118" w:type="dxa"/>
                  <w:tcBorders>
                    <w:right w:val="single" w:color="auto" w:sz="4" w:space="0"/>
                    <w:tl2br w:val="nil"/>
                    <w:tr2bl w:val="nil"/>
                  </w:tcBorders>
                  <w:noWrap w:val="0"/>
                  <w:vAlign w:val="center"/>
                </w:tcPr>
                <w:p w14:paraId="72E9571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0FA241C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51261B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660B2A9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8</w:t>
                  </w:r>
                </w:p>
              </w:tc>
              <w:tc>
                <w:tcPr>
                  <w:tcW w:w="2740" w:type="dxa"/>
                  <w:tcBorders>
                    <w:tl2br w:val="nil"/>
                    <w:tr2bl w:val="nil"/>
                  </w:tcBorders>
                  <w:noWrap w:val="0"/>
                  <w:vAlign w:val="center"/>
                </w:tcPr>
                <w:p w14:paraId="565DDCE6">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带锯</w:t>
                  </w:r>
                  <w:r>
                    <w:rPr>
                      <w:rFonts w:hint="default" w:ascii="Times New Roman" w:hAnsi="Times New Roman" w:eastAsia="宋体" w:cs="Times New Roman"/>
                      <w:snapToGrid w:val="0"/>
                      <w:color w:val="auto"/>
                      <w:kern w:val="0"/>
                      <w:sz w:val="22"/>
                      <w:szCs w:val="22"/>
                      <w:lang w:eastAsia="zh-CN"/>
                    </w:rPr>
                    <w:t>二</w:t>
                  </w:r>
                </w:p>
              </w:tc>
              <w:tc>
                <w:tcPr>
                  <w:tcW w:w="1410" w:type="dxa"/>
                  <w:tcBorders>
                    <w:tl2br w:val="nil"/>
                    <w:tr2bl w:val="nil"/>
                  </w:tcBorders>
                  <w:noWrap w:val="0"/>
                  <w:vAlign w:val="center"/>
                </w:tcPr>
                <w:p w14:paraId="2DC0263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c>
                <w:tcPr>
                  <w:tcW w:w="1118" w:type="dxa"/>
                  <w:tcBorders>
                    <w:right w:val="single" w:color="auto" w:sz="4" w:space="0"/>
                    <w:tl2br w:val="nil"/>
                    <w:tr2bl w:val="nil"/>
                  </w:tcBorders>
                  <w:noWrap w:val="0"/>
                  <w:vAlign w:val="center"/>
                </w:tcPr>
                <w:p w14:paraId="02B5108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579246C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4AA5F0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2262D1C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9</w:t>
                  </w:r>
                </w:p>
              </w:tc>
              <w:tc>
                <w:tcPr>
                  <w:tcW w:w="2740" w:type="dxa"/>
                  <w:tcBorders>
                    <w:tl2br w:val="nil"/>
                    <w:tr2bl w:val="nil"/>
                  </w:tcBorders>
                  <w:noWrap w:val="0"/>
                  <w:vAlign w:val="center"/>
                </w:tcPr>
                <w:p w14:paraId="79C444E0">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圆盘锯</w:t>
                  </w:r>
                </w:p>
              </w:tc>
              <w:tc>
                <w:tcPr>
                  <w:tcW w:w="1410" w:type="dxa"/>
                  <w:tcBorders>
                    <w:tl2br w:val="nil"/>
                    <w:tr2bl w:val="nil"/>
                  </w:tcBorders>
                  <w:noWrap w:val="0"/>
                  <w:vAlign w:val="center"/>
                </w:tcPr>
                <w:p w14:paraId="676C2CF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c>
                <w:tcPr>
                  <w:tcW w:w="1118" w:type="dxa"/>
                  <w:tcBorders>
                    <w:right w:val="single" w:color="auto" w:sz="4" w:space="0"/>
                    <w:tl2br w:val="nil"/>
                    <w:tr2bl w:val="nil"/>
                  </w:tcBorders>
                  <w:noWrap w:val="0"/>
                  <w:vAlign w:val="center"/>
                </w:tcPr>
                <w:p w14:paraId="0CC2B88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2</w:t>
                  </w:r>
                </w:p>
              </w:tc>
              <w:tc>
                <w:tcPr>
                  <w:tcW w:w="1988" w:type="dxa"/>
                  <w:tcBorders>
                    <w:tl2br w:val="nil"/>
                    <w:tr2bl w:val="nil"/>
                  </w:tcBorders>
                  <w:noWrap w:val="0"/>
                  <w:vAlign w:val="center"/>
                </w:tcPr>
                <w:p w14:paraId="1C15828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712335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6D67BC0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2740" w:type="dxa"/>
                  <w:tcBorders>
                    <w:tl2br w:val="nil"/>
                    <w:tr2bl w:val="nil"/>
                  </w:tcBorders>
                  <w:noWrap w:val="0"/>
                  <w:vAlign w:val="center"/>
                </w:tcPr>
                <w:p w14:paraId="40E26EB5">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铸棒浇铸机</w:t>
                  </w:r>
                </w:p>
              </w:tc>
              <w:tc>
                <w:tcPr>
                  <w:tcW w:w="1410" w:type="dxa"/>
                  <w:tcBorders>
                    <w:tl2br w:val="nil"/>
                    <w:tr2bl w:val="nil"/>
                  </w:tcBorders>
                  <w:noWrap w:val="0"/>
                  <w:vAlign w:val="center"/>
                </w:tcPr>
                <w:p w14:paraId="170FCE4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8t/h</w:t>
                  </w:r>
                </w:p>
              </w:tc>
              <w:tc>
                <w:tcPr>
                  <w:tcW w:w="1118" w:type="dxa"/>
                  <w:tcBorders>
                    <w:right w:val="single" w:color="auto" w:sz="4" w:space="0"/>
                    <w:tl2br w:val="nil"/>
                    <w:tr2bl w:val="nil"/>
                  </w:tcBorders>
                  <w:noWrap w:val="0"/>
                  <w:vAlign w:val="center"/>
                </w:tcPr>
                <w:p w14:paraId="43E82EF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155F642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41157C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789F0B4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11</w:t>
                  </w:r>
                </w:p>
              </w:tc>
              <w:tc>
                <w:tcPr>
                  <w:tcW w:w="2740" w:type="dxa"/>
                  <w:tcBorders>
                    <w:tl2br w:val="nil"/>
                    <w:tr2bl w:val="nil"/>
                  </w:tcBorders>
                  <w:noWrap w:val="0"/>
                  <w:vAlign w:val="center"/>
                </w:tcPr>
                <w:p w14:paraId="2D7D7AAE">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16t熔炼炉冷却循环水池</w:t>
                  </w:r>
                </w:p>
              </w:tc>
              <w:tc>
                <w:tcPr>
                  <w:tcW w:w="1410" w:type="dxa"/>
                  <w:tcBorders>
                    <w:tl2br w:val="nil"/>
                    <w:tr2bl w:val="nil"/>
                  </w:tcBorders>
                  <w:noWrap w:val="0"/>
                  <w:vAlign w:val="center"/>
                </w:tcPr>
                <w:p w14:paraId="4054EF6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150m</w:t>
                  </w:r>
                  <w:r>
                    <w:rPr>
                      <w:rFonts w:hint="default" w:ascii="Times New Roman" w:hAnsi="Times New Roman" w:eastAsia="宋体" w:cs="Times New Roman"/>
                      <w:color w:val="auto"/>
                      <w:kern w:val="0"/>
                      <w:sz w:val="22"/>
                      <w:szCs w:val="22"/>
                      <w:vertAlign w:val="superscript"/>
                      <w:lang w:val="en-US" w:eastAsia="zh-CN"/>
                    </w:rPr>
                    <w:t>3</w:t>
                  </w:r>
                  <w:r>
                    <w:rPr>
                      <w:rFonts w:hint="default" w:ascii="Times New Roman" w:hAnsi="Times New Roman" w:eastAsia="宋体" w:cs="Times New Roman"/>
                      <w:color w:val="auto"/>
                      <w:kern w:val="0"/>
                      <w:sz w:val="22"/>
                      <w:szCs w:val="22"/>
                      <w:vertAlign w:val="baseline"/>
                      <w:lang w:val="en-US" w:eastAsia="zh-CN"/>
                    </w:rPr>
                    <w:t>/个</w:t>
                  </w:r>
                </w:p>
              </w:tc>
              <w:tc>
                <w:tcPr>
                  <w:tcW w:w="1118" w:type="dxa"/>
                  <w:tcBorders>
                    <w:right w:val="single" w:color="auto" w:sz="4" w:space="0"/>
                    <w:tl2br w:val="nil"/>
                    <w:tr2bl w:val="nil"/>
                  </w:tcBorders>
                  <w:noWrap w:val="0"/>
                  <w:vAlign w:val="center"/>
                </w:tcPr>
                <w:p w14:paraId="67D43B5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2</w:t>
                  </w:r>
                </w:p>
              </w:tc>
              <w:tc>
                <w:tcPr>
                  <w:tcW w:w="1988" w:type="dxa"/>
                  <w:tcBorders>
                    <w:tl2br w:val="nil"/>
                    <w:tr2bl w:val="nil"/>
                  </w:tcBorders>
                  <w:noWrap w:val="0"/>
                  <w:vAlign w:val="center"/>
                </w:tcPr>
                <w:p w14:paraId="60A8A51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41FE40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7250903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12</w:t>
                  </w:r>
                </w:p>
              </w:tc>
              <w:tc>
                <w:tcPr>
                  <w:tcW w:w="2740" w:type="dxa"/>
                  <w:tcBorders>
                    <w:tl2br w:val="nil"/>
                    <w:tr2bl w:val="nil"/>
                  </w:tcBorders>
                  <w:noWrap w:val="0"/>
                  <w:vAlign w:val="center"/>
                </w:tcPr>
                <w:p w14:paraId="1DF9FBE4">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循环水泵</w:t>
                  </w:r>
                </w:p>
              </w:tc>
              <w:tc>
                <w:tcPr>
                  <w:tcW w:w="1410" w:type="dxa"/>
                  <w:tcBorders>
                    <w:tl2br w:val="nil"/>
                    <w:tr2bl w:val="nil"/>
                  </w:tcBorders>
                  <w:noWrap w:val="0"/>
                  <w:vAlign w:val="center"/>
                </w:tcPr>
                <w:p w14:paraId="73B8345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c>
                <w:tcPr>
                  <w:tcW w:w="1118" w:type="dxa"/>
                  <w:tcBorders>
                    <w:right w:val="single" w:color="auto" w:sz="4" w:space="0"/>
                    <w:tl2br w:val="nil"/>
                    <w:tr2bl w:val="nil"/>
                  </w:tcBorders>
                  <w:noWrap w:val="0"/>
                  <w:vAlign w:val="center"/>
                </w:tcPr>
                <w:p w14:paraId="0F4D85C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2</w:t>
                  </w:r>
                </w:p>
              </w:tc>
              <w:tc>
                <w:tcPr>
                  <w:tcW w:w="1988" w:type="dxa"/>
                  <w:tcBorders>
                    <w:tl2br w:val="nil"/>
                    <w:tr2bl w:val="nil"/>
                  </w:tcBorders>
                  <w:noWrap w:val="0"/>
                  <w:vAlign w:val="center"/>
                </w:tcPr>
                <w:p w14:paraId="77DB8DA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42A1BC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5896FAF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13</w:t>
                  </w:r>
                </w:p>
              </w:tc>
              <w:tc>
                <w:tcPr>
                  <w:tcW w:w="2740" w:type="dxa"/>
                  <w:tcBorders>
                    <w:tl2br w:val="nil"/>
                    <w:tr2bl w:val="nil"/>
                  </w:tcBorders>
                  <w:noWrap w:val="0"/>
                  <w:vAlign w:val="center"/>
                </w:tcPr>
                <w:p w14:paraId="580C437D">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圆形冷却塔</w:t>
                  </w:r>
                </w:p>
              </w:tc>
              <w:tc>
                <w:tcPr>
                  <w:tcW w:w="1410" w:type="dxa"/>
                  <w:tcBorders>
                    <w:tl2br w:val="nil"/>
                    <w:tr2bl w:val="nil"/>
                  </w:tcBorders>
                  <w:noWrap w:val="0"/>
                  <w:vAlign w:val="center"/>
                </w:tcPr>
                <w:p w14:paraId="6081959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250m</w:t>
                  </w:r>
                  <w:r>
                    <w:rPr>
                      <w:rFonts w:hint="default" w:ascii="Times New Roman" w:hAnsi="Times New Roman" w:eastAsia="宋体" w:cs="Times New Roman"/>
                      <w:color w:val="auto"/>
                      <w:kern w:val="0"/>
                      <w:sz w:val="22"/>
                      <w:szCs w:val="22"/>
                      <w:vertAlign w:val="superscript"/>
                      <w:lang w:val="en-US" w:eastAsia="zh-CN"/>
                    </w:rPr>
                    <w:t>3</w:t>
                  </w:r>
                  <w:r>
                    <w:rPr>
                      <w:rFonts w:hint="default" w:ascii="Times New Roman" w:hAnsi="Times New Roman" w:eastAsia="宋体" w:cs="Times New Roman"/>
                      <w:color w:val="auto"/>
                      <w:kern w:val="0"/>
                      <w:sz w:val="22"/>
                      <w:szCs w:val="22"/>
                      <w:vertAlign w:val="baseline"/>
                      <w:lang w:val="en-US" w:eastAsia="zh-CN"/>
                    </w:rPr>
                    <w:t>/h</w:t>
                  </w:r>
                </w:p>
              </w:tc>
              <w:tc>
                <w:tcPr>
                  <w:tcW w:w="1118" w:type="dxa"/>
                  <w:tcBorders>
                    <w:right w:val="single" w:color="auto" w:sz="4" w:space="0"/>
                    <w:tl2br w:val="nil"/>
                    <w:tr2bl w:val="nil"/>
                  </w:tcBorders>
                  <w:noWrap w:val="0"/>
                  <w:vAlign w:val="center"/>
                </w:tcPr>
                <w:p w14:paraId="6761A0F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47517EA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4FA47A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2D5C39C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14</w:t>
                  </w:r>
                </w:p>
              </w:tc>
              <w:tc>
                <w:tcPr>
                  <w:tcW w:w="2740" w:type="dxa"/>
                  <w:tcBorders>
                    <w:tl2br w:val="nil"/>
                    <w:tr2bl w:val="nil"/>
                  </w:tcBorders>
                  <w:noWrap w:val="0"/>
                  <w:vAlign w:val="center"/>
                </w:tcPr>
                <w:p w14:paraId="57D5FA29">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螺杆式空气压缩机</w:t>
                  </w:r>
                </w:p>
              </w:tc>
              <w:tc>
                <w:tcPr>
                  <w:tcW w:w="1410" w:type="dxa"/>
                  <w:tcBorders>
                    <w:tl2br w:val="nil"/>
                    <w:tr2bl w:val="nil"/>
                  </w:tcBorders>
                  <w:noWrap w:val="0"/>
                  <w:vAlign w:val="center"/>
                </w:tcPr>
                <w:p w14:paraId="7A57F9B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13m</w:t>
                  </w:r>
                  <w:r>
                    <w:rPr>
                      <w:rFonts w:hint="default" w:ascii="Times New Roman" w:hAnsi="Times New Roman" w:eastAsia="宋体" w:cs="Times New Roman"/>
                      <w:color w:val="auto"/>
                      <w:kern w:val="0"/>
                      <w:sz w:val="22"/>
                      <w:szCs w:val="22"/>
                      <w:vertAlign w:val="superscript"/>
                      <w:lang w:val="en-US" w:eastAsia="zh-CN"/>
                    </w:rPr>
                    <w:t>3</w:t>
                  </w:r>
                  <w:r>
                    <w:rPr>
                      <w:rFonts w:hint="default" w:ascii="Times New Roman" w:hAnsi="Times New Roman" w:eastAsia="宋体" w:cs="Times New Roman"/>
                      <w:color w:val="auto"/>
                      <w:kern w:val="0"/>
                      <w:sz w:val="22"/>
                      <w:szCs w:val="22"/>
                      <w:vertAlign w:val="baseline"/>
                      <w:lang w:val="en-US" w:eastAsia="zh-CN"/>
                    </w:rPr>
                    <w:t>/min</w:t>
                  </w:r>
                </w:p>
              </w:tc>
              <w:tc>
                <w:tcPr>
                  <w:tcW w:w="1118" w:type="dxa"/>
                  <w:tcBorders>
                    <w:right w:val="single" w:color="auto" w:sz="4" w:space="0"/>
                    <w:tl2br w:val="nil"/>
                    <w:tr2bl w:val="nil"/>
                  </w:tcBorders>
                  <w:noWrap w:val="0"/>
                  <w:vAlign w:val="center"/>
                </w:tcPr>
                <w:p w14:paraId="28CDB30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42297A4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6CE32C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378C101B">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15</w:t>
                  </w:r>
                </w:p>
              </w:tc>
              <w:tc>
                <w:tcPr>
                  <w:tcW w:w="2740" w:type="dxa"/>
                  <w:tcBorders>
                    <w:tl2br w:val="nil"/>
                    <w:tr2bl w:val="nil"/>
                  </w:tcBorders>
                  <w:noWrap w:val="0"/>
                  <w:vAlign w:val="center"/>
                </w:tcPr>
                <w:p w14:paraId="62093415">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单螺杆式空气压缩机</w:t>
                  </w:r>
                </w:p>
              </w:tc>
              <w:tc>
                <w:tcPr>
                  <w:tcW w:w="1410" w:type="dxa"/>
                  <w:tcBorders>
                    <w:tl2br w:val="nil"/>
                    <w:tr2bl w:val="nil"/>
                  </w:tcBorders>
                  <w:noWrap w:val="0"/>
                  <w:vAlign w:val="center"/>
                </w:tcPr>
                <w:p w14:paraId="661F8C7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9.5m</w:t>
                  </w:r>
                  <w:r>
                    <w:rPr>
                      <w:rFonts w:hint="default" w:ascii="Times New Roman" w:hAnsi="Times New Roman" w:eastAsia="宋体" w:cs="Times New Roman"/>
                      <w:color w:val="auto"/>
                      <w:kern w:val="0"/>
                      <w:sz w:val="22"/>
                      <w:szCs w:val="22"/>
                      <w:vertAlign w:val="superscript"/>
                      <w:lang w:val="en-US" w:eastAsia="zh-CN"/>
                    </w:rPr>
                    <w:t>3</w:t>
                  </w:r>
                  <w:r>
                    <w:rPr>
                      <w:rFonts w:hint="default" w:ascii="Times New Roman" w:hAnsi="Times New Roman" w:eastAsia="宋体" w:cs="Times New Roman"/>
                      <w:color w:val="auto"/>
                      <w:kern w:val="0"/>
                      <w:sz w:val="22"/>
                      <w:szCs w:val="22"/>
                      <w:vertAlign w:val="baseline"/>
                      <w:lang w:val="en-US" w:eastAsia="zh-CN"/>
                    </w:rPr>
                    <w:t>/min</w:t>
                  </w:r>
                </w:p>
              </w:tc>
              <w:tc>
                <w:tcPr>
                  <w:tcW w:w="1118" w:type="dxa"/>
                  <w:tcBorders>
                    <w:right w:val="single" w:color="auto" w:sz="4" w:space="0"/>
                    <w:tl2br w:val="nil"/>
                    <w:tr2bl w:val="nil"/>
                  </w:tcBorders>
                  <w:noWrap w:val="0"/>
                  <w:vAlign w:val="center"/>
                </w:tcPr>
                <w:p w14:paraId="0F86695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04156F2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00995C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7142EFB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16</w:t>
                  </w:r>
                </w:p>
              </w:tc>
              <w:tc>
                <w:tcPr>
                  <w:tcW w:w="2740" w:type="dxa"/>
                  <w:tcBorders>
                    <w:tl2br w:val="nil"/>
                    <w:tr2bl w:val="nil"/>
                  </w:tcBorders>
                  <w:noWrap w:val="0"/>
                  <w:vAlign w:val="center"/>
                </w:tcPr>
                <w:p w14:paraId="203CF3C1">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叉车</w:t>
                  </w:r>
                </w:p>
              </w:tc>
              <w:tc>
                <w:tcPr>
                  <w:tcW w:w="1410" w:type="dxa"/>
                  <w:tcBorders>
                    <w:tl2br w:val="nil"/>
                    <w:tr2bl w:val="nil"/>
                  </w:tcBorders>
                  <w:noWrap w:val="0"/>
                  <w:vAlign w:val="center"/>
                </w:tcPr>
                <w:p w14:paraId="0462987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3t</w:t>
                  </w:r>
                </w:p>
              </w:tc>
              <w:tc>
                <w:tcPr>
                  <w:tcW w:w="1118" w:type="dxa"/>
                  <w:tcBorders>
                    <w:right w:val="single" w:color="auto" w:sz="4" w:space="0"/>
                    <w:tl2br w:val="nil"/>
                    <w:tr2bl w:val="nil"/>
                  </w:tcBorders>
                  <w:noWrap w:val="0"/>
                  <w:vAlign w:val="center"/>
                </w:tcPr>
                <w:p w14:paraId="6FB2FEE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4</w:t>
                  </w:r>
                </w:p>
              </w:tc>
              <w:tc>
                <w:tcPr>
                  <w:tcW w:w="1988" w:type="dxa"/>
                  <w:tcBorders>
                    <w:tl2br w:val="nil"/>
                    <w:tr2bl w:val="nil"/>
                  </w:tcBorders>
                  <w:noWrap w:val="0"/>
                  <w:vAlign w:val="center"/>
                </w:tcPr>
                <w:p w14:paraId="0EA88FA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33F910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53C7431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17</w:t>
                  </w:r>
                </w:p>
              </w:tc>
              <w:tc>
                <w:tcPr>
                  <w:tcW w:w="2740" w:type="dxa"/>
                  <w:tcBorders>
                    <w:tl2br w:val="nil"/>
                    <w:tr2bl w:val="nil"/>
                  </w:tcBorders>
                  <w:noWrap w:val="0"/>
                  <w:vAlign w:val="center"/>
                </w:tcPr>
                <w:p w14:paraId="36CA50CE">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25吨熔保一体炉</w:t>
                  </w:r>
                </w:p>
              </w:tc>
              <w:tc>
                <w:tcPr>
                  <w:tcW w:w="1410" w:type="dxa"/>
                  <w:tcBorders>
                    <w:tl2br w:val="nil"/>
                    <w:tr2bl w:val="nil"/>
                  </w:tcBorders>
                  <w:noWrap w:val="0"/>
                  <w:vAlign w:val="center"/>
                </w:tcPr>
                <w:p w14:paraId="5B3C73D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25t/个</w:t>
                  </w:r>
                </w:p>
              </w:tc>
              <w:tc>
                <w:tcPr>
                  <w:tcW w:w="1118" w:type="dxa"/>
                  <w:tcBorders>
                    <w:right w:val="single" w:color="auto" w:sz="4" w:space="0"/>
                    <w:tl2br w:val="nil"/>
                    <w:tr2bl w:val="nil"/>
                  </w:tcBorders>
                  <w:noWrap w:val="0"/>
                  <w:vAlign w:val="center"/>
                </w:tcPr>
                <w:p w14:paraId="7945833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2</w:t>
                  </w:r>
                </w:p>
              </w:tc>
              <w:tc>
                <w:tcPr>
                  <w:tcW w:w="1988" w:type="dxa"/>
                  <w:tcBorders>
                    <w:tl2br w:val="nil"/>
                    <w:tr2bl w:val="nil"/>
                  </w:tcBorders>
                  <w:noWrap w:val="0"/>
                  <w:vAlign w:val="center"/>
                </w:tcPr>
                <w:p w14:paraId="10ABF07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5C9532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7734D29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18</w:t>
                  </w:r>
                </w:p>
              </w:tc>
              <w:tc>
                <w:tcPr>
                  <w:tcW w:w="2740" w:type="dxa"/>
                  <w:tcBorders>
                    <w:tl2br w:val="nil"/>
                    <w:tr2bl w:val="nil"/>
                  </w:tcBorders>
                  <w:noWrap w:val="0"/>
                  <w:vAlign w:val="center"/>
                </w:tcPr>
                <w:p w14:paraId="431BC5B6">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液压铸造机</w:t>
                  </w:r>
                </w:p>
              </w:tc>
              <w:tc>
                <w:tcPr>
                  <w:tcW w:w="1410" w:type="dxa"/>
                  <w:tcBorders>
                    <w:tl2br w:val="nil"/>
                    <w:tr2bl w:val="nil"/>
                  </w:tcBorders>
                  <w:noWrap w:val="0"/>
                  <w:vAlign w:val="center"/>
                </w:tcPr>
                <w:p w14:paraId="6AA36FE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30t</w:t>
                  </w:r>
                </w:p>
              </w:tc>
              <w:tc>
                <w:tcPr>
                  <w:tcW w:w="1118" w:type="dxa"/>
                  <w:tcBorders>
                    <w:right w:val="single" w:color="auto" w:sz="4" w:space="0"/>
                    <w:tl2br w:val="nil"/>
                    <w:tr2bl w:val="nil"/>
                  </w:tcBorders>
                  <w:noWrap w:val="0"/>
                  <w:vAlign w:val="center"/>
                </w:tcPr>
                <w:p w14:paraId="7D3522D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00808CA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2B6E23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68C9E32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19</w:t>
                  </w:r>
                </w:p>
              </w:tc>
              <w:tc>
                <w:tcPr>
                  <w:tcW w:w="2740" w:type="dxa"/>
                  <w:tcBorders>
                    <w:tl2br w:val="nil"/>
                    <w:tr2bl w:val="nil"/>
                  </w:tcBorders>
                  <w:noWrap w:val="0"/>
                  <w:vAlign w:val="center"/>
                </w:tcPr>
                <w:p w14:paraId="60E304BB">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在线处理系统</w:t>
                  </w:r>
                </w:p>
              </w:tc>
              <w:tc>
                <w:tcPr>
                  <w:tcW w:w="1410" w:type="dxa"/>
                  <w:tcBorders>
                    <w:tl2br w:val="nil"/>
                    <w:tr2bl w:val="nil"/>
                  </w:tcBorders>
                  <w:noWrap w:val="0"/>
                  <w:vAlign w:val="center"/>
                </w:tcPr>
                <w:p w14:paraId="1668D8B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30t</w:t>
                  </w:r>
                </w:p>
              </w:tc>
              <w:tc>
                <w:tcPr>
                  <w:tcW w:w="1118" w:type="dxa"/>
                  <w:tcBorders>
                    <w:right w:val="single" w:color="auto" w:sz="4" w:space="0"/>
                    <w:tl2br w:val="nil"/>
                    <w:tr2bl w:val="nil"/>
                  </w:tcBorders>
                  <w:noWrap w:val="0"/>
                  <w:vAlign w:val="center"/>
                </w:tcPr>
                <w:p w14:paraId="4199CC1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0C73F59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39E0B6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3C042B1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20</w:t>
                  </w:r>
                </w:p>
              </w:tc>
              <w:tc>
                <w:tcPr>
                  <w:tcW w:w="2740" w:type="dxa"/>
                  <w:tcBorders>
                    <w:tl2br w:val="nil"/>
                    <w:tr2bl w:val="nil"/>
                  </w:tcBorders>
                  <w:noWrap w:val="0"/>
                  <w:vAlign w:val="center"/>
                </w:tcPr>
                <w:p w14:paraId="7970AC05">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均质炉</w:t>
                  </w:r>
                </w:p>
              </w:tc>
              <w:tc>
                <w:tcPr>
                  <w:tcW w:w="1410" w:type="dxa"/>
                  <w:tcBorders>
                    <w:tl2br w:val="nil"/>
                    <w:tr2bl w:val="nil"/>
                  </w:tcBorders>
                  <w:noWrap w:val="0"/>
                  <w:vAlign w:val="center"/>
                </w:tcPr>
                <w:p w14:paraId="445F9D1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50m</w:t>
                  </w:r>
                  <w:r>
                    <w:rPr>
                      <w:rFonts w:hint="default" w:ascii="Times New Roman" w:hAnsi="Times New Roman" w:eastAsia="宋体" w:cs="Times New Roman"/>
                      <w:color w:val="auto"/>
                      <w:kern w:val="0"/>
                      <w:sz w:val="22"/>
                      <w:szCs w:val="22"/>
                      <w:vertAlign w:val="superscript"/>
                      <w:lang w:val="en-US" w:eastAsia="zh-CN"/>
                    </w:rPr>
                    <w:t>3</w:t>
                  </w:r>
                  <w:r>
                    <w:rPr>
                      <w:rFonts w:hint="default" w:ascii="Times New Roman" w:hAnsi="Times New Roman" w:eastAsia="宋体" w:cs="Times New Roman"/>
                      <w:color w:val="auto"/>
                      <w:kern w:val="0"/>
                      <w:sz w:val="22"/>
                      <w:szCs w:val="22"/>
                      <w:vertAlign w:val="baseline"/>
                      <w:lang w:val="en-US" w:eastAsia="zh-CN"/>
                    </w:rPr>
                    <w:t>/个</w:t>
                  </w:r>
                </w:p>
              </w:tc>
              <w:tc>
                <w:tcPr>
                  <w:tcW w:w="1118" w:type="dxa"/>
                  <w:tcBorders>
                    <w:right w:val="single" w:color="auto" w:sz="4" w:space="0"/>
                    <w:tl2br w:val="nil"/>
                    <w:tr2bl w:val="nil"/>
                  </w:tcBorders>
                  <w:noWrap w:val="0"/>
                  <w:vAlign w:val="center"/>
                </w:tcPr>
                <w:p w14:paraId="10AB83C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2</w:t>
                  </w:r>
                </w:p>
              </w:tc>
              <w:tc>
                <w:tcPr>
                  <w:tcW w:w="1988" w:type="dxa"/>
                  <w:tcBorders>
                    <w:tl2br w:val="nil"/>
                    <w:tr2bl w:val="nil"/>
                  </w:tcBorders>
                  <w:noWrap w:val="0"/>
                  <w:vAlign w:val="center"/>
                </w:tcPr>
                <w:p w14:paraId="547C70B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518B72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7150A50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21</w:t>
                  </w:r>
                </w:p>
              </w:tc>
              <w:tc>
                <w:tcPr>
                  <w:tcW w:w="2740" w:type="dxa"/>
                  <w:tcBorders>
                    <w:tl2br w:val="nil"/>
                    <w:tr2bl w:val="nil"/>
                  </w:tcBorders>
                  <w:noWrap w:val="0"/>
                  <w:vAlign w:val="center"/>
                </w:tcPr>
                <w:p w14:paraId="3474F8A8">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电磁搅拌器</w:t>
                  </w:r>
                </w:p>
              </w:tc>
              <w:tc>
                <w:tcPr>
                  <w:tcW w:w="1410" w:type="dxa"/>
                  <w:tcBorders>
                    <w:tl2br w:val="nil"/>
                    <w:tr2bl w:val="nil"/>
                  </w:tcBorders>
                  <w:noWrap w:val="0"/>
                  <w:vAlign w:val="center"/>
                </w:tcPr>
                <w:p w14:paraId="5029837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JBDZ-25Z</w:t>
                  </w:r>
                </w:p>
              </w:tc>
              <w:tc>
                <w:tcPr>
                  <w:tcW w:w="1118" w:type="dxa"/>
                  <w:tcBorders>
                    <w:right w:val="single" w:color="auto" w:sz="4" w:space="0"/>
                    <w:tl2br w:val="nil"/>
                    <w:tr2bl w:val="nil"/>
                  </w:tcBorders>
                  <w:noWrap w:val="0"/>
                  <w:vAlign w:val="center"/>
                </w:tcPr>
                <w:p w14:paraId="126A567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1C4696E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24745A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321C555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22</w:t>
                  </w:r>
                </w:p>
              </w:tc>
              <w:tc>
                <w:tcPr>
                  <w:tcW w:w="2740" w:type="dxa"/>
                  <w:tcBorders>
                    <w:tl2br w:val="nil"/>
                    <w:tr2bl w:val="nil"/>
                  </w:tcBorders>
                  <w:noWrap w:val="0"/>
                  <w:vAlign w:val="center"/>
                </w:tcPr>
                <w:p w14:paraId="36D050AA">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冷却塔</w:t>
                  </w:r>
                </w:p>
              </w:tc>
              <w:tc>
                <w:tcPr>
                  <w:tcW w:w="1410" w:type="dxa"/>
                  <w:tcBorders>
                    <w:tl2br w:val="nil"/>
                    <w:tr2bl w:val="nil"/>
                  </w:tcBorders>
                  <w:noWrap w:val="0"/>
                  <w:vAlign w:val="center"/>
                </w:tcPr>
                <w:p w14:paraId="3423575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450m</w:t>
                  </w:r>
                  <w:r>
                    <w:rPr>
                      <w:rFonts w:hint="default" w:ascii="Times New Roman" w:hAnsi="Times New Roman" w:eastAsia="宋体" w:cs="Times New Roman"/>
                      <w:color w:val="auto"/>
                      <w:kern w:val="0"/>
                      <w:sz w:val="22"/>
                      <w:szCs w:val="22"/>
                      <w:vertAlign w:val="superscript"/>
                      <w:lang w:val="en-US" w:eastAsia="zh-CN"/>
                    </w:rPr>
                    <w:t>3</w:t>
                  </w:r>
                  <w:r>
                    <w:rPr>
                      <w:rFonts w:hint="default" w:ascii="Times New Roman" w:hAnsi="Times New Roman" w:eastAsia="宋体" w:cs="Times New Roman"/>
                      <w:color w:val="auto"/>
                      <w:kern w:val="0"/>
                      <w:sz w:val="22"/>
                      <w:szCs w:val="22"/>
                      <w:vertAlign w:val="baseline"/>
                      <w:lang w:val="en-US" w:eastAsia="zh-CN"/>
                    </w:rPr>
                    <w:t>/h</w:t>
                  </w:r>
                </w:p>
              </w:tc>
              <w:tc>
                <w:tcPr>
                  <w:tcW w:w="1118" w:type="dxa"/>
                  <w:tcBorders>
                    <w:right w:val="single" w:color="auto" w:sz="4" w:space="0"/>
                    <w:tl2br w:val="nil"/>
                    <w:tr2bl w:val="nil"/>
                  </w:tcBorders>
                  <w:noWrap w:val="0"/>
                  <w:vAlign w:val="center"/>
                </w:tcPr>
                <w:p w14:paraId="3F83C54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3A53130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2C993E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3A73D02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23</w:t>
                  </w:r>
                </w:p>
              </w:tc>
              <w:tc>
                <w:tcPr>
                  <w:tcW w:w="2740" w:type="dxa"/>
                  <w:tcBorders>
                    <w:tl2br w:val="nil"/>
                    <w:tr2bl w:val="nil"/>
                  </w:tcBorders>
                  <w:noWrap w:val="0"/>
                  <w:vAlign w:val="center"/>
                </w:tcPr>
                <w:p w14:paraId="6C29E29F">
                  <w:pPr>
                    <w:keepNext w:val="0"/>
                    <w:keepLines w:val="0"/>
                    <w:pageBreakBefore w:val="0"/>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25t熔炼炉冷却循环水池</w:t>
                  </w:r>
                </w:p>
              </w:tc>
              <w:tc>
                <w:tcPr>
                  <w:tcW w:w="1410" w:type="dxa"/>
                  <w:tcBorders>
                    <w:tl2br w:val="nil"/>
                    <w:tr2bl w:val="nil"/>
                  </w:tcBorders>
                  <w:noWrap w:val="0"/>
                  <w:vAlign w:val="center"/>
                </w:tcPr>
                <w:p w14:paraId="1647AF9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200m</w:t>
                  </w:r>
                  <w:r>
                    <w:rPr>
                      <w:rFonts w:hint="default" w:ascii="Times New Roman" w:hAnsi="Times New Roman" w:eastAsia="宋体" w:cs="Times New Roman"/>
                      <w:color w:val="auto"/>
                      <w:kern w:val="0"/>
                      <w:sz w:val="22"/>
                      <w:szCs w:val="22"/>
                      <w:vertAlign w:val="superscript"/>
                      <w:lang w:val="en-US" w:eastAsia="zh-CN"/>
                    </w:rPr>
                    <w:t>3</w:t>
                  </w:r>
                </w:p>
              </w:tc>
              <w:tc>
                <w:tcPr>
                  <w:tcW w:w="1118" w:type="dxa"/>
                  <w:tcBorders>
                    <w:right w:val="single" w:color="auto" w:sz="4" w:space="0"/>
                    <w:tl2br w:val="nil"/>
                    <w:tr2bl w:val="nil"/>
                  </w:tcBorders>
                  <w:noWrap w:val="0"/>
                  <w:vAlign w:val="center"/>
                </w:tcPr>
                <w:p w14:paraId="0A362D3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64B178A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46D47B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0B32BF6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24</w:t>
                  </w:r>
                </w:p>
              </w:tc>
              <w:tc>
                <w:tcPr>
                  <w:tcW w:w="2740" w:type="dxa"/>
                  <w:tcBorders>
                    <w:tl2br w:val="nil"/>
                    <w:tr2bl w:val="nil"/>
                  </w:tcBorders>
                  <w:noWrap w:val="0"/>
                  <w:vAlign w:val="center"/>
                </w:tcPr>
                <w:p w14:paraId="3F73B58F">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rPr>
                    <w:t>循环水泵</w:t>
                  </w:r>
                </w:p>
              </w:tc>
              <w:tc>
                <w:tcPr>
                  <w:tcW w:w="1410" w:type="dxa"/>
                  <w:tcBorders>
                    <w:tl2br w:val="nil"/>
                    <w:tr2bl w:val="nil"/>
                  </w:tcBorders>
                  <w:noWrap w:val="0"/>
                  <w:vAlign w:val="center"/>
                </w:tcPr>
                <w:p w14:paraId="2F26A48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c>
                <w:tcPr>
                  <w:tcW w:w="1118" w:type="dxa"/>
                  <w:tcBorders>
                    <w:right w:val="single" w:color="auto" w:sz="4" w:space="0"/>
                    <w:tl2br w:val="nil"/>
                    <w:tr2bl w:val="nil"/>
                  </w:tcBorders>
                  <w:noWrap w:val="0"/>
                  <w:vAlign w:val="center"/>
                </w:tcPr>
                <w:p w14:paraId="35F1DDA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3</w:t>
                  </w:r>
                </w:p>
              </w:tc>
              <w:tc>
                <w:tcPr>
                  <w:tcW w:w="1988" w:type="dxa"/>
                  <w:tcBorders>
                    <w:tl2br w:val="nil"/>
                    <w:tr2bl w:val="nil"/>
                  </w:tcBorders>
                  <w:noWrap w:val="0"/>
                  <w:vAlign w:val="center"/>
                </w:tcPr>
                <w:p w14:paraId="37C55E8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依托</w:t>
                  </w:r>
                </w:p>
              </w:tc>
            </w:tr>
            <w:tr w14:paraId="42CE61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026" w:type="dxa"/>
                  <w:gridSpan w:val="5"/>
                  <w:tcBorders>
                    <w:tl2br w:val="nil"/>
                    <w:tr2bl w:val="nil"/>
                  </w:tcBorders>
                  <w:noWrap w:val="0"/>
                  <w:vAlign w:val="center"/>
                </w:tcPr>
                <w:p w14:paraId="1AF73C29">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2、铝合金深加工智能化生产线建设项目（重新报批）</w:t>
                  </w:r>
                </w:p>
              </w:tc>
            </w:tr>
            <w:tr w14:paraId="35711F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0D35B9F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w:t>
                  </w:r>
                </w:p>
              </w:tc>
              <w:tc>
                <w:tcPr>
                  <w:tcW w:w="2740" w:type="dxa"/>
                  <w:tcBorders>
                    <w:tl2br w:val="nil"/>
                    <w:tr2bl w:val="nil"/>
                  </w:tcBorders>
                  <w:noWrap w:val="0"/>
                  <w:vAlign w:val="center"/>
                </w:tcPr>
                <w:p w14:paraId="542758B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蓄热式高效熔炼炉</w:t>
                  </w:r>
                </w:p>
              </w:tc>
              <w:tc>
                <w:tcPr>
                  <w:tcW w:w="1410" w:type="dxa"/>
                  <w:tcBorders>
                    <w:tl2br w:val="nil"/>
                    <w:tr2bl w:val="nil"/>
                  </w:tcBorders>
                  <w:noWrap w:val="0"/>
                  <w:vAlign w:val="center"/>
                </w:tcPr>
                <w:p w14:paraId="403925A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60T</w:t>
                  </w:r>
                </w:p>
              </w:tc>
              <w:tc>
                <w:tcPr>
                  <w:tcW w:w="1118" w:type="dxa"/>
                  <w:tcBorders>
                    <w:right w:val="single" w:color="auto" w:sz="4" w:space="0"/>
                    <w:tl2br w:val="nil"/>
                    <w:tr2bl w:val="nil"/>
                  </w:tcBorders>
                  <w:noWrap w:val="0"/>
                  <w:vAlign w:val="center"/>
                </w:tcPr>
                <w:p w14:paraId="2FF5A99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0F197FE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r>
            <w:tr w14:paraId="717C5E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5BD4FC8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2</w:t>
                  </w:r>
                </w:p>
              </w:tc>
              <w:tc>
                <w:tcPr>
                  <w:tcW w:w="2740" w:type="dxa"/>
                  <w:tcBorders>
                    <w:tl2br w:val="nil"/>
                    <w:tr2bl w:val="nil"/>
                  </w:tcBorders>
                  <w:noWrap w:val="0"/>
                  <w:vAlign w:val="center"/>
                </w:tcPr>
                <w:p w14:paraId="198D932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熔保一体倾动炉</w:t>
                  </w:r>
                </w:p>
                <w:p w14:paraId="4047912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（1#35t熔炼炉）</w:t>
                  </w:r>
                </w:p>
              </w:tc>
              <w:tc>
                <w:tcPr>
                  <w:tcW w:w="1410" w:type="dxa"/>
                  <w:tcBorders>
                    <w:tl2br w:val="nil"/>
                    <w:tr2bl w:val="nil"/>
                  </w:tcBorders>
                  <w:noWrap w:val="0"/>
                  <w:vAlign w:val="center"/>
                </w:tcPr>
                <w:p w14:paraId="2A53DBC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35T</w:t>
                  </w:r>
                </w:p>
              </w:tc>
              <w:tc>
                <w:tcPr>
                  <w:tcW w:w="1118" w:type="dxa"/>
                  <w:tcBorders>
                    <w:right w:val="single" w:color="auto" w:sz="4" w:space="0"/>
                    <w:tl2br w:val="nil"/>
                    <w:tr2bl w:val="nil"/>
                  </w:tcBorders>
                  <w:noWrap w:val="0"/>
                  <w:vAlign w:val="center"/>
                </w:tcPr>
                <w:p w14:paraId="4124650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7EB3537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r>
            <w:tr w14:paraId="3715EB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7699FC6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3</w:t>
                  </w:r>
                </w:p>
              </w:tc>
              <w:tc>
                <w:tcPr>
                  <w:tcW w:w="2740" w:type="dxa"/>
                  <w:tcBorders>
                    <w:tl2br w:val="nil"/>
                    <w:tr2bl w:val="nil"/>
                  </w:tcBorders>
                  <w:noWrap w:val="0"/>
                  <w:vAlign w:val="center"/>
                </w:tcPr>
                <w:p w14:paraId="28DBAAD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蓄热式高效熔炼炉（2#35t熔炼炉）</w:t>
                  </w:r>
                </w:p>
              </w:tc>
              <w:tc>
                <w:tcPr>
                  <w:tcW w:w="1410" w:type="dxa"/>
                  <w:tcBorders>
                    <w:tl2br w:val="nil"/>
                    <w:tr2bl w:val="nil"/>
                  </w:tcBorders>
                  <w:noWrap w:val="0"/>
                  <w:vAlign w:val="center"/>
                </w:tcPr>
                <w:p w14:paraId="64548E7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35T</w:t>
                  </w:r>
                </w:p>
              </w:tc>
              <w:tc>
                <w:tcPr>
                  <w:tcW w:w="1118" w:type="dxa"/>
                  <w:tcBorders>
                    <w:right w:val="single" w:color="auto" w:sz="4" w:space="0"/>
                    <w:tl2br w:val="nil"/>
                    <w:tr2bl w:val="nil"/>
                  </w:tcBorders>
                  <w:noWrap w:val="0"/>
                  <w:vAlign w:val="center"/>
                </w:tcPr>
                <w:p w14:paraId="2E34BA3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10889FA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r>
            <w:tr w14:paraId="723E18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71223DEA">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4</w:t>
                  </w:r>
                </w:p>
              </w:tc>
              <w:tc>
                <w:tcPr>
                  <w:tcW w:w="2740" w:type="dxa"/>
                  <w:tcBorders>
                    <w:tl2br w:val="nil"/>
                    <w:tr2bl w:val="nil"/>
                  </w:tcBorders>
                  <w:noWrap w:val="0"/>
                  <w:vAlign w:val="center"/>
                </w:tcPr>
                <w:p w14:paraId="4CD934E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井式铸造机</w:t>
                  </w:r>
                </w:p>
              </w:tc>
              <w:tc>
                <w:tcPr>
                  <w:tcW w:w="1410" w:type="dxa"/>
                  <w:tcBorders>
                    <w:tl2br w:val="nil"/>
                    <w:tr2bl w:val="nil"/>
                  </w:tcBorders>
                  <w:noWrap w:val="0"/>
                  <w:vAlign w:val="center"/>
                </w:tcPr>
                <w:p w14:paraId="7A3454E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35T</w:t>
                  </w:r>
                </w:p>
              </w:tc>
              <w:tc>
                <w:tcPr>
                  <w:tcW w:w="1118" w:type="dxa"/>
                  <w:tcBorders>
                    <w:right w:val="single" w:color="auto" w:sz="4" w:space="0"/>
                    <w:tl2br w:val="nil"/>
                    <w:tr2bl w:val="nil"/>
                  </w:tcBorders>
                  <w:noWrap w:val="0"/>
                  <w:vAlign w:val="center"/>
                </w:tcPr>
                <w:p w14:paraId="2D810A9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4342026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r>
            <w:tr w14:paraId="28330E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0F12F4D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5</w:t>
                  </w:r>
                </w:p>
              </w:tc>
              <w:tc>
                <w:tcPr>
                  <w:tcW w:w="2740" w:type="dxa"/>
                  <w:tcBorders>
                    <w:tl2br w:val="nil"/>
                    <w:tr2bl w:val="nil"/>
                  </w:tcBorders>
                  <w:noWrap w:val="0"/>
                  <w:vAlign w:val="center"/>
                </w:tcPr>
                <w:p w14:paraId="23F3BFC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铝液包</w:t>
                  </w:r>
                </w:p>
              </w:tc>
              <w:tc>
                <w:tcPr>
                  <w:tcW w:w="1410" w:type="dxa"/>
                  <w:tcBorders>
                    <w:tl2br w:val="nil"/>
                    <w:tr2bl w:val="nil"/>
                  </w:tcBorders>
                  <w:noWrap w:val="0"/>
                  <w:vAlign w:val="center"/>
                </w:tcPr>
                <w:p w14:paraId="20CAB39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3T/包</w:t>
                  </w:r>
                </w:p>
              </w:tc>
              <w:tc>
                <w:tcPr>
                  <w:tcW w:w="1118" w:type="dxa"/>
                  <w:tcBorders>
                    <w:right w:val="single" w:color="auto" w:sz="4" w:space="0"/>
                    <w:tl2br w:val="nil"/>
                    <w:tr2bl w:val="nil"/>
                  </w:tcBorders>
                  <w:noWrap w:val="0"/>
                  <w:vAlign w:val="center"/>
                </w:tcPr>
                <w:p w14:paraId="7E32838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15</w:t>
                  </w:r>
                </w:p>
              </w:tc>
              <w:tc>
                <w:tcPr>
                  <w:tcW w:w="1988" w:type="dxa"/>
                  <w:tcBorders>
                    <w:tl2br w:val="nil"/>
                    <w:tr2bl w:val="nil"/>
                  </w:tcBorders>
                  <w:noWrap w:val="0"/>
                  <w:vAlign w:val="center"/>
                </w:tcPr>
                <w:p w14:paraId="09A452A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r>
            <w:tr w14:paraId="36111C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70D8AB71">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6</w:t>
                  </w:r>
                </w:p>
              </w:tc>
              <w:tc>
                <w:tcPr>
                  <w:tcW w:w="2740" w:type="dxa"/>
                  <w:tcBorders>
                    <w:tl2br w:val="nil"/>
                    <w:tr2bl w:val="nil"/>
                  </w:tcBorders>
                  <w:noWrap w:val="0"/>
                  <w:vAlign w:val="center"/>
                </w:tcPr>
                <w:p w14:paraId="5EA538B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铸锭连铸机</w:t>
                  </w:r>
                </w:p>
              </w:tc>
              <w:tc>
                <w:tcPr>
                  <w:tcW w:w="1410" w:type="dxa"/>
                  <w:tcBorders>
                    <w:tl2br w:val="nil"/>
                    <w:tr2bl w:val="nil"/>
                  </w:tcBorders>
                  <w:noWrap w:val="0"/>
                  <w:vAlign w:val="center"/>
                </w:tcPr>
                <w:p w14:paraId="7C5C0CA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17.5m</w:t>
                  </w:r>
                </w:p>
              </w:tc>
              <w:tc>
                <w:tcPr>
                  <w:tcW w:w="1118" w:type="dxa"/>
                  <w:tcBorders>
                    <w:right w:val="single" w:color="auto" w:sz="4" w:space="0"/>
                    <w:tl2br w:val="nil"/>
                    <w:tr2bl w:val="nil"/>
                  </w:tcBorders>
                  <w:noWrap w:val="0"/>
                  <w:vAlign w:val="center"/>
                </w:tcPr>
                <w:p w14:paraId="0EE585A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2</w:t>
                  </w:r>
                </w:p>
              </w:tc>
              <w:tc>
                <w:tcPr>
                  <w:tcW w:w="1988" w:type="dxa"/>
                  <w:tcBorders>
                    <w:tl2br w:val="nil"/>
                    <w:tr2bl w:val="nil"/>
                  </w:tcBorders>
                  <w:noWrap w:val="0"/>
                  <w:vAlign w:val="center"/>
                </w:tcPr>
                <w:p w14:paraId="5ABA71E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r>
            <w:tr w14:paraId="4BD59D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052B8B70">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7</w:t>
                  </w:r>
                </w:p>
              </w:tc>
              <w:tc>
                <w:tcPr>
                  <w:tcW w:w="2740" w:type="dxa"/>
                  <w:tcBorders>
                    <w:tl2br w:val="nil"/>
                    <w:tr2bl w:val="nil"/>
                  </w:tcBorders>
                  <w:noWrap w:val="0"/>
                  <w:vAlign w:val="center"/>
                </w:tcPr>
                <w:p w14:paraId="361E906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烤包器</w:t>
                  </w:r>
                </w:p>
              </w:tc>
              <w:tc>
                <w:tcPr>
                  <w:tcW w:w="1410" w:type="dxa"/>
                  <w:tcBorders>
                    <w:tl2br w:val="nil"/>
                    <w:tr2bl w:val="nil"/>
                  </w:tcBorders>
                  <w:noWrap w:val="0"/>
                  <w:vAlign w:val="center"/>
                </w:tcPr>
                <w:p w14:paraId="0265E01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3t/包</w:t>
                  </w:r>
                </w:p>
              </w:tc>
              <w:tc>
                <w:tcPr>
                  <w:tcW w:w="1118" w:type="dxa"/>
                  <w:tcBorders>
                    <w:right w:val="single" w:color="auto" w:sz="4" w:space="0"/>
                    <w:tl2br w:val="nil"/>
                    <w:tr2bl w:val="nil"/>
                  </w:tcBorders>
                  <w:noWrap w:val="0"/>
                  <w:vAlign w:val="center"/>
                </w:tcPr>
                <w:p w14:paraId="2938EC7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15</w:t>
                  </w:r>
                </w:p>
              </w:tc>
              <w:tc>
                <w:tcPr>
                  <w:tcW w:w="1988" w:type="dxa"/>
                  <w:tcBorders>
                    <w:tl2br w:val="nil"/>
                    <w:tr2bl w:val="nil"/>
                  </w:tcBorders>
                  <w:noWrap w:val="0"/>
                  <w:vAlign w:val="center"/>
                </w:tcPr>
                <w:p w14:paraId="2638EBB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r>
            <w:tr w14:paraId="313019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61AC95A6">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8</w:t>
                  </w:r>
                </w:p>
              </w:tc>
              <w:tc>
                <w:tcPr>
                  <w:tcW w:w="2740" w:type="dxa"/>
                  <w:tcBorders>
                    <w:tl2br w:val="nil"/>
                    <w:tr2bl w:val="nil"/>
                  </w:tcBorders>
                  <w:noWrap w:val="0"/>
                  <w:vAlign w:val="center"/>
                </w:tcPr>
                <w:p w14:paraId="0D695A0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35吨双转子除气设备</w:t>
                  </w:r>
                </w:p>
              </w:tc>
              <w:tc>
                <w:tcPr>
                  <w:tcW w:w="1410" w:type="dxa"/>
                  <w:tcBorders>
                    <w:tl2br w:val="nil"/>
                    <w:tr2bl w:val="nil"/>
                  </w:tcBorders>
                  <w:noWrap w:val="0"/>
                  <w:vAlign w:val="center"/>
                </w:tcPr>
                <w:p w14:paraId="1554C88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EC-35T，60</w:t>
                  </w:r>
                  <w:r>
                    <w:rPr>
                      <w:rFonts w:hint="eastAsia" w:ascii="Times New Roman" w:hAnsi="Times New Roman" w:eastAsia="宋体" w:cs="Times New Roman"/>
                      <w:color w:val="auto"/>
                      <w:kern w:val="0"/>
                      <w:sz w:val="22"/>
                      <w:szCs w:val="22"/>
                      <w:vertAlign w:val="baseline"/>
                      <w:lang w:val="en-US" w:eastAsia="zh-CN"/>
                    </w:rPr>
                    <w:t>kW</w:t>
                  </w:r>
                </w:p>
              </w:tc>
              <w:tc>
                <w:tcPr>
                  <w:tcW w:w="1118" w:type="dxa"/>
                  <w:tcBorders>
                    <w:right w:val="single" w:color="auto" w:sz="4" w:space="0"/>
                    <w:tl2br w:val="nil"/>
                    <w:tr2bl w:val="nil"/>
                  </w:tcBorders>
                  <w:noWrap w:val="0"/>
                  <w:vAlign w:val="center"/>
                </w:tcPr>
                <w:p w14:paraId="66328C5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003C9A7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r>
            <w:tr w14:paraId="4EDC6E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2AC479D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9</w:t>
                  </w:r>
                </w:p>
              </w:tc>
              <w:tc>
                <w:tcPr>
                  <w:tcW w:w="2740" w:type="dxa"/>
                  <w:tcBorders>
                    <w:tl2br w:val="nil"/>
                    <w:tr2bl w:val="nil"/>
                  </w:tcBorders>
                  <w:noWrap w:val="0"/>
                  <w:vAlign w:val="center"/>
                </w:tcPr>
                <w:p w14:paraId="7D7986F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23双寸双级三室过滤箱</w:t>
                  </w:r>
                </w:p>
              </w:tc>
              <w:tc>
                <w:tcPr>
                  <w:tcW w:w="1410" w:type="dxa"/>
                  <w:tcBorders>
                    <w:tl2br w:val="nil"/>
                    <w:tr2bl w:val="nil"/>
                  </w:tcBorders>
                  <w:noWrap w:val="0"/>
                  <w:vAlign w:val="center"/>
                </w:tcPr>
                <w:p w14:paraId="011A84B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EG-DS-35，70</w:t>
                  </w:r>
                  <w:r>
                    <w:rPr>
                      <w:rFonts w:hint="eastAsia" w:ascii="Times New Roman" w:hAnsi="Times New Roman" w:eastAsia="宋体" w:cs="Times New Roman"/>
                      <w:color w:val="auto"/>
                      <w:kern w:val="0"/>
                      <w:sz w:val="22"/>
                      <w:szCs w:val="22"/>
                      <w:vertAlign w:val="baseline"/>
                      <w:lang w:val="en-US" w:eastAsia="zh-CN"/>
                    </w:rPr>
                    <w:t>kW</w:t>
                  </w:r>
                </w:p>
              </w:tc>
              <w:tc>
                <w:tcPr>
                  <w:tcW w:w="1118" w:type="dxa"/>
                  <w:tcBorders>
                    <w:right w:val="single" w:color="auto" w:sz="4" w:space="0"/>
                    <w:tl2br w:val="nil"/>
                    <w:tr2bl w:val="nil"/>
                  </w:tcBorders>
                  <w:noWrap w:val="0"/>
                  <w:vAlign w:val="center"/>
                </w:tcPr>
                <w:p w14:paraId="62AED45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551B58C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r>
            <w:tr w14:paraId="5ADF66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38534C89">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10</w:t>
                  </w:r>
                </w:p>
              </w:tc>
              <w:tc>
                <w:tcPr>
                  <w:tcW w:w="2740" w:type="dxa"/>
                  <w:tcBorders>
                    <w:tl2br w:val="nil"/>
                    <w:tr2bl w:val="nil"/>
                  </w:tcBorders>
                  <w:noWrap w:val="0"/>
                  <w:vAlign w:val="center"/>
                </w:tcPr>
                <w:p w14:paraId="047D302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23双寸单级双室过滤箱</w:t>
                  </w:r>
                </w:p>
              </w:tc>
              <w:tc>
                <w:tcPr>
                  <w:tcW w:w="1410" w:type="dxa"/>
                  <w:tcBorders>
                    <w:tl2br w:val="nil"/>
                    <w:tr2bl w:val="nil"/>
                  </w:tcBorders>
                  <w:noWrap w:val="0"/>
                  <w:vAlign w:val="center"/>
                </w:tcPr>
                <w:p w14:paraId="19DB839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EG-DD-35，70</w:t>
                  </w:r>
                  <w:r>
                    <w:rPr>
                      <w:rFonts w:hint="eastAsia" w:ascii="Times New Roman" w:hAnsi="Times New Roman" w:eastAsia="宋体" w:cs="Times New Roman"/>
                      <w:color w:val="auto"/>
                      <w:kern w:val="0"/>
                      <w:sz w:val="22"/>
                      <w:szCs w:val="22"/>
                      <w:vertAlign w:val="baseline"/>
                      <w:lang w:val="en-US" w:eastAsia="zh-CN"/>
                    </w:rPr>
                    <w:t>kW</w:t>
                  </w:r>
                </w:p>
              </w:tc>
              <w:tc>
                <w:tcPr>
                  <w:tcW w:w="1118" w:type="dxa"/>
                  <w:tcBorders>
                    <w:right w:val="single" w:color="auto" w:sz="4" w:space="0"/>
                    <w:tl2br w:val="nil"/>
                    <w:tr2bl w:val="nil"/>
                  </w:tcBorders>
                  <w:noWrap w:val="0"/>
                  <w:vAlign w:val="center"/>
                </w:tcPr>
                <w:p w14:paraId="167C823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2</w:t>
                  </w:r>
                </w:p>
              </w:tc>
              <w:tc>
                <w:tcPr>
                  <w:tcW w:w="1988" w:type="dxa"/>
                  <w:tcBorders>
                    <w:tl2br w:val="nil"/>
                    <w:tr2bl w:val="nil"/>
                  </w:tcBorders>
                  <w:noWrap w:val="0"/>
                  <w:vAlign w:val="center"/>
                </w:tcPr>
                <w:p w14:paraId="65135C9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r>
            <w:tr w14:paraId="6ABAA4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499D0F33">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11</w:t>
                  </w:r>
                </w:p>
              </w:tc>
              <w:tc>
                <w:tcPr>
                  <w:tcW w:w="2740" w:type="dxa"/>
                  <w:tcBorders>
                    <w:tl2br w:val="nil"/>
                    <w:tr2bl w:val="nil"/>
                  </w:tcBorders>
                  <w:noWrap w:val="0"/>
                  <w:vAlign w:val="center"/>
                </w:tcPr>
                <w:p w14:paraId="219E9C4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铝棒锯切车皮生产系统</w:t>
                  </w:r>
                </w:p>
              </w:tc>
              <w:tc>
                <w:tcPr>
                  <w:tcW w:w="1410" w:type="dxa"/>
                  <w:tcBorders>
                    <w:tl2br w:val="nil"/>
                    <w:tr2bl w:val="nil"/>
                  </w:tcBorders>
                  <w:noWrap w:val="0"/>
                  <w:vAlign w:val="center"/>
                </w:tcPr>
                <w:p w14:paraId="05AC607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4340</w:t>
                  </w:r>
                </w:p>
              </w:tc>
              <w:tc>
                <w:tcPr>
                  <w:tcW w:w="1118" w:type="dxa"/>
                  <w:tcBorders>
                    <w:right w:val="single" w:color="auto" w:sz="4" w:space="0"/>
                    <w:tl2br w:val="nil"/>
                    <w:tr2bl w:val="nil"/>
                  </w:tcBorders>
                  <w:noWrap w:val="0"/>
                  <w:vAlign w:val="center"/>
                </w:tcPr>
                <w:p w14:paraId="35E2A3E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2</w:t>
                  </w:r>
                </w:p>
              </w:tc>
              <w:tc>
                <w:tcPr>
                  <w:tcW w:w="1988" w:type="dxa"/>
                  <w:tcBorders>
                    <w:tl2br w:val="nil"/>
                    <w:tr2bl w:val="nil"/>
                  </w:tcBorders>
                  <w:noWrap w:val="0"/>
                  <w:vAlign w:val="center"/>
                </w:tcPr>
                <w:p w14:paraId="0124AEA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r>
            <w:tr w14:paraId="00F81E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30A4525F">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12</w:t>
                  </w:r>
                </w:p>
              </w:tc>
              <w:tc>
                <w:tcPr>
                  <w:tcW w:w="2740" w:type="dxa"/>
                  <w:tcBorders>
                    <w:tl2br w:val="nil"/>
                    <w:tr2bl w:val="nil"/>
                  </w:tcBorders>
                  <w:noWrap w:val="0"/>
                  <w:vAlign w:val="center"/>
                </w:tcPr>
                <w:p w14:paraId="6324D3E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铝回收装置（包括炒灰、冷灰及建议筛分等）</w:t>
                  </w:r>
                </w:p>
              </w:tc>
              <w:tc>
                <w:tcPr>
                  <w:tcW w:w="1410" w:type="dxa"/>
                  <w:tcBorders>
                    <w:tl2br w:val="nil"/>
                    <w:tr2bl w:val="nil"/>
                  </w:tcBorders>
                  <w:noWrap w:val="0"/>
                  <w:vAlign w:val="center"/>
                </w:tcPr>
                <w:p w14:paraId="5895AD8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450~550kg/批次</w:t>
                  </w:r>
                </w:p>
              </w:tc>
              <w:tc>
                <w:tcPr>
                  <w:tcW w:w="1118" w:type="dxa"/>
                  <w:tcBorders>
                    <w:right w:val="single" w:color="auto" w:sz="4" w:space="0"/>
                    <w:tl2br w:val="nil"/>
                    <w:tr2bl w:val="nil"/>
                  </w:tcBorders>
                  <w:noWrap w:val="0"/>
                  <w:vAlign w:val="center"/>
                </w:tcPr>
                <w:p w14:paraId="2EE971A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3718438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r>
            <w:tr w14:paraId="5B17F4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0B8FA6A8">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13</w:t>
                  </w:r>
                </w:p>
              </w:tc>
              <w:tc>
                <w:tcPr>
                  <w:tcW w:w="2740" w:type="dxa"/>
                  <w:tcBorders>
                    <w:tl2br w:val="nil"/>
                    <w:tr2bl w:val="nil"/>
                  </w:tcBorders>
                  <w:noWrap w:val="0"/>
                  <w:vAlign w:val="center"/>
                </w:tcPr>
                <w:p w14:paraId="76EA5C6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梁式起重机</w:t>
                  </w:r>
                </w:p>
              </w:tc>
              <w:tc>
                <w:tcPr>
                  <w:tcW w:w="1410" w:type="dxa"/>
                  <w:tcBorders>
                    <w:tl2br w:val="nil"/>
                    <w:tr2bl w:val="nil"/>
                  </w:tcBorders>
                  <w:noWrap w:val="0"/>
                  <w:vAlign w:val="center"/>
                </w:tcPr>
                <w:p w14:paraId="7BC9939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20t</w:t>
                  </w:r>
                </w:p>
              </w:tc>
              <w:tc>
                <w:tcPr>
                  <w:tcW w:w="1118" w:type="dxa"/>
                  <w:tcBorders>
                    <w:right w:val="single" w:color="auto" w:sz="4" w:space="0"/>
                    <w:tl2br w:val="nil"/>
                    <w:tr2bl w:val="nil"/>
                  </w:tcBorders>
                  <w:noWrap w:val="0"/>
                  <w:vAlign w:val="center"/>
                </w:tcPr>
                <w:p w14:paraId="4FE397C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2</w:t>
                  </w:r>
                </w:p>
              </w:tc>
              <w:tc>
                <w:tcPr>
                  <w:tcW w:w="1988" w:type="dxa"/>
                  <w:tcBorders>
                    <w:tl2br w:val="nil"/>
                    <w:tr2bl w:val="nil"/>
                  </w:tcBorders>
                  <w:noWrap w:val="0"/>
                  <w:vAlign w:val="center"/>
                </w:tcPr>
                <w:p w14:paraId="2836E53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r>
            <w:tr w14:paraId="5E942C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7F00AA9D">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14</w:t>
                  </w:r>
                </w:p>
              </w:tc>
              <w:tc>
                <w:tcPr>
                  <w:tcW w:w="2740" w:type="dxa"/>
                  <w:tcBorders>
                    <w:tl2br w:val="nil"/>
                    <w:tr2bl w:val="nil"/>
                  </w:tcBorders>
                  <w:noWrap w:val="0"/>
                  <w:vAlign w:val="center"/>
                </w:tcPr>
                <w:p w14:paraId="7F558B7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螺杆变频空压机</w:t>
                  </w:r>
                </w:p>
              </w:tc>
              <w:tc>
                <w:tcPr>
                  <w:tcW w:w="1410" w:type="dxa"/>
                  <w:tcBorders>
                    <w:tl2br w:val="nil"/>
                    <w:tr2bl w:val="nil"/>
                  </w:tcBorders>
                  <w:noWrap w:val="0"/>
                  <w:vAlign w:val="center"/>
                </w:tcPr>
                <w:p w14:paraId="796AD5B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6.8m</w:t>
                  </w:r>
                  <w:r>
                    <w:rPr>
                      <w:rFonts w:hint="default" w:ascii="Times New Roman" w:hAnsi="Times New Roman" w:eastAsia="宋体" w:cs="Times New Roman"/>
                      <w:color w:val="auto"/>
                      <w:kern w:val="0"/>
                      <w:sz w:val="22"/>
                      <w:szCs w:val="22"/>
                      <w:vertAlign w:val="superscript"/>
                      <w:lang w:val="en-US" w:eastAsia="zh-CN"/>
                    </w:rPr>
                    <w:t>3</w:t>
                  </w:r>
                  <w:r>
                    <w:rPr>
                      <w:rFonts w:hint="default" w:ascii="Times New Roman" w:hAnsi="Times New Roman" w:eastAsia="宋体" w:cs="Times New Roman"/>
                      <w:color w:val="auto"/>
                      <w:kern w:val="0"/>
                      <w:sz w:val="22"/>
                      <w:szCs w:val="22"/>
                      <w:vertAlign w:val="baseline"/>
                      <w:lang w:val="en-US" w:eastAsia="zh-CN"/>
                    </w:rPr>
                    <w:t>/min</w:t>
                  </w:r>
                </w:p>
              </w:tc>
              <w:tc>
                <w:tcPr>
                  <w:tcW w:w="1118" w:type="dxa"/>
                  <w:tcBorders>
                    <w:right w:val="single" w:color="auto" w:sz="4" w:space="0"/>
                    <w:tl2br w:val="nil"/>
                    <w:tr2bl w:val="nil"/>
                  </w:tcBorders>
                  <w:noWrap w:val="0"/>
                  <w:vAlign w:val="center"/>
                </w:tcPr>
                <w:p w14:paraId="7416ABA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2</w:t>
                  </w:r>
                </w:p>
              </w:tc>
              <w:tc>
                <w:tcPr>
                  <w:tcW w:w="1988" w:type="dxa"/>
                  <w:tcBorders>
                    <w:tl2br w:val="nil"/>
                    <w:tr2bl w:val="nil"/>
                  </w:tcBorders>
                  <w:noWrap w:val="0"/>
                  <w:vAlign w:val="center"/>
                </w:tcPr>
                <w:p w14:paraId="062498B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r>
            <w:tr w14:paraId="03D749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7D51E934">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15</w:t>
                  </w:r>
                </w:p>
              </w:tc>
              <w:tc>
                <w:tcPr>
                  <w:tcW w:w="2740" w:type="dxa"/>
                  <w:tcBorders>
                    <w:tl2br w:val="nil"/>
                    <w:tr2bl w:val="nil"/>
                  </w:tcBorders>
                  <w:noWrap w:val="0"/>
                  <w:vAlign w:val="center"/>
                </w:tcPr>
                <w:p w14:paraId="5C5A65E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重力沉降+布袋除尘设备</w:t>
                  </w:r>
                </w:p>
              </w:tc>
              <w:tc>
                <w:tcPr>
                  <w:tcW w:w="1410" w:type="dxa"/>
                  <w:tcBorders>
                    <w:tl2br w:val="nil"/>
                    <w:tr2bl w:val="nil"/>
                  </w:tcBorders>
                  <w:noWrap w:val="0"/>
                  <w:vAlign w:val="center"/>
                </w:tcPr>
                <w:p w14:paraId="6248E6F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130000m</w:t>
                  </w:r>
                  <w:r>
                    <w:rPr>
                      <w:rFonts w:hint="default" w:ascii="Times New Roman" w:hAnsi="Times New Roman" w:eastAsia="宋体" w:cs="Times New Roman"/>
                      <w:color w:val="auto"/>
                      <w:kern w:val="0"/>
                      <w:sz w:val="22"/>
                      <w:szCs w:val="22"/>
                      <w:vertAlign w:val="superscript"/>
                      <w:lang w:val="en-US" w:eastAsia="zh-CN"/>
                    </w:rPr>
                    <w:t>3</w:t>
                  </w:r>
                  <w:r>
                    <w:rPr>
                      <w:rFonts w:hint="default" w:ascii="Times New Roman" w:hAnsi="Times New Roman" w:eastAsia="宋体" w:cs="Times New Roman"/>
                      <w:color w:val="auto"/>
                      <w:kern w:val="0"/>
                      <w:sz w:val="22"/>
                      <w:szCs w:val="22"/>
                      <w:vertAlign w:val="baseline"/>
                      <w:lang w:val="en-US" w:eastAsia="zh-CN"/>
                    </w:rPr>
                    <w:t>/h</w:t>
                  </w:r>
                </w:p>
              </w:tc>
              <w:tc>
                <w:tcPr>
                  <w:tcW w:w="1118" w:type="dxa"/>
                  <w:tcBorders>
                    <w:right w:val="single" w:color="auto" w:sz="4" w:space="0"/>
                    <w:tl2br w:val="nil"/>
                    <w:tr2bl w:val="nil"/>
                  </w:tcBorders>
                  <w:noWrap w:val="0"/>
                  <w:vAlign w:val="center"/>
                </w:tcPr>
                <w:p w14:paraId="328A2BF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4170C1F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r>
            <w:tr w14:paraId="113608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148CC3E2">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16</w:t>
                  </w:r>
                </w:p>
              </w:tc>
              <w:tc>
                <w:tcPr>
                  <w:tcW w:w="2740" w:type="dxa"/>
                  <w:tcBorders>
                    <w:tl2br w:val="nil"/>
                    <w:tr2bl w:val="nil"/>
                  </w:tcBorders>
                  <w:noWrap w:val="0"/>
                  <w:vAlign w:val="center"/>
                </w:tcPr>
                <w:p w14:paraId="1CB68BB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重力沉降+低压脉冲袋式除尘器</w:t>
                  </w:r>
                </w:p>
              </w:tc>
              <w:tc>
                <w:tcPr>
                  <w:tcW w:w="1410" w:type="dxa"/>
                  <w:tcBorders>
                    <w:tl2br w:val="nil"/>
                    <w:tr2bl w:val="nil"/>
                  </w:tcBorders>
                  <w:noWrap w:val="0"/>
                  <w:vAlign w:val="center"/>
                </w:tcPr>
                <w:p w14:paraId="3BBB6CE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60000m</w:t>
                  </w:r>
                  <w:r>
                    <w:rPr>
                      <w:rFonts w:hint="default" w:ascii="Times New Roman" w:hAnsi="Times New Roman" w:eastAsia="宋体" w:cs="Times New Roman"/>
                      <w:color w:val="auto"/>
                      <w:kern w:val="0"/>
                      <w:sz w:val="22"/>
                      <w:szCs w:val="22"/>
                      <w:vertAlign w:val="superscript"/>
                      <w:lang w:val="en-US" w:eastAsia="zh-CN"/>
                    </w:rPr>
                    <w:t>3</w:t>
                  </w:r>
                  <w:r>
                    <w:rPr>
                      <w:rFonts w:hint="default" w:ascii="Times New Roman" w:hAnsi="Times New Roman" w:eastAsia="宋体" w:cs="Times New Roman"/>
                      <w:color w:val="auto"/>
                      <w:kern w:val="0"/>
                      <w:sz w:val="22"/>
                      <w:szCs w:val="22"/>
                      <w:vertAlign w:val="baseline"/>
                      <w:lang w:val="en-US" w:eastAsia="zh-CN"/>
                    </w:rPr>
                    <w:t>/h</w:t>
                  </w:r>
                </w:p>
              </w:tc>
              <w:tc>
                <w:tcPr>
                  <w:tcW w:w="1118" w:type="dxa"/>
                  <w:tcBorders>
                    <w:right w:val="single" w:color="auto" w:sz="4" w:space="0"/>
                    <w:tl2br w:val="nil"/>
                    <w:tr2bl w:val="nil"/>
                  </w:tcBorders>
                  <w:noWrap w:val="0"/>
                  <w:vAlign w:val="center"/>
                </w:tcPr>
                <w:p w14:paraId="6E9028D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67AB737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r>
            <w:tr w14:paraId="0FD6A3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3BA1C95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17</w:t>
                  </w:r>
                </w:p>
              </w:tc>
              <w:tc>
                <w:tcPr>
                  <w:tcW w:w="2740" w:type="dxa"/>
                  <w:tcBorders>
                    <w:tl2br w:val="nil"/>
                    <w:tr2bl w:val="nil"/>
                  </w:tcBorders>
                  <w:noWrap w:val="0"/>
                  <w:vAlign w:val="center"/>
                </w:tcPr>
                <w:p w14:paraId="1212203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主要循环水泵</w:t>
                  </w:r>
                </w:p>
              </w:tc>
              <w:tc>
                <w:tcPr>
                  <w:tcW w:w="1410" w:type="dxa"/>
                  <w:tcBorders>
                    <w:tl2br w:val="nil"/>
                    <w:tr2bl w:val="nil"/>
                  </w:tcBorders>
                  <w:noWrap w:val="0"/>
                  <w:vAlign w:val="center"/>
                </w:tcPr>
                <w:p w14:paraId="555F58D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w:t>
                  </w:r>
                </w:p>
              </w:tc>
              <w:tc>
                <w:tcPr>
                  <w:tcW w:w="1118" w:type="dxa"/>
                  <w:tcBorders>
                    <w:right w:val="single" w:color="auto" w:sz="4" w:space="0"/>
                    <w:tl2br w:val="nil"/>
                    <w:tr2bl w:val="nil"/>
                  </w:tcBorders>
                  <w:noWrap w:val="0"/>
                  <w:vAlign w:val="center"/>
                </w:tcPr>
                <w:p w14:paraId="5A928A6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2</w:t>
                  </w:r>
                </w:p>
              </w:tc>
              <w:tc>
                <w:tcPr>
                  <w:tcW w:w="1988" w:type="dxa"/>
                  <w:tcBorders>
                    <w:tl2br w:val="nil"/>
                    <w:tr2bl w:val="nil"/>
                  </w:tcBorders>
                  <w:noWrap w:val="0"/>
                  <w:vAlign w:val="center"/>
                </w:tcPr>
                <w:p w14:paraId="059254A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r>
            <w:tr w14:paraId="779A28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509D41B7">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18</w:t>
                  </w:r>
                </w:p>
              </w:tc>
              <w:tc>
                <w:tcPr>
                  <w:tcW w:w="2740" w:type="dxa"/>
                  <w:tcBorders>
                    <w:tl2br w:val="nil"/>
                    <w:tr2bl w:val="nil"/>
                  </w:tcBorders>
                  <w:noWrap w:val="0"/>
                  <w:vAlign w:val="center"/>
                </w:tcPr>
                <w:p w14:paraId="60AAFE8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冷却塔</w:t>
                  </w:r>
                </w:p>
              </w:tc>
              <w:tc>
                <w:tcPr>
                  <w:tcW w:w="1410" w:type="dxa"/>
                  <w:tcBorders>
                    <w:tl2br w:val="nil"/>
                    <w:tr2bl w:val="nil"/>
                  </w:tcBorders>
                  <w:noWrap w:val="0"/>
                  <w:vAlign w:val="center"/>
                </w:tcPr>
                <w:p w14:paraId="1B7D2E7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600m</w:t>
                  </w:r>
                  <w:r>
                    <w:rPr>
                      <w:rFonts w:hint="default" w:ascii="Times New Roman" w:hAnsi="Times New Roman" w:eastAsia="宋体" w:cs="Times New Roman"/>
                      <w:color w:val="auto"/>
                      <w:kern w:val="0"/>
                      <w:sz w:val="22"/>
                      <w:szCs w:val="22"/>
                      <w:vertAlign w:val="superscript"/>
                      <w:lang w:val="en-US" w:eastAsia="zh-CN"/>
                    </w:rPr>
                    <w:t>3</w:t>
                  </w:r>
                  <w:r>
                    <w:rPr>
                      <w:rFonts w:hint="default" w:ascii="Times New Roman" w:hAnsi="Times New Roman" w:eastAsia="宋体" w:cs="Times New Roman"/>
                      <w:color w:val="auto"/>
                      <w:kern w:val="0"/>
                      <w:sz w:val="22"/>
                      <w:szCs w:val="22"/>
                      <w:vertAlign w:val="baseline"/>
                      <w:lang w:val="en-US" w:eastAsia="zh-CN"/>
                    </w:rPr>
                    <w:t>/h方形逆流式</w:t>
                  </w:r>
                </w:p>
              </w:tc>
              <w:tc>
                <w:tcPr>
                  <w:tcW w:w="1118" w:type="dxa"/>
                  <w:tcBorders>
                    <w:right w:val="single" w:color="auto" w:sz="4" w:space="0"/>
                    <w:tl2br w:val="nil"/>
                    <w:tr2bl w:val="nil"/>
                  </w:tcBorders>
                  <w:noWrap w:val="0"/>
                  <w:vAlign w:val="center"/>
                </w:tcPr>
                <w:p w14:paraId="7CD4543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2</w:t>
                  </w:r>
                </w:p>
              </w:tc>
              <w:tc>
                <w:tcPr>
                  <w:tcW w:w="1988" w:type="dxa"/>
                  <w:tcBorders>
                    <w:tl2br w:val="nil"/>
                    <w:tr2bl w:val="nil"/>
                  </w:tcBorders>
                  <w:noWrap w:val="0"/>
                  <w:vAlign w:val="center"/>
                </w:tcPr>
                <w:p w14:paraId="448B6D9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r>
            <w:tr w14:paraId="60C4D1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70" w:type="dxa"/>
                  <w:tcBorders>
                    <w:tl2br w:val="nil"/>
                    <w:tr2bl w:val="nil"/>
                  </w:tcBorders>
                  <w:noWrap w:val="0"/>
                  <w:vAlign w:val="center"/>
                </w:tcPr>
                <w:p w14:paraId="067611BC">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19</w:t>
                  </w:r>
                </w:p>
              </w:tc>
              <w:tc>
                <w:tcPr>
                  <w:tcW w:w="2740" w:type="dxa"/>
                  <w:tcBorders>
                    <w:tl2br w:val="nil"/>
                    <w:tr2bl w:val="nil"/>
                  </w:tcBorders>
                  <w:noWrap w:val="0"/>
                  <w:vAlign w:val="center"/>
                </w:tcPr>
                <w:p w14:paraId="6948CF6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铝回收装置冷却池</w:t>
                  </w:r>
                </w:p>
              </w:tc>
              <w:tc>
                <w:tcPr>
                  <w:tcW w:w="1410" w:type="dxa"/>
                  <w:tcBorders>
                    <w:tl2br w:val="nil"/>
                    <w:tr2bl w:val="nil"/>
                  </w:tcBorders>
                  <w:noWrap w:val="0"/>
                  <w:vAlign w:val="center"/>
                </w:tcPr>
                <w:p w14:paraId="7360644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30m</w:t>
                  </w:r>
                  <w:r>
                    <w:rPr>
                      <w:rFonts w:hint="default" w:ascii="Times New Roman" w:hAnsi="Times New Roman" w:eastAsia="宋体" w:cs="Times New Roman"/>
                      <w:color w:val="auto"/>
                      <w:kern w:val="0"/>
                      <w:sz w:val="22"/>
                      <w:szCs w:val="22"/>
                      <w:vertAlign w:val="superscript"/>
                      <w:lang w:val="en-US" w:eastAsia="zh-CN"/>
                    </w:rPr>
                    <w:t>3</w:t>
                  </w:r>
                  <w:r>
                    <w:rPr>
                      <w:rFonts w:hint="default" w:ascii="Times New Roman" w:hAnsi="Times New Roman" w:eastAsia="宋体" w:cs="Times New Roman"/>
                      <w:color w:val="auto"/>
                      <w:kern w:val="0"/>
                      <w:sz w:val="22"/>
                      <w:szCs w:val="22"/>
                      <w:vertAlign w:val="baseline"/>
                      <w:lang w:val="en-US" w:eastAsia="zh-CN"/>
                    </w:rPr>
                    <w:t>/h</w:t>
                  </w:r>
                </w:p>
              </w:tc>
              <w:tc>
                <w:tcPr>
                  <w:tcW w:w="1118" w:type="dxa"/>
                  <w:tcBorders>
                    <w:right w:val="single" w:color="auto" w:sz="4" w:space="0"/>
                    <w:tl2br w:val="nil"/>
                    <w:tr2bl w:val="nil"/>
                  </w:tcBorders>
                  <w:noWrap w:val="0"/>
                  <w:vAlign w:val="center"/>
                </w:tcPr>
                <w:p w14:paraId="15157E1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1</w:t>
                  </w:r>
                </w:p>
              </w:tc>
              <w:tc>
                <w:tcPr>
                  <w:tcW w:w="1988" w:type="dxa"/>
                  <w:tcBorders>
                    <w:tl2br w:val="nil"/>
                    <w:tr2bl w:val="nil"/>
                  </w:tcBorders>
                  <w:noWrap w:val="0"/>
                  <w:vAlign w:val="center"/>
                </w:tcPr>
                <w:p w14:paraId="68B1E6B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w:t>
                  </w:r>
                </w:p>
              </w:tc>
            </w:tr>
          </w:tbl>
          <w:p w14:paraId="3E21E946">
            <w:pPr>
              <w:adjustRightInd w:val="0"/>
              <w:snapToGrid w:val="0"/>
              <w:spacing w:line="460" w:lineRule="exact"/>
              <w:ind w:firstLine="520" w:firstLineChars="200"/>
              <w:rPr>
                <w:rFonts w:hint="eastAsia" w:ascii="Times New Roman" w:hAnsi="Times New Roman" w:eastAsia="宋体" w:cs="Times New Roman"/>
                <w:color w:val="auto"/>
                <w:kern w:val="0"/>
                <w:sz w:val="26"/>
                <w:szCs w:val="26"/>
                <w:vertAlign w:val="baseline"/>
                <w:lang w:val="en-US" w:eastAsia="zh-CN"/>
              </w:rPr>
            </w:pPr>
          </w:p>
          <w:p w14:paraId="345DF3F2">
            <w:pPr>
              <w:adjustRightInd w:val="0"/>
              <w:snapToGrid w:val="0"/>
              <w:spacing w:line="460" w:lineRule="exact"/>
              <w:jc w:val="left"/>
              <w:rPr>
                <w:rFonts w:hint="eastAsia"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lang w:val="en-US" w:eastAsia="zh-CN"/>
              </w:rPr>
              <w:t>2.5.2生产设备产能匹配性分析</w:t>
            </w:r>
          </w:p>
          <w:p w14:paraId="4D995B8C">
            <w:pPr>
              <w:keepNext w:val="0"/>
              <w:keepLines w:val="0"/>
              <w:pageBreakBefore w:val="0"/>
              <w:widowControl w:val="0"/>
              <w:kinsoku/>
              <w:wordWrap/>
              <w:overflowPunct/>
              <w:topLinePunct w:val="0"/>
              <w:autoSpaceDE/>
              <w:autoSpaceDN/>
              <w:bidi w:val="0"/>
              <w:adjustRightInd/>
              <w:snapToGrid/>
              <w:spacing w:line="460" w:lineRule="exact"/>
              <w:ind w:firstLine="520" w:firstLineChars="200"/>
              <w:contextualSpacing/>
              <w:jc w:val="both"/>
              <w:textAlignment w:val="auto"/>
              <w:rPr>
                <w:rFonts w:hint="eastAsia"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本项目依托现有2台25t熔炼炉和1台16t熔炼炉。两台25吨熔炼炉交替生产，共用一台铸造机，用于铝棒铸造。单台25t熔炼炉的工序时间为：熔炼2小时，精炼1小时，铸造4小时。两次铸造之间需间隔1小时，用于工具维护和产品转运。因此，首个生产批次从熔炼到铸造完成共需8小时（熔炼2h + 精炼1h + 铸造4h + 间隔1h），后续每个批次仅需5小时（铸造4h + 间隔1h）。25t炉年生产天数为295天，每天24小时连续运行，预计全年可生产约1415批次，每批次产量为25吨，设计年生产能力约35300t/a。具体产能匹配性如下表所示。</w:t>
            </w:r>
          </w:p>
          <w:p w14:paraId="578EA2A3">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default" w:ascii="Times New Roman" w:hAnsi="Times New Roman" w:eastAsia="宋体" w:cs="Times New Roman"/>
                <w:b/>
                <w:bCs/>
                <w:color w:val="auto"/>
                <w:sz w:val="26"/>
                <w:szCs w:val="26"/>
                <w:lang w:val="en-US" w:eastAsia="zh-CN"/>
              </w:rPr>
            </w:pPr>
          </w:p>
          <w:p w14:paraId="28CA1272">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default" w:ascii="Times New Roman" w:hAnsi="Times New Roman" w:eastAsia="宋体" w:cs="Times New Roman"/>
                <w:b/>
                <w:bCs/>
                <w:color w:val="auto"/>
                <w:sz w:val="26"/>
                <w:szCs w:val="26"/>
                <w:lang w:val="en-US" w:eastAsia="zh-CN"/>
              </w:rPr>
            </w:pPr>
            <w:r>
              <w:rPr>
                <w:rFonts w:hint="default" w:ascii="Times New Roman" w:hAnsi="Times New Roman" w:eastAsia="宋体" w:cs="Times New Roman"/>
                <w:b/>
                <w:bCs/>
                <w:color w:val="auto"/>
                <w:sz w:val="26"/>
                <w:szCs w:val="26"/>
                <w:lang w:val="en-US" w:eastAsia="zh-CN"/>
              </w:rPr>
              <w:t>表</w:t>
            </w:r>
            <w:r>
              <w:rPr>
                <w:rFonts w:hint="eastAsia" w:ascii="Times New Roman" w:hAnsi="Times New Roman" w:eastAsia="宋体" w:cs="Times New Roman"/>
                <w:b/>
                <w:bCs/>
                <w:color w:val="auto"/>
                <w:sz w:val="26"/>
                <w:szCs w:val="26"/>
                <w:lang w:val="en-US" w:eastAsia="zh-CN"/>
              </w:rPr>
              <w:t>2.5-2</w:t>
            </w:r>
            <w:r>
              <w:rPr>
                <w:rFonts w:hint="default" w:ascii="Times New Roman" w:hAnsi="Times New Roman" w:eastAsia="宋体" w:cs="Times New Roman"/>
                <w:b/>
                <w:bCs/>
                <w:color w:val="auto"/>
                <w:sz w:val="26"/>
                <w:szCs w:val="26"/>
                <w:lang w:val="en-US" w:eastAsia="zh-CN"/>
              </w:rPr>
              <w:t xml:space="preserve">  </w:t>
            </w:r>
            <w:r>
              <w:rPr>
                <w:rFonts w:hint="eastAsia" w:ascii="Times New Roman" w:hAnsi="Times New Roman" w:eastAsia="宋体" w:cs="Times New Roman"/>
                <w:b/>
                <w:bCs/>
                <w:color w:val="auto"/>
                <w:sz w:val="26"/>
                <w:szCs w:val="26"/>
                <w:lang w:val="en-US" w:eastAsia="zh-CN"/>
              </w:rPr>
              <w:t>16t</w:t>
            </w:r>
            <w:r>
              <w:rPr>
                <w:rFonts w:hint="default" w:ascii="Times New Roman" w:hAnsi="Times New Roman" w:eastAsia="宋体" w:cs="Times New Roman"/>
                <w:b/>
                <w:bCs/>
                <w:color w:val="auto"/>
                <w:sz w:val="26"/>
                <w:szCs w:val="26"/>
                <w:lang w:val="en-US" w:eastAsia="zh-CN"/>
              </w:rPr>
              <w:t>熔炼</w:t>
            </w:r>
            <w:r>
              <w:rPr>
                <w:rFonts w:hint="eastAsia" w:ascii="Times New Roman" w:hAnsi="Times New Roman" w:eastAsia="宋体" w:cs="Times New Roman"/>
                <w:b/>
                <w:bCs/>
                <w:color w:val="auto"/>
                <w:sz w:val="26"/>
                <w:szCs w:val="26"/>
                <w:lang w:val="en-US" w:eastAsia="zh-CN"/>
              </w:rPr>
              <w:t>炉</w:t>
            </w:r>
            <w:r>
              <w:rPr>
                <w:rFonts w:hint="default" w:ascii="Times New Roman" w:hAnsi="Times New Roman" w:eastAsia="宋体" w:cs="Times New Roman"/>
                <w:b/>
                <w:bCs/>
                <w:color w:val="auto"/>
                <w:sz w:val="26"/>
                <w:szCs w:val="26"/>
                <w:lang w:val="en-US" w:eastAsia="zh-CN"/>
              </w:rPr>
              <w:t>产能匹配分析一览表</w:t>
            </w:r>
          </w:p>
          <w:tbl>
            <w:tblPr>
              <w:tblStyle w:val="26"/>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526"/>
              <w:gridCol w:w="527"/>
              <w:gridCol w:w="527"/>
              <w:gridCol w:w="579"/>
              <w:gridCol w:w="676"/>
              <w:gridCol w:w="620"/>
              <w:gridCol w:w="766"/>
              <w:gridCol w:w="741"/>
              <w:gridCol w:w="917"/>
              <w:gridCol w:w="917"/>
              <w:gridCol w:w="586"/>
            </w:tblGrid>
            <w:tr w14:paraId="20C22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Merge w:val="restart"/>
                  <w:noWrap w:val="0"/>
                  <w:vAlign w:val="center"/>
                </w:tcPr>
                <w:p w14:paraId="59A94AF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eastAsia="zh-CN"/>
                    </w:rPr>
                  </w:pPr>
                  <w:r>
                    <w:rPr>
                      <w:rFonts w:hint="default" w:ascii="Times New Roman" w:hAnsi="Times New Roman" w:eastAsia="宋体" w:cs="Times New Roman"/>
                      <w:b w:val="0"/>
                      <w:bCs w:val="0"/>
                      <w:color w:val="auto"/>
                      <w:sz w:val="22"/>
                      <w:szCs w:val="22"/>
                      <w:vertAlign w:val="baseline"/>
                      <w:lang w:eastAsia="zh-CN"/>
                    </w:rPr>
                    <w:t>设备</w:t>
                  </w:r>
                </w:p>
              </w:tc>
              <w:tc>
                <w:tcPr>
                  <w:tcW w:w="1580" w:type="dxa"/>
                  <w:gridSpan w:val="3"/>
                  <w:noWrap w:val="0"/>
                  <w:vAlign w:val="center"/>
                </w:tcPr>
                <w:p w14:paraId="39E992E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eastAsia="zh-CN"/>
                    </w:rPr>
                  </w:pPr>
                  <w:r>
                    <w:rPr>
                      <w:rFonts w:hint="default" w:ascii="Times New Roman" w:hAnsi="Times New Roman" w:eastAsia="宋体" w:cs="Times New Roman"/>
                      <w:b w:val="0"/>
                      <w:bCs w:val="0"/>
                      <w:color w:val="auto"/>
                      <w:sz w:val="22"/>
                      <w:szCs w:val="22"/>
                      <w:vertAlign w:val="baseline"/>
                      <w:lang w:eastAsia="zh-CN"/>
                    </w:rPr>
                    <w:t>单批次生产时间</w:t>
                  </w:r>
                  <w:r>
                    <w:rPr>
                      <w:rFonts w:hint="default" w:ascii="Times New Roman" w:hAnsi="Times New Roman" w:eastAsia="宋体" w:cs="Times New Roman"/>
                      <w:b w:val="0"/>
                      <w:bCs w:val="0"/>
                      <w:color w:val="auto"/>
                      <w:sz w:val="22"/>
                      <w:szCs w:val="22"/>
                      <w:vertAlign w:val="baseline"/>
                      <w:lang w:val="en-US" w:eastAsia="zh-CN"/>
                    </w:rPr>
                    <w:t>h</w:t>
                  </w:r>
                </w:p>
              </w:tc>
              <w:tc>
                <w:tcPr>
                  <w:tcW w:w="579" w:type="dxa"/>
                  <w:vMerge w:val="restart"/>
                  <w:noWrap w:val="0"/>
                  <w:vAlign w:val="center"/>
                </w:tcPr>
                <w:p w14:paraId="12818DE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eastAsia="zh-CN"/>
                    </w:rPr>
                    <w:t>单批次产能</w:t>
                  </w:r>
                  <w:r>
                    <w:rPr>
                      <w:rFonts w:hint="default" w:ascii="Times New Roman" w:hAnsi="Times New Roman" w:eastAsia="宋体" w:cs="Times New Roman"/>
                      <w:b w:val="0"/>
                      <w:bCs w:val="0"/>
                      <w:color w:val="auto"/>
                      <w:sz w:val="22"/>
                      <w:szCs w:val="22"/>
                      <w:vertAlign w:val="baseline"/>
                      <w:lang w:val="en-US" w:eastAsia="zh-CN"/>
                    </w:rPr>
                    <w:t>t</w:t>
                  </w:r>
                </w:p>
              </w:tc>
              <w:tc>
                <w:tcPr>
                  <w:tcW w:w="676" w:type="dxa"/>
                  <w:vMerge w:val="restart"/>
                  <w:noWrap w:val="0"/>
                  <w:vAlign w:val="center"/>
                </w:tcPr>
                <w:p w14:paraId="1FE77B6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eastAsia="zh-CN"/>
                    </w:rPr>
                    <w:t>年工作天数</w:t>
                  </w:r>
                  <w:r>
                    <w:rPr>
                      <w:rFonts w:hint="default" w:ascii="Times New Roman" w:hAnsi="Times New Roman" w:eastAsia="宋体" w:cs="Times New Roman"/>
                      <w:b w:val="0"/>
                      <w:bCs w:val="0"/>
                      <w:color w:val="auto"/>
                      <w:sz w:val="22"/>
                      <w:szCs w:val="22"/>
                      <w:vertAlign w:val="baseline"/>
                      <w:lang w:val="en-US" w:eastAsia="zh-CN"/>
                    </w:rPr>
                    <w:t>d</w:t>
                  </w:r>
                </w:p>
              </w:tc>
              <w:tc>
                <w:tcPr>
                  <w:tcW w:w="620" w:type="dxa"/>
                  <w:vMerge w:val="restart"/>
                  <w:noWrap w:val="0"/>
                  <w:vAlign w:val="center"/>
                </w:tcPr>
                <w:p w14:paraId="513B1ED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eastAsia="zh-CN"/>
                    </w:rPr>
                    <w:t>每天工作时间</w:t>
                  </w:r>
                  <w:r>
                    <w:rPr>
                      <w:rFonts w:hint="default" w:ascii="Times New Roman" w:hAnsi="Times New Roman" w:eastAsia="宋体" w:cs="Times New Roman"/>
                      <w:b w:val="0"/>
                      <w:bCs w:val="0"/>
                      <w:color w:val="auto"/>
                      <w:sz w:val="22"/>
                      <w:szCs w:val="22"/>
                      <w:vertAlign w:val="baseline"/>
                      <w:lang w:val="en-US" w:eastAsia="zh-CN"/>
                    </w:rPr>
                    <w:t>h</w:t>
                  </w:r>
                </w:p>
              </w:tc>
              <w:tc>
                <w:tcPr>
                  <w:tcW w:w="766" w:type="dxa"/>
                  <w:vMerge w:val="restart"/>
                  <w:noWrap w:val="0"/>
                  <w:vAlign w:val="center"/>
                </w:tcPr>
                <w:p w14:paraId="247FB25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eastAsia="zh-CN"/>
                    </w:rPr>
                    <w:t>年工作时间</w:t>
                  </w:r>
                  <w:r>
                    <w:rPr>
                      <w:rFonts w:hint="default" w:ascii="Times New Roman" w:hAnsi="Times New Roman" w:eastAsia="宋体" w:cs="Times New Roman"/>
                      <w:b w:val="0"/>
                      <w:bCs w:val="0"/>
                      <w:color w:val="auto"/>
                      <w:sz w:val="22"/>
                      <w:szCs w:val="22"/>
                      <w:vertAlign w:val="baseline"/>
                      <w:lang w:val="en-US" w:eastAsia="zh-CN"/>
                    </w:rPr>
                    <w:t>h</w:t>
                  </w:r>
                </w:p>
              </w:tc>
              <w:tc>
                <w:tcPr>
                  <w:tcW w:w="741" w:type="dxa"/>
                  <w:vMerge w:val="restart"/>
                  <w:noWrap w:val="0"/>
                  <w:vAlign w:val="center"/>
                </w:tcPr>
                <w:p w14:paraId="58BC738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eastAsia="zh-CN"/>
                    </w:rPr>
                  </w:pPr>
                  <w:r>
                    <w:rPr>
                      <w:rFonts w:hint="default" w:ascii="Times New Roman" w:hAnsi="Times New Roman" w:eastAsia="宋体" w:cs="Times New Roman"/>
                      <w:b w:val="0"/>
                      <w:bCs w:val="0"/>
                      <w:color w:val="auto"/>
                      <w:sz w:val="22"/>
                      <w:szCs w:val="22"/>
                      <w:vertAlign w:val="baseline"/>
                      <w:lang w:eastAsia="zh-CN"/>
                    </w:rPr>
                    <w:t>年生产批次</w:t>
                  </w:r>
                </w:p>
              </w:tc>
              <w:tc>
                <w:tcPr>
                  <w:tcW w:w="917" w:type="dxa"/>
                  <w:vMerge w:val="restart"/>
                  <w:noWrap w:val="0"/>
                  <w:vAlign w:val="center"/>
                </w:tcPr>
                <w:p w14:paraId="0D1DCA8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eastAsia="zh-CN"/>
                    </w:rPr>
                    <w:t>核算</w:t>
                  </w:r>
                  <w:r>
                    <w:rPr>
                      <w:rFonts w:hint="default" w:ascii="Times New Roman" w:hAnsi="Times New Roman" w:eastAsia="宋体" w:cs="Times New Roman"/>
                      <w:b w:val="0"/>
                      <w:bCs w:val="0"/>
                      <w:color w:val="auto"/>
                      <w:sz w:val="22"/>
                      <w:szCs w:val="22"/>
                      <w:vertAlign w:val="baseline"/>
                      <w:lang w:eastAsia="zh-CN"/>
                    </w:rPr>
                    <w:t>年生产能力</w:t>
                  </w:r>
                  <w:r>
                    <w:rPr>
                      <w:rFonts w:hint="default" w:ascii="Times New Roman" w:hAnsi="Times New Roman" w:eastAsia="宋体" w:cs="Times New Roman"/>
                      <w:b w:val="0"/>
                      <w:bCs w:val="0"/>
                      <w:color w:val="auto"/>
                      <w:sz w:val="22"/>
                      <w:szCs w:val="22"/>
                      <w:vertAlign w:val="baseline"/>
                      <w:lang w:val="en-US" w:eastAsia="zh-CN"/>
                    </w:rPr>
                    <w:t>t</w:t>
                  </w:r>
                </w:p>
              </w:tc>
              <w:tc>
                <w:tcPr>
                  <w:tcW w:w="917" w:type="dxa"/>
                  <w:vMerge w:val="restart"/>
                  <w:noWrap w:val="0"/>
                  <w:vAlign w:val="center"/>
                </w:tcPr>
                <w:p w14:paraId="1FE583B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eastAsia="zh-CN"/>
                    </w:rPr>
                    <w:t>设计</w:t>
                  </w:r>
                  <w:r>
                    <w:rPr>
                      <w:rFonts w:hint="default" w:ascii="Times New Roman" w:hAnsi="Times New Roman" w:eastAsia="宋体" w:cs="Times New Roman"/>
                      <w:b w:val="0"/>
                      <w:bCs w:val="0"/>
                      <w:color w:val="auto"/>
                      <w:sz w:val="22"/>
                      <w:szCs w:val="22"/>
                      <w:vertAlign w:val="baseline"/>
                      <w:lang w:eastAsia="zh-CN"/>
                    </w:rPr>
                    <w:t>年生产能力</w:t>
                  </w:r>
                  <w:r>
                    <w:rPr>
                      <w:rFonts w:hint="default" w:ascii="Times New Roman" w:hAnsi="Times New Roman" w:eastAsia="宋体" w:cs="Times New Roman"/>
                      <w:b w:val="0"/>
                      <w:bCs w:val="0"/>
                      <w:color w:val="auto"/>
                      <w:sz w:val="22"/>
                      <w:szCs w:val="22"/>
                      <w:vertAlign w:val="baseline"/>
                      <w:lang w:val="en-US" w:eastAsia="zh-CN"/>
                    </w:rPr>
                    <w:t>t</w:t>
                  </w:r>
                </w:p>
              </w:tc>
              <w:tc>
                <w:tcPr>
                  <w:tcW w:w="586" w:type="dxa"/>
                  <w:vMerge w:val="restart"/>
                  <w:noWrap w:val="0"/>
                  <w:vAlign w:val="center"/>
                </w:tcPr>
                <w:p w14:paraId="3D837230">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eastAsia="zh-CN"/>
                    </w:rPr>
                  </w:pPr>
                  <w:r>
                    <w:rPr>
                      <w:rFonts w:hint="default" w:ascii="Times New Roman" w:hAnsi="Times New Roman" w:eastAsia="宋体" w:cs="Times New Roman"/>
                      <w:b w:val="0"/>
                      <w:bCs w:val="0"/>
                      <w:color w:val="auto"/>
                      <w:sz w:val="22"/>
                      <w:szCs w:val="22"/>
                      <w:vertAlign w:val="baseline"/>
                      <w:lang w:eastAsia="zh-CN"/>
                    </w:rPr>
                    <w:t>备注</w:t>
                  </w:r>
                </w:p>
              </w:tc>
            </w:tr>
            <w:tr w14:paraId="0DFB0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Merge w:val="continue"/>
                  <w:noWrap w:val="0"/>
                  <w:vAlign w:val="center"/>
                </w:tcPr>
                <w:p w14:paraId="4DE2429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eastAsia="zh-CN"/>
                    </w:rPr>
                  </w:pPr>
                </w:p>
              </w:tc>
              <w:tc>
                <w:tcPr>
                  <w:tcW w:w="526" w:type="dxa"/>
                  <w:noWrap w:val="0"/>
                  <w:vAlign w:val="center"/>
                </w:tcPr>
                <w:p w14:paraId="3B87220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eastAsia="zh-CN"/>
                    </w:rPr>
                  </w:pPr>
                  <w:r>
                    <w:rPr>
                      <w:rFonts w:hint="default" w:ascii="Times New Roman" w:hAnsi="Times New Roman" w:eastAsia="宋体" w:cs="Times New Roman"/>
                      <w:b w:val="0"/>
                      <w:bCs w:val="0"/>
                      <w:color w:val="auto"/>
                      <w:sz w:val="22"/>
                      <w:szCs w:val="22"/>
                      <w:vertAlign w:val="baseline"/>
                      <w:lang w:eastAsia="zh-CN"/>
                    </w:rPr>
                    <w:t>熔炼时间</w:t>
                  </w:r>
                </w:p>
              </w:tc>
              <w:tc>
                <w:tcPr>
                  <w:tcW w:w="527" w:type="dxa"/>
                  <w:noWrap w:val="0"/>
                  <w:vAlign w:val="center"/>
                </w:tcPr>
                <w:p w14:paraId="37B75C6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eastAsia="zh-CN"/>
                    </w:rPr>
                  </w:pPr>
                  <w:r>
                    <w:rPr>
                      <w:rFonts w:hint="default" w:ascii="Times New Roman" w:hAnsi="Times New Roman" w:eastAsia="宋体" w:cs="Times New Roman"/>
                      <w:b w:val="0"/>
                      <w:bCs w:val="0"/>
                      <w:color w:val="auto"/>
                      <w:sz w:val="22"/>
                      <w:szCs w:val="22"/>
                      <w:vertAlign w:val="baseline"/>
                      <w:lang w:eastAsia="zh-CN"/>
                    </w:rPr>
                    <w:t>精炼时间</w:t>
                  </w:r>
                </w:p>
              </w:tc>
              <w:tc>
                <w:tcPr>
                  <w:tcW w:w="527" w:type="dxa"/>
                  <w:noWrap w:val="0"/>
                  <w:vAlign w:val="center"/>
                </w:tcPr>
                <w:p w14:paraId="73B64AE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eastAsia="zh-CN"/>
                    </w:rPr>
                  </w:pPr>
                  <w:r>
                    <w:rPr>
                      <w:rFonts w:hint="default" w:ascii="Times New Roman" w:hAnsi="Times New Roman" w:eastAsia="宋体" w:cs="Times New Roman"/>
                      <w:b w:val="0"/>
                      <w:bCs w:val="0"/>
                      <w:color w:val="auto"/>
                      <w:sz w:val="22"/>
                      <w:szCs w:val="22"/>
                      <w:vertAlign w:val="baseline"/>
                      <w:lang w:eastAsia="zh-CN"/>
                    </w:rPr>
                    <w:t>铸造时间</w:t>
                  </w:r>
                </w:p>
              </w:tc>
              <w:tc>
                <w:tcPr>
                  <w:tcW w:w="579" w:type="dxa"/>
                  <w:vMerge w:val="continue"/>
                  <w:noWrap w:val="0"/>
                  <w:vAlign w:val="center"/>
                </w:tcPr>
                <w:p w14:paraId="7A75D76D">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eastAsia="zh-CN"/>
                    </w:rPr>
                  </w:pPr>
                </w:p>
              </w:tc>
              <w:tc>
                <w:tcPr>
                  <w:tcW w:w="676" w:type="dxa"/>
                  <w:vMerge w:val="continue"/>
                  <w:noWrap w:val="0"/>
                  <w:vAlign w:val="center"/>
                </w:tcPr>
                <w:p w14:paraId="41D2B23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eastAsia="zh-CN"/>
                    </w:rPr>
                  </w:pPr>
                </w:p>
              </w:tc>
              <w:tc>
                <w:tcPr>
                  <w:tcW w:w="620" w:type="dxa"/>
                  <w:vMerge w:val="continue"/>
                  <w:noWrap w:val="0"/>
                  <w:vAlign w:val="center"/>
                </w:tcPr>
                <w:p w14:paraId="54FE73D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eastAsia="zh-CN"/>
                    </w:rPr>
                  </w:pPr>
                </w:p>
              </w:tc>
              <w:tc>
                <w:tcPr>
                  <w:tcW w:w="766" w:type="dxa"/>
                  <w:vMerge w:val="continue"/>
                  <w:noWrap w:val="0"/>
                  <w:vAlign w:val="center"/>
                </w:tcPr>
                <w:p w14:paraId="052BB17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eastAsia="zh-CN"/>
                    </w:rPr>
                  </w:pPr>
                </w:p>
              </w:tc>
              <w:tc>
                <w:tcPr>
                  <w:tcW w:w="741" w:type="dxa"/>
                  <w:vMerge w:val="continue"/>
                  <w:noWrap w:val="0"/>
                  <w:vAlign w:val="center"/>
                </w:tcPr>
                <w:p w14:paraId="63819FC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eastAsia="zh-CN"/>
                    </w:rPr>
                  </w:pPr>
                </w:p>
              </w:tc>
              <w:tc>
                <w:tcPr>
                  <w:tcW w:w="917" w:type="dxa"/>
                  <w:vMerge w:val="continue"/>
                  <w:noWrap w:val="0"/>
                  <w:vAlign w:val="center"/>
                </w:tcPr>
                <w:p w14:paraId="531E886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eastAsia="zh-CN"/>
                    </w:rPr>
                  </w:pPr>
                </w:p>
              </w:tc>
              <w:tc>
                <w:tcPr>
                  <w:tcW w:w="917" w:type="dxa"/>
                  <w:vMerge w:val="continue"/>
                  <w:noWrap w:val="0"/>
                  <w:vAlign w:val="center"/>
                </w:tcPr>
                <w:p w14:paraId="33D4F70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eastAsia="zh-CN"/>
                    </w:rPr>
                  </w:pPr>
                </w:p>
              </w:tc>
              <w:tc>
                <w:tcPr>
                  <w:tcW w:w="586" w:type="dxa"/>
                  <w:vMerge w:val="continue"/>
                  <w:noWrap w:val="0"/>
                  <w:vAlign w:val="center"/>
                </w:tcPr>
                <w:p w14:paraId="57A55D6A">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eastAsia="zh-CN"/>
                    </w:rPr>
                  </w:pPr>
                </w:p>
              </w:tc>
            </w:tr>
            <w:tr w14:paraId="71BF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noWrap w:val="0"/>
                  <w:vAlign w:val="center"/>
                </w:tcPr>
                <w:p w14:paraId="40EAC68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eastAsia="zh-CN"/>
                    </w:rPr>
                  </w:pPr>
                  <w:r>
                    <w:rPr>
                      <w:rFonts w:hint="default" w:ascii="Times New Roman" w:hAnsi="Times New Roman" w:eastAsia="宋体" w:cs="Times New Roman"/>
                      <w:b w:val="0"/>
                      <w:bCs w:val="0"/>
                      <w:color w:val="auto"/>
                      <w:sz w:val="22"/>
                      <w:szCs w:val="22"/>
                      <w:vertAlign w:val="baseline"/>
                      <w:lang w:val="en-US" w:eastAsia="zh-CN"/>
                    </w:rPr>
                    <w:t>16t</w:t>
                  </w:r>
                  <w:r>
                    <w:rPr>
                      <w:rFonts w:hint="eastAsia" w:ascii="Times New Roman" w:hAnsi="Times New Roman" w:eastAsia="宋体" w:cs="Times New Roman"/>
                      <w:b w:val="0"/>
                      <w:bCs w:val="0"/>
                      <w:color w:val="auto"/>
                      <w:sz w:val="22"/>
                      <w:szCs w:val="22"/>
                      <w:vertAlign w:val="baseline"/>
                      <w:lang w:val="en-US" w:eastAsia="zh-CN"/>
                    </w:rPr>
                    <w:t>熔炼炉</w:t>
                  </w:r>
                </w:p>
              </w:tc>
              <w:tc>
                <w:tcPr>
                  <w:tcW w:w="526" w:type="dxa"/>
                  <w:noWrap w:val="0"/>
                  <w:vAlign w:val="center"/>
                </w:tcPr>
                <w:p w14:paraId="3ACEFB9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2</w:t>
                  </w:r>
                </w:p>
              </w:tc>
              <w:tc>
                <w:tcPr>
                  <w:tcW w:w="527" w:type="dxa"/>
                  <w:noWrap w:val="0"/>
                  <w:vAlign w:val="center"/>
                </w:tcPr>
                <w:p w14:paraId="324D141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1</w:t>
                  </w:r>
                </w:p>
              </w:tc>
              <w:tc>
                <w:tcPr>
                  <w:tcW w:w="527" w:type="dxa"/>
                  <w:noWrap w:val="0"/>
                  <w:vAlign w:val="center"/>
                </w:tcPr>
                <w:p w14:paraId="2D6915B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3</w:t>
                  </w:r>
                </w:p>
              </w:tc>
              <w:tc>
                <w:tcPr>
                  <w:tcW w:w="579" w:type="dxa"/>
                  <w:noWrap w:val="0"/>
                  <w:vAlign w:val="center"/>
                </w:tcPr>
                <w:p w14:paraId="27206DB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16</w:t>
                  </w:r>
                </w:p>
              </w:tc>
              <w:tc>
                <w:tcPr>
                  <w:tcW w:w="676" w:type="dxa"/>
                  <w:noWrap w:val="0"/>
                  <w:vAlign w:val="center"/>
                </w:tcPr>
                <w:p w14:paraId="433DA9F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295</w:t>
                  </w:r>
                </w:p>
              </w:tc>
              <w:tc>
                <w:tcPr>
                  <w:tcW w:w="620" w:type="dxa"/>
                  <w:noWrap w:val="0"/>
                  <w:vAlign w:val="center"/>
                </w:tcPr>
                <w:p w14:paraId="49AB579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24</w:t>
                  </w:r>
                </w:p>
              </w:tc>
              <w:tc>
                <w:tcPr>
                  <w:tcW w:w="766" w:type="dxa"/>
                  <w:noWrap w:val="0"/>
                  <w:vAlign w:val="center"/>
                </w:tcPr>
                <w:p w14:paraId="04D26C8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7080</w:t>
                  </w:r>
                </w:p>
              </w:tc>
              <w:tc>
                <w:tcPr>
                  <w:tcW w:w="741" w:type="dxa"/>
                  <w:noWrap w:val="0"/>
                  <w:vAlign w:val="center"/>
                </w:tcPr>
                <w:p w14:paraId="64656535">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1180</w:t>
                  </w:r>
                </w:p>
              </w:tc>
              <w:tc>
                <w:tcPr>
                  <w:tcW w:w="917" w:type="dxa"/>
                  <w:noWrap w:val="0"/>
                  <w:vAlign w:val="center"/>
                </w:tcPr>
                <w:p w14:paraId="79CDC38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18880</w:t>
                  </w:r>
                </w:p>
              </w:tc>
              <w:tc>
                <w:tcPr>
                  <w:tcW w:w="917" w:type="dxa"/>
                  <w:noWrap w:val="0"/>
                  <w:vAlign w:val="center"/>
                </w:tcPr>
                <w:p w14:paraId="3EA2F57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18700</w:t>
                  </w:r>
                </w:p>
              </w:tc>
              <w:tc>
                <w:tcPr>
                  <w:tcW w:w="586" w:type="dxa"/>
                  <w:noWrap w:val="0"/>
                  <w:vAlign w:val="center"/>
                </w:tcPr>
                <w:p w14:paraId="1AF1300F">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w:t>
                  </w:r>
                </w:p>
              </w:tc>
            </w:tr>
          </w:tbl>
          <w:p w14:paraId="24AC5962">
            <w:pPr>
              <w:keepNext w:val="0"/>
              <w:keepLines w:val="0"/>
              <w:pageBreakBefore w:val="0"/>
              <w:widowControl w:val="0"/>
              <w:kinsoku/>
              <w:wordWrap/>
              <w:overflowPunct/>
              <w:topLinePunct w:val="0"/>
              <w:autoSpaceDE/>
              <w:autoSpaceDN/>
              <w:bidi w:val="0"/>
              <w:spacing w:line="460" w:lineRule="exact"/>
              <w:textAlignment w:val="auto"/>
              <w:rPr>
                <w:rFonts w:hint="eastAsia" w:ascii="Times New Roman" w:hAnsi="Times New Roman" w:eastAsia="宋体" w:cs="Times New Roman"/>
                <w:b/>
                <w:bCs/>
                <w:color w:val="auto"/>
                <w:kern w:val="0"/>
                <w:sz w:val="26"/>
                <w:szCs w:val="26"/>
                <w:lang w:val="en-US" w:eastAsia="zh-CN"/>
              </w:rPr>
            </w:pPr>
          </w:p>
          <w:p w14:paraId="2F1A9DE0">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default" w:ascii="Times New Roman" w:hAnsi="Times New Roman" w:eastAsia="宋体" w:cs="Times New Roman"/>
                <w:b/>
                <w:bCs/>
                <w:color w:val="auto"/>
                <w:sz w:val="26"/>
                <w:szCs w:val="26"/>
                <w:lang w:val="en-US" w:eastAsia="zh-CN"/>
              </w:rPr>
            </w:pPr>
            <w:r>
              <w:rPr>
                <w:rFonts w:hint="default" w:ascii="Times New Roman" w:hAnsi="Times New Roman" w:eastAsia="宋体" w:cs="Times New Roman"/>
                <w:b/>
                <w:bCs/>
                <w:color w:val="auto"/>
                <w:sz w:val="26"/>
                <w:szCs w:val="26"/>
                <w:lang w:val="en-US" w:eastAsia="zh-CN"/>
              </w:rPr>
              <w:t>表</w:t>
            </w:r>
            <w:r>
              <w:rPr>
                <w:rFonts w:hint="eastAsia" w:ascii="Times New Roman" w:hAnsi="Times New Roman" w:eastAsia="宋体" w:cs="Times New Roman"/>
                <w:b/>
                <w:bCs/>
                <w:color w:val="auto"/>
                <w:sz w:val="26"/>
                <w:szCs w:val="26"/>
                <w:lang w:val="en-US" w:eastAsia="zh-CN"/>
              </w:rPr>
              <w:t>2.5-3</w:t>
            </w:r>
            <w:r>
              <w:rPr>
                <w:rFonts w:hint="default" w:ascii="Times New Roman" w:hAnsi="Times New Roman" w:eastAsia="宋体" w:cs="Times New Roman"/>
                <w:b/>
                <w:bCs/>
                <w:color w:val="auto"/>
                <w:sz w:val="26"/>
                <w:szCs w:val="26"/>
                <w:lang w:val="en-US" w:eastAsia="zh-CN"/>
              </w:rPr>
              <w:t xml:space="preserve">  </w:t>
            </w:r>
            <w:r>
              <w:rPr>
                <w:rFonts w:hint="eastAsia" w:ascii="Times New Roman" w:hAnsi="Times New Roman" w:eastAsia="宋体" w:cs="Times New Roman"/>
                <w:b/>
                <w:bCs/>
                <w:color w:val="auto"/>
                <w:sz w:val="26"/>
                <w:szCs w:val="26"/>
                <w:lang w:val="en-US" w:eastAsia="zh-CN"/>
              </w:rPr>
              <w:t>25t</w:t>
            </w:r>
            <w:r>
              <w:rPr>
                <w:rFonts w:hint="default" w:ascii="Times New Roman" w:hAnsi="Times New Roman" w:eastAsia="宋体" w:cs="Times New Roman"/>
                <w:b/>
                <w:bCs/>
                <w:color w:val="auto"/>
                <w:sz w:val="26"/>
                <w:szCs w:val="26"/>
                <w:lang w:val="en-US" w:eastAsia="zh-CN"/>
              </w:rPr>
              <w:t>熔炼</w:t>
            </w:r>
            <w:r>
              <w:rPr>
                <w:rFonts w:hint="eastAsia" w:ascii="Times New Roman" w:hAnsi="Times New Roman" w:eastAsia="宋体" w:cs="Times New Roman"/>
                <w:b/>
                <w:bCs/>
                <w:color w:val="auto"/>
                <w:sz w:val="26"/>
                <w:szCs w:val="26"/>
                <w:lang w:val="en-US" w:eastAsia="zh-CN"/>
              </w:rPr>
              <w:t>炉</w:t>
            </w:r>
            <w:r>
              <w:rPr>
                <w:rFonts w:hint="default" w:ascii="Times New Roman" w:hAnsi="Times New Roman" w:eastAsia="宋体" w:cs="Times New Roman"/>
                <w:b/>
                <w:bCs/>
                <w:color w:val="auto"/>
                <w:sz w:val="26"/>
                <w:szCs w:val="26"/>
                <w:lang w:val="en-US" w:eastAsia="zh-CN"/>
              </w:rPr>
              <w:t>产能匹配分析一览表</w:t>
            </w:r>
          </w:p>
          <w:tbl>
            <w:tblPr>
              <w:tblStyle w:val="26"/>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731"/>
              <w:gridCol w:w="731"/>
              <w:gridCol w:w="731"/>
              <w:gridCol w:w="731"/>
              <w:gridCol w:w="731"/>
              <w:gridCol w:w="731"/>
              <w:gridCol w:w="732"/>
              <w:gridCol w:w="732"/>
              <w:gridCol w:w="732"/>
              <w:gridCol w:w="732"/>
            </w:tblGrid>
            <w:tr w14:paraId="4D56C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noWrap w:val="0"/>
                  <w:vAlign w:val="center"/>
                </w:tcPr>
                <w:p w14:paraId="7B7119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vertAlign w:val="baseline"/>
                      <w:lang w:val="en-US" w:eastAsia="zh-CN"/>
                    </w:rPr>
                  </w:pPr>
                  <w:r>
                    <w:rPr>
                      <w:rFonts w:hint="default" w:ascii="Times New Roman" w:hAnsi="Times New Roman" w:eastAsia="宋体" w:cs="Times New Roman"/>
                      <w:b w:val="0"/>
                      <w:bCs w:val="0"/>
                      <w:color w:val="auto"/>
                      <w:kern w:val="0"/>
                      <w:sz w:val="22"/>
                      <w:szCs w:val="22"/>
                      <w:vertAlign w:val="baseline"/>
                      <w:lang w:val="en-US" w:eastAsia="zh-CN"/>
                    </w:rPr>
                    <w:t>设备</w:t>
                  </w:r>
                </w:p>
              </w:tc>
              <w:tc>
                <w:tcPr>
                  <w:tcW w:w="731" w:type="dxa"/>
                  <w:noWrap w:val="0"/>
                  <w:vAlign w:val="center"/>
                </w:tcPr>
                <w:p w14:paraId="39B97F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vertAlign w:val="baseline"/>
                      <w:lang w:val="en-US" w:eastAsia="zh-CN"/>
                    </w:rPr>
                  </w:pPr>
                  <w:r>
                    <w:rPr>
                      <w:rFonts w:hint="default" w:ascii="Times New Roman" w:hAnsi="Times New Roman" w:eastAsia="宋体" w:cs="Times New Roman"/>
                      <w:b w:val="0"/>
                      <w:bCs w:val="0"/>
                      <w:color w:val="auto"/>
                      <w:kern w:val="0"/>
                      <w:sz w:val="22"/>
                      <w:szCs w:val="22"/>
                      <w:vertAlign w:val="baseline"/>
                      <w:lang w:val="en-US" w:eastAsia="zh-CN"/>
                    </w:rPr>
                    <w:t>首批次熔炼至铸造完成时间</w:t>
                  </w:r>
                </w:p>
              </w:tc>
              <w:tc>
                <w:tcPr>
                  <w:tcW w:w="731" w:type="dxa"/>
                  <w:noWrap w:val="0"/>
                  <w:vAlign w:val="center"/>
                </w:tcPr>
                <w:p w14:paraId="37FA8B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vertAlign w:val="baseline"/>
                      <w:lang w:val="en-US" w:eastAsia="zh-CN"/>
                    </w:rPr>
                  </w:pPr>
                  <w:r>
                    <w:rPr>
                      <w:rFonts w:hint="default" w:ascii="Times New Roman" w:hAnsi="Times New Roman" w:eastAsia="宋体" w:cs="Times New Roman"/>
                      <w:b w:val="0"/>
                      <w:bCs w:val="0"/>
                      <w:color w:val="auto"/>
                      <w:kern w:val="0"/>
                      <w:sz w:val="22"/>
                      <w:szCs w:val="22"/>
                      <w:vertAlign w:val="baseline"/>
                      <w:lang w:val="en-US" w:eastAsia="zh-CN"/>
                    </w:rPr>
                    <w:t>后续批次铸造完成时间</w:t>
                  </w:r>
                </w:p>
              </w:tc>
              <w:tc>
                <w:tcPr>
                  <w:tcW w:w="731" w:type="dxa"/>
                  <w:noWrap w:val="0"/>
                  <w:vAlign w:val="center"/>
                </w:tcPr>
                <w:p w14:paraId="693D89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eastAsia="zh-CN"/>
                    </w:rPr>
                    <w:t>单批次产能</w:t>
                  </w:r>
                  <w:r>
                    <w:rPr>
                      <w:rFonts w:hint="default" w:ascii="Times New Roman" w:hAnsi="Times New Roman" w:eastAsia="宋体" w:cs="Times New Roman"/>
                      <w:b w:val="0"/>
                      <w:bCs w:val="0"/>
                      <w:color w:val="auto"/>
                      <w:sz w:val="22"/>
                      <w:szCs w:val="22"/>
                      <w:vertAlign w:val="baseline"/>
                      <w:lang w:val="en-US" w:eastAsia="zh-CN"/>
                    </w:rPr>
                    <w:t>t</w:t>
                  </w:r>
                </w:p>
              </w:tc>
              <w:tc>
                <w:tcPr>
                  <w:tcW w:w="731" w:type="dxa"/>
                  <w:noWrap w:val="0"/>
                  <w:vAlign w:val="center"/>
                </w:tcPr>
                <w:p w14:paraId="670EE62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vertAlign w:val="baseline"/>
                      <w:lang w:eastAsia="zh-CN"/>
                    </w:rPr>
                    <w:t>年工作天数</w:t>
                  </w:r>
                  <w:r>
                    <w:rPr>
                      <w:rFonts w:hint="default" w:ascii="Times New Roman" w:hAnsi="Times New Roman" w:eastAsia="宋体" w:cs="Times New Roman"/>
                      <w:b w:val="0"/>
                      <w:bCs w:val="0"/>
                      <w:color w:val="auto"/>
                      <w:sz w:val="22"/>
                      <w:szCs w:val="22"/>
                      <w:vertAlign w:val="baseline"/>
                      <w:lang w:val="en-US" w:eastAsia="zh-CN"/>
                    </w:rPr>
                    <w:t>d</w:t>
                  </w:r>
                </w:p>
              </w:tc>
              <w:tc>
                <w:tcPr>
                  <w:tcW w:w="731" w:type="dxa"/>
                  <w:noWrap w:val="0"/>
                  <w:vAlign w:val="center"/>
                </w:tcPr>
                <w:p w14:paraId="7122562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vertAlign w:val="baseline"/>
                      <w:lang w:eastAsia="zh-CN"/>
                    </w:rPr>
                    <w:t>每天工作时间</w:t>
                  </w:r>
                  <w:r>
                    <w:rPr>
                      <w:rFonts w:hint="default" w:ascii="Times New Roman" w:hAnsi="Times New Roman" w:eastAsia="宋体" w:cs="Times New Roman"/>
                      <w:b w:val="0"/>
                      <w:bCs w:val="0"/>
                      <w:color w:val="auto"/>
                      <w:sz w:val="22"/>
                      <w:szCs w:val="22"/>
                      <w:vertAlign w:val="baseline"/>
                      <w:lang w:val="en-US" w:eastAsia="zh-CN"/>
                    </w:rPr>
                    <w:t>h</w:t>
                  </w:r>
                </w:p>
              </w:tc>
              <w:tc>
                <w:tcPr>
                  <w:tcW w:w="731" w:type="dxa"/>
                  <w:noWrap w:val="0"/>
                  <w:vAlign w:val="center"/>
                </w:tcPr>
                <w:p w14:paraId="69B564A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vertAlign w:val="baseline"/>
                      <w:lang w:eastAsia="zh-CN"/>
                    </w:rPr>
                    <w:t>年工作时间</w:t>
                  </w:r>
                  <w:r>
                    <w:rPr>
                      <w:rFonts w:hint="default" w:ascii="Times New Roman" w:hAnsi="Times New Roman" w:eastAsia="宋体" w:cs="Times New Roman"/>
                      <w:b w:val="0"/>
                      <w:bCs w:val="0"/>
                      <w:color w:val="auto"/>
                      <w:sz w:val="22"/>
                      <w:szCs w:val="22"/>
                      <w:vertAlign w:val="baseline"/>
                      <w:lang w:val="en-US" w:eastAsia="zh-CN"/>
                    </w:rPr>
                    <w:t>h</w:t>
                  </w:r>
                </w:p>
              </w:tc>
              <w:tc>
                <w:tcPr>
                  <w:tcW w:w="732" w:type="dxa"/>
                  <w:noWrap w:val="0"/>
                  <w:vAlign w:val="center"/>
                </w:tcPr>
                <w:p w14:paraId="11F9CC1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vertAlign w:val="baseline"/>
                      <w:lang w:eastAsia="zh-CN"/>
                    </w:rPr>
                    <w:t>年生产批次</w:t>
                  </w:r>
                </w:p>
              </w:tc>
              <w:tc>
                <w:tcPr>
                  <w:tcW w:w="732" w:type="dxa"/>
                  <w:noWrap w:val="0"/>
                  <w:vAlign w:val="center"/>
                </w:tcPr>
                <w:p w14:paraId="6D8B949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vertAlign w:val="baseline"/>
                      <w:lang w:eastAsia="zh-CN"/>
                    </w:rPr>
                    <w:t>核算年生产能力</w:t>
                  </w:r>
                  <w:r>
                    <w:rPr>
                      <w:rFonts w:hint="default" w:ascii="Times New Roman" w:hAnsi="Times New Roman" w:eastAsia="宋体" w:cs="Times New Roman"/>
                      <w:b w:val="0"/>
                      <w:bCs w:val="0"/>
                      <w:color w:val="auto"/>
                      <w:sz w:val="22"/>
                      <w:szCs w:val="22"/>
                      <w:vertAlign w:val="baseline"/>
                      <w:lang w:val="en-US" w:eastAsia="zh-CN"/>
                    </w:rPr>
                    <w:t>t</w:t>
                  </w:r>
                </w:p>
              </w:tc>
              <w:tc>
                <w:tcPr>
                  <w:tcW w:w="732" w:type="dxa"/>
                  <w:noWrap w:val="0"/>
                  <w:vAlign w:val="center"/>
                </w:tcPr>
                <w:p w14:paraId="68FE85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vertAlign w:val="baseline"/>
                      <w:lang w:eastAsia="zh-CN"/>
                    </w:rPr>
                  </w:pPr>
                  <w:r>
                    <w:rPr>
                      <w:rFonts w:hint="default" w:ascii="Times New Roman" w:hAnsi="Times New Roman" w:eastAsia="宋体" w:cs="Times New Roman"/>
                      <w:b w:val="0"/>
                      <w:bCs w:val="0"/>
                      <w:color w:val="auto"/>
                      <w:sz w:val="22"/>
                      <w:szCs w:val="22"/>
                      <w:vertAlign w:val="baseline"/>
                      <w:lang w:eastAsia="zh-CN"/>
                    </w:rPr>
                    <w:t>设计年生产能力</w:t>
                  </w:r>
                  <w:r>
                    <w:rPr>
                      <w:rFonts w:hint="default" w:ascii="Times New Roman" w:hAnsi="Times New Roman" w:eastAsia="宋体" w:cs="Times New Roman"/>
                      <w:b w:val="0"/>
                      <w:bCs w:val="0"/>
                      <w:color w:val="auto"/>
                      <w:sz w:val="22"/>
                      <w:szCs w:val="22"/>
                      <w:vertAlign w:val="baseline"/>
                      <w:lang w:val="en-US" w:eastAsia="zh-CN"/>
                    </w:rPr>
                    <w:t>t</w:t>
                  </w:r>
                </w:p>
              </w:tc>
              <w:tc>
                <w:tcPr>
                  <w:tcW w:w="732" w:type="dxa"/>
                  <w:noWrap w:val="0"/>
                  <w:vAlign w:val="center"/>
                </w:tcPr>
                <w:p w14:paraId="53AF1F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2"/>
                      <w:szCs w:val="22"/>
                      <w:vertAlign w:val="baseline"/>
                      <w:lang w:eastAsia="zh-CN"/>
                    </w:rPr>
                  </w:pPr>
                  <w:r>
                    <w:rPr>
                      <w:rFonts w:hint="default" w:ascii="Times New Roman" w:hAnsi="Times New Roman" w:eastAsia="宋体" w:cs="Times New Roman"/>
                      <w:b w:val="0"/>
                      <w:bCs w:val="0"/>
                      <w:color w:val="auto"/>
                      <w:sz w:val="22"/>
                      <w:szCs w:val="22"/>
                      <w:vertAlign w:val="baseline"/>
                      <w:lang w:eastAsia="zh-CN"/>
                    </w:rPr>
                    <w:t>备注</w:t>
                  </w:r>
                </w:p>
              </w:tc>
            </w:tr>
            <w:tr w14:paraId="47CE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noWrap w:val="0"/>
                  <w:vAlign w:val="center"/>
                </w:tcPr>
                <w:p w14:paraId="700E2D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vertAlign w:val="baseline"/>
                      <w:lang w:val="en-US" w:eastAsia="zh-CN"/>
                    </w:rPr>
                  </w:pPr>
                  <w:r>
                    <w:rPr>
                      <w:rFonts w:hint="default" w:ascii="Times New Roman" w:hAnsi="Times New Roman" w:eastAsia="宋体" w:cs="Times New Roman"/>
                      <w:b w:val="0"/>
                      <w:bCs w:val="0"/>
                      <w:color w:val="auto"/>
                      <w:kern w:val="0"/>
                      <w:sz w:val="22"/>
                      <w:szCs w:val="22"/>
                      <w:vertAlign w:val="baseline"/>
                      <w:lang w:val="en-US" w:eastAsia="zh-CN"/>
                    </w:rPr>
                    <w:t>25t熔炼炉</w:t>
                  </w:r>
                </w:p>
              </w:tc>
              <w:tc>
                <w:tcPr>
                  <w:tcW w:w="731" w:type="dxa"/>
                  <w:noWrap w:val="0"/>
                  <w:vAlign w:val="center"/>
                </w:tcPr>
                <w:p w14:paraId="2978AE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vertAlign w:val="baseline"/>
                      <w:lang w:val="en-US" w:eastAsia="zh-CN"/>
                    </w:rPr>
                  </w:pPr>
                  <w:r>
                    <w:rPr>
                      <w:rFonts w:hint="eastAsia" w:ascii="Times New Roman" w:hAnsi="Times New Roman" w:eastAsia="宋体" w:cs="Times New Roman"/>
                      <w:b w:val="0"/>
                      <w:bCs w:val="0"/>
                      <w:color w:val="auto"/>
                      <w:kern w:val="0"/>
                      <w:sz w:val="22"/>
                      <w:szCs w:val="22"/>
                      <w:vertAlign w:val="baseline"/>
                      <w:lang w:val="en-US" w:eastAsia="zh-CN"/>
                    </w:rPr>
                    <w:t>8</w:t>
                  </w:r>
                </w:p>
              </w:tc>
              <w:tc>
                <w:tcPr>
                  <w:tcW w:w="731" w:type="dxa"/>
                  <w:noWrap w:val="0"/>
                  <w:vAlign w:val="center"/>
                </w:tcPr>
                <w:p w14:paraId="5C530C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vertAlign w:val="baseline"/>
                      <w:lang w:val="en-US" w:eastAsia="zh-CN"/>
                    </w:rPr>
                  </w:pPr>
                  <w:r>
                    <w:rPr>
                      <w:rFonts w:hint="eastAsia" w:ascii="Times New Roman" w:hAnsi="Times New Roman" w:eastAsia="宋体" w:cs="Times New Roman"/>
                      <w:b w:val="0"/>
                      <w:bCs w:val="0"/>
                      <w:color w:val="auto"/>
                      <w:kern w:val="0"/>
                      <w:sz w:val="22"/>
                      <w:szCs w:val="22"/>
                      <w:vertAlign w:val="baseline"/>
                      <w:lang w:val="en-US" w:eastAsia="zh-CN"/>
                    </w:rPr>
                    <w:t>5</w:t>
                  </w:r>
                </w:p>
              </w:tc>
              <w:tc>
                <w:tcPr>
                  <w:tcW w:w="731" w:type="dxa"/>
                  <w:noWrap w:val="0"/>
                  <w:vAlign w:val="center"/>
                </w:tcPr>
                <w:p w14:paraId="4175CA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vertAlign w:val="baseline"/>
                      <w:lang w:val="en-US" w:eastAsia="zh-CN"/>
                    </w:rPr>
                  </w:pPr>
                  <w:r>
                    <w:rPr>
                      <w:rFonts w:hint="default" w:ascii="Times New Roman" w:hAnsi="Times New Roman" w:eastAsia="宋体" w:cs="Times New Roman"/>
                      <w:b w:val="0"/>
                      <w:bCs w:val="0"/>
                      <w:color w:val="auto"/>
                      <w:kern w:val="0"/>
                      <w:sz w:val="22"/>
                      <w:szCs w:val="22"/>
                      <w:vertAlign w:val="baseline"/>
                      <w:lang w:val="en-US" w:eastAsia="zh-CN"/>
                    </w:rPr>
                    <w:t>25</w:t>
                  </w:r>
                </w:p>
              </w:tc>
              <w:tc>
                <w:tcPr>
                  <w:tcW w:w="731" w:type="dxa"/>
                  <w:noWrap w:val="0"/>
                  <w:vAlign w:val="center"/>
                </w:tcPr>
                <w:p w14:paraId="4C2E9F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vertAlign w:val="baseline"/>
                      <w:lang w:val="en-US" w:eastAsia="zh-CN"/>
                    </w:rPr>
                  </w:pPr>
                  <w:r>
                    <w:rPr>
                      <w:rFonts w:hint="eastAsia" w:ascii="Times New Roman" w:hAnsi="Times New Roman" w:eastAsia="宋体" w:cs="Times New Roman"/>
                      <w:b w:val="0"/>
                      <w:bCs w:val="0"/>
                      <w:color w:val="auto"/>
                      <w:kern w:val="0"/>
                      <w:sz w:val="22"/>
                      <w:szCs w:val="22"/>
                      <w:vertAlign w:val="baseline"/>
                      <w:lang w:val="en-US" w:eastAsia="zh-CN"/>
                    </w:rPr>
                    <w:t>295</w:t>
                  </w:r>
                </w:p>
              </w:tc>
              <w:tc>
                <w:tcPr>
                  <w:tcW w:w="731" w:type="dxa"/>
                  <w:noWrap w:val="0"/>
                  <w:vAlign w:val="center"/>
                </w:tcPr>
                <w:p w14:paraId="19EA4F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vertAlign w:val="baseline"/>
                      <w:lang w:val="en-US" w:eastAsia="zh-CN"/>
                    </w:rPr>
                  </w:pPr>
                  <w:r>
                    <w:rPr>
                      <w:rFonts w:hint="default" w:ascii="Times New Roman" w:hAnsi="Times New Roman" w:eastAsia="宋体" w:cs="Times New Roman"/>
                      <w:b w:val="0"/>
                      <w:bCs w:val="0"/>
                      <w:color w:val="auto"/>
                      <w:kern w:val="0"/>
                      <w:sz w:val="22"/>
                      <w:szCs w:val="22"/>
                      <w:vertAlign w:val="baseline"/>
                      <w:lang w:val="en-US" w:eastAsia="zh-CN"/>
                    </w:rPr>
                    <w:t>24</w:t>
                  </w:r>
                </w:p>
              </w:tc>
              <w:tc>
                <w:tcPr>
                  <w:tcW w:w="731" w:type="dxa"/>
                  <w:noWrap w:val="0"/>
                  <w:vAlign w:val="center"/>
                </w:tcPr>
                <w:p w14:paraId="73E181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vertAlign w:val="baseline"/>
                      <w:lang w:val="en-US" w:eastAsia="zh-CN"/>
                    </w:rPr>
                  </w:pPr>
                  <w:r>
                    <w:rPr>
                      <w:rFonts w:hint="eastAsia" w:ascii="Times New Roman" w:hAnsi="Times New Roman" w:eastAsia="宋体" w:cs="Times New Roman"/>
                      <w:b w:val="0"/>
                      <w:bCs w:val="0"/>
                      <w:color w:val="auto"/>
                      <w:kern w:val="0"/>
                      <w:sz w:val="22"/>
                      <w:szCs w:val="22"/>
                      <w:vertAlign w:val="baseline"/>
                      <w:lang w:val="en-US" w:eastAsia="zh-CN"/>
                    </w:rPr>
                    <w:t>7080</w:t>
                  </w:r>
                </w:p>
              </w:tc>
              <w:tc>
                <w:tcPr>
                  <w:tcW w:w="732" w:type="dxa"/>
                  <w:noWrap w:val="0"/>
                  <w:vAlign w:val="center"/>
                </w:tcPr>
                <w:p w14:paraId="40FF20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vertAlign w:val="baseline"/>
                      <w:lang w:val="en-US" w:eastAsia="zh-CN"/>
                    </w:rPr>
                  </w:pPr>
                  <w:r>
                    <w:rPr>
                      <w:rFonts w:hint="eastAsia" w:ascii="Times New Roman" w:hAnsi="Times New Roman" w:eastAsia="宋体" w:cs="Times New Roman"/>
                      <w:b w:val="0"/>
                      <w:bCs w:val="0"/>
                      <w:color w:val="auto"/>
                      <w:kern w:val="0"/>
                      <w:sz w:val="22"/>
                      <w:szCs w:val="22"/>
                      <w:vertAlign w:val="baseline"/>
                      <w:lang w:val="en-US" w:eastAsia="zh-CN"/>
                    </w:rPr>
                    <w:t>1415</w:t>
                  </w:r>
                </w:p>
              </w:tc>
              <w:tc>
                <w:tcPr>
                  <w:tcW w:w="732" w:type="dxa"/>
                  <w:noWrap w:val="0"/>
                  <w:vAlign w:val="center"/>
                </w:tcPr>
                <w:p w14:paraId="170AA7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vertAlign w:val="baseline"/>
                      <w:lang w:val="en-US" w:eastAsia="zh-CN"/>
                    </w:rPr>
                  </w:pPr>
                  <w:r>
                    <w:rPr>
                      <w:rFonts w:hint="eastAsia" w:ascii="Times New Roman" w:hAnsi="Times New Roman" w:eastAsia="宋体" w:cs="Times New Roman"/>
                      <w:b w:val="0"/>
                      <w:bCs w:val="0"/>
                      <w:color w:val="auto"/>
                      <w:kern w:val="0"/>
                      <w:sz w:val="22"/>
                      <w:szCs w:val="22"/>
                      <w:vertAlign w:val="baseline"/>
                      <w:lang w:val="en-US" w:eastAsia="zh-CN"/>
                    </w:rPr>
                    <w:t>35375</w:t>
                  </w:r>
                </w:p>
              </w:tc>
              <w:tc>
                <w:tcPr>
                  <w:tcW w:w="732" w:type="dxa"/>
                  <w:noWrap w:val="0"/>
                  <w:vAlign w:val="center"/>
                </w:tcPr>
                <w:p w14:paraId="29FA3A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vertAlign w:val="baseline"/>
                      <w:lang w:val="en-US" w:eastAsia="zh-CN"/>
                    </w:rPr>
                  </w:pPr>
                  <w:r>
                    <w:rPr>
                      <w:rFonts w:hint="eastAsia" w:ascii="Times New Roman" w:hAnsi="Times New Roman" w:eastAsia="宋体" w:cs="Times New Roman"/>
                      <w:b w:val="0"/>
                      <w:bCs w:val="0"/>
                      <w:color w:val="auto"/>
                      <w:kern w:val="0"/>
                      <w:sz w:val="22"/>
                      <w:szCs w:val="22"/>
                      <w:vertAlign w:val="baseline"/>
                      <w:lang w:val="en-US" w:eastAsia="zh-CN"/>
                    </w:rPr>
                    <w:t>35300</w:t>
                  </w:r>
                </w:p>
              </w:tc>
              <w:tc>
                <w:tcPr>
                  <w:tcW w:w="732" w:type="dxa"/>
                  <w:noWrap w:val="0"/>
                  <w:vAlign w:val="center"/>
                </w:tcPr>
                <w:p w14:paraId="39FFC2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vertAlign w:val="baseline"/>
                      <w:lang w:val="en-US" w:eastAsia="zh-CN"/>
                    </w:rPr>
                  </w:pPr>
                  <w:r>
                    <w:rPr>
                      <w:rFonts w:hint="default" w:ascii="Times New Roman" w:hAnsi="Times New Roman" w:eastAsia="宋体" w:cs="Times New Roman"/>
                      <w:b w:val="0"/>
                      <w:bCs w:val="0"/>
                      <w:color w:val="auto"/>
                      <w:kern w:val="0"/>
                      <w:sz w:val="22"/>
                      <w:szCs w:val="22"/>
                      <w:vertAlign w:val="baseline"/>
                      <w:lang w:val="en-US" w:eastAsia="zh-CN"/>
                    </w:rPr>
                    <w:t>交替生产</w:t>
                  </w:r>
                </w:p>
              </w:tc>
            </w:tr>
          </w:tbl>
          <w:p w14:paraId="0D9CE367">
            <w:pPr>
              <w:keepNext w:val="0"/>
              <w:keepLines w:val="0"/>
              <w:pageBreakBefore w:val="0"/>
              <w:widowControl w:val="0"/>
              <w:kinsoku/>
              <w:wordWrap/>
              <w:overflowPunct/>
              <w:topLinePunct w:val="0"/>
              <w:autoSpaceDE/>
              <w:autoSpaceDN/>
              <w:bidi w:val="0"/>
              <w:spacing w:line="460" w:lineRule="exact"/>
              <w:textAlignment w:val="auto"/>
              <w:rPr>
                <w:rFonts w:hint="eastAsia" w:ascii="Times New Roman" w:hAnsi="Times New Roman" w:eastAsia="宋体" w:cs="Times New Roman"/>
                <w:b/>
                <w:bCs/>
                <w:color w:val="auto"/>
                <w:kern w:val="0"/>
                <w:sz w:val="26"/>
                <w:szCs w:val="26"/>
                <w:lang w:val="en-US" w:eastAsia="zh-CN"/>
              </w:rPr>
            </w:pPr>
          </w:p>
          <w:p w14:paraId="541AB161">
            <w:pPr>
              <w:keepNext w:val="0"/>
              <w:keepLines w:val="0"/>
              <w:pageBreakBefore w:val="0"/>
              <w:widowControl w:val="0"/>
              <w:kinsoku/>
              <w:wordWrap/>
              <w:overflowPunct/>
              <w:topLinePunct w:val="0"/>
              <w:autoSpaceDE/>
              <w:autoSpaceDN/>
              <w:bidi w:val="0"/>
              <w:adjustRightInd/>
              <w:snapToGrid/>
              <w:spacing w:line="460" w:lineRule="exact"/>
              <w:ind w:firstLine="520" w:firstLineChars="200"/>
              <w:contextualSpacing/>
              <w:jc w:val="both"/>
              <w:textAlignment w:val="auto"/>
              <w:rPr>
                <w:rFonts w:hint="eastAsia"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color w:val="auto"/>
                <w:sz w:val="26"/>
                <w:szCs w:val="26"/>
                <w:highlight w:val="none"/>
                <w:lang w:val="en-US" w:eastAsia="zh-CN"/>
              </w:rPr>
              <w:t>综上，2台25t熔炼炉和1台16t熔炼炉设计年生产能力为54000t/a。</w:t>
            </w:r>
          </w:p>
          <w:p w14:paraId="40C25FF7">
            <w:pPr>
              <w:keepNext w:val="0"/>
              <w:keepLines w:val="0"/>
              <w:pageBreakBefore w:val="0"/>
              <w:widowControl w:val="0"/>
              <w:kinsoku/>
              <w:wordWrap/>
              <w:overflowPunct/>
              <w:topLinePunct w:val="0"/>
              <w:autoSpaceDE/>
              <w:autoSpaceDN/>
              <w:bidi w:val="0"/>
              <w:spacing w:line="460" w:lineRule="exact"/>
              <w:textAlignment w:val="auto"/>
              <w:rPr>
                <w:rFonts w:hint="default"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lang w:val="en-US" w:eastAsia="zh-CN"/>
              </w:rPr>
              <w:t>2.6</w:t>
            </w:r>
            <w:r>
              <w:rPr>
                <w:rFonts w:hint="default" w:ascii="Times New Roman" w:hAnsi="Times New Roman" w:eastAsia="宋体" w:cs="Times New Roman"/>
                <w:b/>
                <w:bCs/>
                <w:color w:val="auto"/>
                <w:kern w:val="0"/>
                <w:sz w:val="26"/>
                <w:szCs w:val="26"/>
                <w:lang w:val="en-US" w:eastAsia="zh-CN"/>
              </w:rPr>
              <w:t>主要原辅材料消耗</w:t>
            </w:r>
          </w:p>
          <w:p w14:paraId="535F49C2">
            <w:pPr>
              <w:keepNext w:val="0"/>
              <w:keepLines w:val="0"/>
              <w:pageBreakBefore w:val="0"/>
              <w:widowControl w:val="0"/>
              <w:kinsoku/>
              <w:wordWrap/>
              <w:overflowPunct/>
              <w:topLinePunct w:val="0"/>
              <w:autoSpaceDE/>
              <w:autoSpaceDN/>
              <w:bidi w:val="0"/>
              <w:adjustRightInd/>
              <w:snapToGrid/>
              <w:spacing w:line="460" w:lineRule="exact"/>
              <w:ind w:firstLine="520" w:firstLineChars="200"/>
              <w:contextualSpacing/>
              <w:jc w:val="both"/>
              <w:textAlignment w:val="auto"/>
              <w:rPr>
                <w:rFonts w:hint="eastAsia"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老一区熔炼中心熔铸生产线扩建完成后主要原辅材料及</w:t>
            </w:r>
            <w:r>
              <w:rPr>
                <w:rFonts w:hint="default" w:ascii="Times New Roman" w:hAnsi="Times New Roman" w:eastAsia="宋体" w:cs="Times New Roman"/>
                <w:color w:val="auto"/>
                <w:sz w:val="26"/>
                <w:szCs w:val="26"/>
                <w:highlight w:val="none"/>
                <w:lang w:val="en-US" w:eastAsia="zh-CN"/>
              </w:rPr>
              <w:t>能源消耗见</w:t>
            </w:r>
            <w:r>
              <w:rPr>
                <w:rFonts w:hint="eastAsia" w:ascii="Times New Roman" w:hAnsi="Times New Roman" w:eastAsia="宋体" w:cs="Times New Roman"/>
                <w:color w:val="auto"/>
                <w:sz w:val="26"/>
                <w:szCs w:val="26"/>
                <w:highlight w:val="none"/>
                <w:lang w:val="en-US" w:eastAsia="zh-CN"/>
              </w:rPr>
              <w:t>下表。</w:t>
            </w:r>
          </w:p>
          <w:p w14:paraId="21A1CB9D">
            <w:pPr>
              <w:keepNext w:val="0"/>
              <w:keepLines w:val="0"/>
              <w:pageBreakBefore w:val="0"/>
              <w:widowControl w:val="0"/>
              <w:kinsoku/>
              <w:wordWrap/>
              <w:overflowPunct/>
              <w:topLinePunct w:val="0"/>
              <w:autoSpaceDE/>
              <w:autoSpaceDN/>
              <w:bidi w:val="0"/>
              <w:spacing w:line="460" w:lineRule="exact"/>
              <w:contextualSpacing/>
              <w:jc w:val="center"/>
              <w:textAlignment w:val="auto"/>
              <w:rPr>
                <w:rFonts w:hint="eastAsia" w:ascii="Times New Roman" w:hAnsi="Times New Roman" w:eastAsia="宋体" w:cs="Times New Roman"/>
                <w:b/>
                <w:bCs/>
                <w:color w:val="auto"/>
                <w:sz w:val="26"/>
                <w:szCs w:val="26"/>
                <w:highlight w:val="none"/>
                <w:lang w:val="en-US" w:eastAsia="zh-CN"/>
              </w:rPr>
            </w:pPr>
          </w:p>
          <w:p w14:paraId="1909AFDD">
            <w:pPr>
              <w:keepNext w:val="0"/>
              <w:keepLines w:val="0"/>
              <w:pageBreakBefore w:val="0"/>
              <w:widowControl w:val="0"/>
              <w:kinsoku/>
              <w:wordWrap/>
              <w:overflowPunct/>
              <w:topLinePunct w:val="0"/>
              <w:autoSpaceDE/>
              <w:autoSpaceDN/>
              <w:bidi w:val="0"/>
              <w:spacing w:line="460" w:lineRule="exact"/>
              <w:contextualSpacing/>
              <w:jc w:val="center"/>
              <w:textAlignment w:val="auto"/>
              <w:rPr>
                <w:rFonts w:hint="eastAsia" w:ascii="Times New Roman" w:hAnsi="Times New Roman" w:eastAsia="宋体" w:cs="Times New Roman"/>
                <w:b/>
                <w:bCs/>
                <w:color w:val="auto"/>
                <w:sz w:val="26"/>
                <w:szCs w:val="26"/>
                <w:highlight w:val="none"/>
                <w:lang w:val="en-US" w:eastAsia="zh-CN"/>
              </w:rPr>
            </w:pPr>
            <w:r>
              <w:rPr>
                <w:rFonts w:hint="eastAsia" w:ascii="Times New Roman" w:hAnsi="Times New Roman" w:eastAsia="宋体" w:cs="Times New Roman"/>
                <w:b/>
                <w:bCs/>
                <w:color w:val="auto"/>
                <w:sz w:val="26"/>
                <w:szCs w:val="26"/>
                <w:highlight w:val="none"/>
                <w:lang w:val="en-US" w:eastAsia="zh-CN"/>
              </w:rPr>
              <w:t>表2.6-1  熔铸生产线扩建完成后</w:t>
            </w:r>
            <w:r>
              <w:rPr>
                <w:rFonts w:hint="default" w:ascii="Times New Roman" w:hAnsi="Times New Roman" w:eastAsia="宋体" w:cs="Times New Roman"/>
                <w:b/>
                <w:bCs/>
                <w:color w:val="auto"/>
                <w:sz w:val="26"/>
                <w:szCs w:val="26"/>
                <w:highlight w:val="none"/>
              </w:rPr>
              <w:t>主要原辅材料及能源消耗一览表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1"/>
              <w:gridCol w:w="1509"/>
              <w:gridCol w:w="931"/>
              <w:gridCol w:w="1016"/>
              <w:gridCol w:w="917"/>
              <w:gridCol w:w="1344"/>
              <w:gridCol w:w="963"/>
              <w:gridCol w:w="885"/>
            </w:tblGrid>
            <w:tr w14:paraId="107BCE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vMerge w:val="restart"/>
                  <w:tcBorders>
                    <w:tl2br w:val="nil"/>
                    <w:tr2bl w:val="nil"/>
                  </w:tcBorders>
                  <w:noWrap w:val="0"/>
                  <w:vAlign w:val="center"/>
                </w:tcPr>
                <w:p w14:paraId="7CF3825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序号</w:t>
                  </w:r>
                </w:p>
              </w:tc>
              <w:tc>
                <w:tcPr>
                  <w:tcW w:w="1509" w:type="dxa"/>
                  <w:vMerge w:val="restart"/>
                  <w:tcBorders>
                    <w:tl2br w:val="nil"/>
                    <w:tr2bl w:val="nil"/>
                  </w:tcBorders>
                  <w:noWrap w:val="0"/>
                  <w:vAlign w:val="center"/>
                </w:tcPr>
                <w:p w14:paraId="7473FD5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名称</w:t>
                  </w:r>
                </w:p>
              </w:tc>
              <w:tc>
                <w:tcPr>
                  <w:tcW w:w="2864" w:type="dxa"/>
                  <w:gridSpan w:val="3"/>
                  <w:tcBorders>
                    <w:tl2br w:val="nil"/>
                    <w:tr2bl w:val="nil"/>
                  </w:tcBorders>
                  <w:noWrap w:val="0"/>
                  <w:vAlign w:val="center"/>
                </w:tcPr>
                <w:p w14:paraId="0A55C8D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年使用量t/a</w:t>
                  </w:r>
                </w:p>
              </w:tc>
              <w:tc>
                <w:tcPr>
                  <w:tcW w:w="1344" w:type="dxa"/>
                  <w:vMerge w:val="restart"/>
                  <w:tcBorders>
                    <w:tl2br w:val="nil"/>
                    <w:tr2bl w:val="nil"/>
                  </w:tcBorders>
                  <w:noWrap w:val="0"/>
                  <w:vAlign w:val="center"/>
                </w:tcPr>
                <w:p w14:paraId="76FFF81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包装规格</w:t>
                  </w:r>
                </w:p>
              </w:tc>
              <w:tc>
                <w:tcPr>
                  <w:tcW w:w="963" w:type="dxa"/>
                  <w:vMerge w:val="restart"/>
                  <w:tcBorders>
                    <w:tl2br w:val="nil"/>
                    <w:tr2bl w:val="nil"/>
                  </w:tcBorders>
                  <w:noWrap w:val="0"/>
                  <w:vAlign w:val="center"/>
                </w:tcPr>
                <w:p w14:paraId="46BAC94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储存</w:t>
                  </w:r>
                </w:p>
                <w:p w14:paraId="5BEEFA0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位置</w:t>
                  </w:r>
                </w:p>
              </w:tc>
              <w:tc>
                <w:tcPr>
                  <w:tcW w:w="885" w:type="dxa"/>
                  <w:vMerge w:val="restart"/>
                  <w:tcBorders>
                    <w:tl2br w:val="nil"/>
                    <w:tr2bl w:val="nil"/>
                  </w:tcBorders>
                  <w:noWrap w:val="0"/>
                  <w:vAlign w:val="center"/>
                </w:tcPr>
                <w:p w14:paraId="1CDB5C1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最大储存规模/t</w:t>
                  </w:r>
                </w:p>
              </w:tc>
            </w:tr>
            <w:tr w14:paraId="3C14DC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vMerge w:val="continue"/>
                  <w:tcBorders>
                    <w:tl2br w:val="nil"/>
                    <w:tr2bl w:val="nil"/>
                  </w:tcBorders>
                  <w:noWrap w:val="0"/>
                  <w:vAlign w:val="center"/>
                </w:tcPr>
                <w:p w14:paraId="2F31502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rPr>
                  </w:pPr>
                </w:p>
              </w:tc>
              <w:tc>
                <w:tcPr>
                  <w:tcW w:w="1509" w:type="dxa"/>
                  <w:vMerge w:val="continue"/>
                  <w:tcBorders>
                    <w:tl2br w:val="nil"/>
                    <w:tr2bl w:val="nil"/>
                  </w:tcBorders>
                  <w:noWrap w:val="0"/>
                  <w:vAlign w:val="center"/>
                </w:tcPr>
                <w:p w14:paraId="4656D59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rPr>
                  </w:pPr>
                </w:p>
              </w:tc>
              <w:tc>
                <w:tcPr>
                  <w:tcW w:w="931" w:type="dxa"/>
                  <w:tcBorders>
                    <w:tl2br w:val="nil"/>
                    <w:tr2bl w:val="nil"/>
                  </w:tcBorders>
                  <w:noWrap w:val="0"/>
                  <w:vAlign w:val="center"/>
                </w:tcPr>
                <w:p w14:paraId="668CBD0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现有熔铸生产线</w:t>
                  </w:r>
                </w:p>
              </w:tc>
              <w:tc>
                <w:tcPr>
                  <w:tcW w:w="1933" w:type="dxa"/>
                  <w:gridSpan w:val="2"/>
                  <w:tcBorders>
                    <w:tl2br w:val="nil"/>
                    <w:tr2bl w:val="nil"/>
                  </w:tcBorders>
                  <w:noWrap w:val="0"/>
                  <w:vAlign w:val="center"/>
                </w:tcPr>
                <w:p w14:paraId="2EE226D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熔铸生产线扩建后</w:t>
                  </w:r>
                </w:p>
              </w:tc>
              <w:tc>
                <w:tcPr>
                  <w:tcW w:w="1344" w:type="dxa"/>
                  <w:vMerge w:val="continue"/>
                  <w:tcBorders>
                    <w:tl2br w:val="nil"/>
                    <w:tr2bl w:val="nil"/>
                  </w:tcBorders>
                  <w:noWrap w:val="0"/>
                  <w:vAlign w:val="center"/>
                </w:tcPr>
                <w:p w14:paraId="6F4EEFE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963" w:type="dxa"/>
                  <w:vMerge w:val="continue"/>
                  <w:tcBorders>
                    <w:tl2br w:val="nil"/>
                    <w:tr2bl w:val="nil"/>
                  </w:tcBorders>
                  <w:noWrap w:val="0"/>
                  <w:vAlign w:val="center"/>
                </w:tcPr>
                <w:p w14:paraId="32764DA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85" w:type="dxa"/>
                  <w:vMerge w:val="continue"/>
                  <w:tcBorders>
                    <w:tl2br w:val="nil"/>
                    <w:tr2bl w:val="nil"/>
                  </w:tcBorders>
                  <w:noWrap w:val="0"/>
                  <w:vAlign w:val="center"/>
                </w:tcPr>
                <w:p w14:paraId="64D7B95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r>
            <w:tr w14:paraId="4CC05B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tcBorders>
                    <w:tl2br w:val="nil"/>
                    <w:tr2bl w:val="nil"/>
                  </w:tcBorders>
                  <w:noWrap w:val="0"/>
                  <w:vAlign w:val="center"/>
                </w:tcPr>
                <w:p w14:paraId="04D97FA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1</w:t>
                  </w:r>
                </w:p>
              </w:tc>
              <w:tc>
                <w:tcPr>
                  <w:tcW w:w="1509" w:type="dxa"/>
                  <w:tcBorders>
                    <w:tl2br w:val="nil"/>
                    <w:tr2bl w:val="nil"/>
                  </w:tcBorders>
                  <w:noWrap w:val="0"/>
                  <w:vAlign w:val="center"/>
                </w:tcPr>
                <w:p w14:paraId="5AEE199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纯铝锭</w:t>
                  </w:r>
                </w:p>
              </w:tc>
              <w:tc>
                <w:tcPr>
                  <w:tcW w:w="931" w:type="dxa"/>
                  <w:tcBorders>
                    <w:tl2br w:val="nil"/>
                    <w:tr2bl w:val="nil"/>
                  </w:tcBorders>
                  <w:noWrap w:val="0"/>
                  <w:vAlign w:val="center"/>
                </w:tcPr>
                <w:p w14:paraId="74A35E5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28889</w:t>
                  </w:r>
                </w:p>
              </w:tc>
              <w:tc>
                <w:tcPr>
                  <w:tcW w:w="1933" w:type="dxa"/>
                  <w:gridSpan w:val="2"/>
                  <w:tcBorders>
                    <w:tl2br w:val="nil"/>
                    <w:tr2bl w:val="nil"/>
                  </w:tcBorders>
                  <w:noWrap w:val="0"/>
                  <w:vAlign w:val="center"/>
                </w:tcPr>
                <w:p w14:paraId="23DF6CE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1344" w:type="dxa"/>
                  <w:tcBorders>
                    <w:tl2br w:val="nil"/>
                    <w:tr2bl w:val="nil"/>
                  </w:tcBorders>
                  <w:noWrap w:val="0"/>
                  <w:vAlign w:val="center"/>
                </w:tcPr>
                <w:p w14:paraId="4603219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捆装</w:t>
                  </w:r>
                </w:p>
              </w:tc>
              <w:tc>
                <w:tcPr>
                  <w:tcW w:w="963" w:type="dxa"/>
                  <w:vMerge w:val="restart"/>
                  <w:tcBorders>
                    <w:tl2br w:val="nil"/>
                    <w:tr2bl w:val="nil"/>
                  </w:tcBorders>
                  <w:noWrap w:val="0"/>
                  <w:vAlign w:val="center"/>
                </w:tcPr>
                <w:p w14:paraId="7F5968F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原材料区、原料及成品区</w:t>
                  </w:r>
                </w:p>
              </w:tc>
              <w:tc>
                <w:tcPr>
                  <w:tcW w:w="885" w:type="dxa"/>
                  <w:tcBorders>
                    <w:tl2br w:val="nil"/>
                    <w:tr2bl w:val="nil"/>
                  </w:tcBorders>
                  <w:noWrap w:val="0"/>
                  <w:vAlign w:val="center"/>
                </w:tcPr>
                <w:p w14:paraId="015D9B8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r>
            <w:tr w14:paraId="0D1F0D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tcBorders>
                    <w:tl2br w:val="nil"/>
                    <w:tr2bl w:val="nil"/>
                  </w:tcBorders>
                  <w:noWrap w:val="0"/>
                  <w:vAlign w:val="center"/>
                </w:tcPr>
                <w:p w14:paraId="5D7CD72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2</w:t>
                  </w:r>
                </w:p>
              </w:tc>
              <w:tc>
                <w:tcPr>
                  <w:tcW w:w="1509" w:type="dxa"/>
                  <w:tcBorders>
                    <w:tl2br w:val="nil"/>
                    <w:tr2bl w:val="nil"/>
                  </w:tcBorders>
                  <w:noWrap w:val="0"/>
                  <w:vAlign w:val="center"/>
                </w:tcPr>
                <w:p w14:paraId="3052CB0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纯铝液</w:t>
                  </w:r>
                </w:p>
              </w:tc>
              <w:tc>
                <w:tcPr>
                  <w:tcW w:w="931" w:type="dxa"/>
                  <w:tcBorders>
                    <w:tl2br w:val="nil"/>
                    <w:tr2bl w:val="nil"/>
                  </w:tcBorders>
                  <w:noWrap w:val="0"/>
                  <w:vAlign w:val="center"/>
                </w:tcPr>
                <w:p w14:paraId="7DA6627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w:t>
                  </w:r>
                </w:p>
              </w:tc>
              <w:tc>
                <w:tcPr>
                  <w:tcW w:w="1933" w:type="dxa"/>
                  <w:gridSpan w:val="2"/>
                  <w:tcBorders>
                    <w:tl2br w:val="nil"/>
                    <w:tr2bl w:val="nil"/>
                  </w:tcBorders>
                  <w:noWrap w:val="0"/>
                  <w:vAlign w:val="center"/>
                </w:tcPr>
                <w:p w14:paraId="67F08F7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53500</w:t>
                  </w:r>
                </w:p>
              </w:tc>
              <w:tc>
                <w:tcPr>
                  <w:tcW w:w="1344" w:type="dxa"/>
                  <w:tcBorders>
                    <w:tl2br w:val="nil"/>
                    <w:tr2bl w:val="nil"/>
                  </w:tcBorders>
                  <w:noWrap w:val="0"/>
                  <w:vAlign w:val="center"/>
                </w:tcPr>
                <w:p w14:paraId="5DEE4B9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c>
                <w:tcPr>
                  <w:tcW w:w="963" w:type="dxa"/>
                  <w:vMerge w:val="continue"/>
                  <w:tcBorders>
                    <w:tl2br w:val="nil"/>
                    <w:tr2bl w:val="nil"/>
                  </w:tcBorders>
                  <w:noWrap w:val="0"/>
                  <w:vAlign w:val="center"/>
                </w:tcPr>
                <w:p w14:paraId="1B8A572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85" w:type="dxa"/>
                  <w:tcBorders>
                    <w:tl2br w:val="nil"/>
                    <w:tr2bl w:val="nil"/>
                  </w:tcBorders>
                  <w:noWrap w:val="0"/>
                  <w:vAlign w:val="center"/>
                </w:tcPr>
                <w:p w14:paraId="0BC4CE5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r>
            <w:tr w14:paraId="48F85C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tcBorders>
                    <w:tl2br w:val="nil"/>
                    <w:tr2bl w:val="nil"/>
                  </w:tcBorders>
                  <w:noWrap w:val="0"/>
                  <w:vAlign w:val="center"/>
                </w:tcPr>
                <w:p w14:paraId="312C7D4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3</w:t>
                  </w:r>
                </w:p>
              </w:tc>
              <w:tc>
                <w:tcPr>
                  <w:tcW w:w="1509" w:type="dxa"/>
                  <w:tcBorders>
                    <w:tl2br w:val="nil"/>
                    <w:tr2bl w:val="nil"/>
                  </w:tcBorders>
                  <w:noWrap w:val="0"/>
                  <w:vAlign w:val="center"/>
                </w:tcPr>
                <w:p w14:paraId="492772A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合金铝锭</w:t>
                  </w:r>
                </w:p>
              </w:tc>
              <w:tc>
                <w:tcPr>
                  <w:tcW w:w="931" w:type="dxa"/>
                  <w:tcBorders>
                    <w:tl2br w:val="nil"/>
                    <w:tr2bl w:val="nil"/>
                  </w:tcBorders>
                  <w:noWrap w:val="0"/>
                  <w:vAlign w:val="center"/>
                </w:tcPr>
                <w:p w14:paraId="3BA5109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1072</w:t>
                  </w:r>
                </w:p>
              </w:tc>
              <w:tc>
                <w:tcPr>
                  <w:tcW w:w="1933" w:type="dxa"/>
                  <w:gridSpan w:val="2"/>
                  <w:tcBorders>
                    <w:tl2br w:val="nil"/>
                    <w:tr2bl w:val="nil"/>
                  </w:tcBorders>
                  <w:noWrap w:val="0"/>
                  <w:vAlign w:val="center"/>
                </w:tcPr>
                <w:p w14:paraId="61E5FFC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1344" w:type="dxa"/>
                  <w:tcBorders>
                    <w:tl2br w:val="nil"/>
                    <w:tr2bl w:val="nil"/>
                  </w:tcBorders>
                  <w:noWrap w:val="0"/>
                  <w:vAlign w:val="center"/>
                </w:tcPr>
                <w:p w14:paraId="4479477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捆装</w:t>
                  </w:r>
                </w:p>
              </w:tc>
              <w:tc>
                <w:tcPr>
                  <w:tcW w:w="963" w:type="dxa"/>
                  <w:vMerge w:val="continue"/>
                  <w:tcBorders>
                    <w:tl2br w:val="nil"/>
                    <w:tr2bl w:val="nil"/>
                  </w:tcBorders>
                  <w:noWrap w:val="0"/>
                  <w:vAlign w:val="center"/>
                </w:tcPr>
                <w:p w14:paraId="3578F1F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85" w:type="dxa"/>
                  <w:tcBorders>
                    <w:tl2br w:val="nil"/>
                    <w:tr2bl w:val="nil"/>
                  </w:tcBorders>
                  <w:noWrap w:val="0"/>
                  <w:vAlign w:val="center"/>
                </w:tcPr>
                <w:p w14:paraId="56CC973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r>
            <w:tr w14:paraId="09ADC1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vMerge w:val="restart"/>
                  <w:tcBorders>
                    <w:tl2br w:val="nil"/>
                    <w:tr2bl w:val="nil"/>
                  </w:tcBorders>
                  <w:noWrap w:val="0"/>
                  <w:vAlign w:val="center"/>
                </w:tcPr>
                <w:p w14:paraId="2B47DF3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4</w:t>
                  </w:r>
                </w:p>
              </w:tc>
              <w:tc>
                <w:tcPr>
                  <w:tcW w:w="1509" w:type="dxa"/>
                  <w:tcBorders>
                    <w:tl2br w:val="nil"/>
                    <w:tr2bl w:val="nil"/>
                  </w:tcBorders>
                  <w:noWrap w:val="0"/>
                  <w:vAlign w:val="center"/>
                </w:tcPr>
                <w:p w14:paraId="61AAF29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color w:val="auto"/>
                      <w:sz w:val="22"/>
                      <w:szCs w:val="22"/>
                    </w:rPr>
                    <w:t>工业硅</w:t>
                  </w:r>
                </w:p>
              </w:tc>
              <w:tc>
                <w:tcPr>
                  <w:tcW w:w="931" w:type="dxa"/>
                  <w:vMerge w:val="restart"/>
                  <w:tcBorders>
                    <w:tl2br w:val="nil"/>
                    <w:tr2bl w:val="nil"/>
                  </w:tcBorders>
                  <w:noWrap w:val="0"/>
                  <w:vAlign w:val="center"/>
                </w:tcPr>
                <w:p w14:paraId="44CD98E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bidi="ar-SA"/>
                    </w:rPr>
                    <w:t>704.62</w:t>
                  </w:r>
                </w:p>
                <w:p w14:paraId="32C3123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1016" w:type="dxa"/>
                  <w:tcBorders>
                    <w:tl2br w:val="nil"/>
                    <w:tr2bl w:val="nil"/>
                  </w:tcBorders>
                  <w:noWrap w:val="0"/>
                  <w:vAlign w:val="center"/>
                </w:tcPr>
                <w:p w14:paraId="49204025">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1200</w:t>
                  </w:r>
                </w:p>
              </w:tc>
              <w:tc>
                <w:tcPr>
                  <w:tcW w:w="917" w:type="dxa"/>
                  <w:vMerge w:val="restart"/>
                  <w:tcBorders>
                    <w:tl2br w:val="nil"/>
                    <w:tr2bl w:val="nil"/>
                  </w:tcBorders>
                  <w:noWrap w:val="0"/>
                  <w:vAlign w:val="center"/>
                </w:tcPr>
                <w:p w14:paraId="08CFD5C8">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3971.5</w:t>
                  </w:r>
                </w:p>
              </w:tc>
              <w:tc>
                <w:tcPr>
                  <w:tcW w:w="1344" w:type="dxa"/>
                  <w:tcBorders>
                    <w:tl2br w:val="nil"/>
                    <w:tr2bl w:val="nil"/>
                  </w:tcBorders>
                  <w:noWrap w:val="0"/>
                  <w:vAlign w:val="center"/>
                </w:tcPr>
                <w:p w14:paraId="7E84ED4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963" w:type="dxa"/>
                  <w:vMerge w:val="continue"/>
                  <w:tcBorders>
                    <w:tl2br w:val="nil"/>
                    <w:tr2bl w:val="nil"/>
                  </w:tcBorders>
                  <w:noWrap w:val="0"/>
                  <w:vAlign w:val="center"/>
                </w:tcPr>
                <w:p w14:paraId="3F02B5F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85" w:type="dxa"/>
                  <w:tcBorders>
                    <w:tl2br w:val="nil"/>
                    <w:tr2bl w:val="nil"/>
                  </w:tcBorders>
                  <w:noWrap w:val="0"/>
                  <w:vAlign w:val="center"/>
                </w:tcPr>
                <w:p w14:paraId="4B9F0CF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46</w:t>
                  </w:r>
                </w:p>
              </w:tc>
            </w:tr>
            <w:tr w14:paraId="506C7F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vMerge w:val="continue"/>
                  <w:tcBorders>
                    <w:tl2br w:val="nil"/>
                    <w:tr2bl w:val="nil"/>
                  </w:tcBorders>
                  <w:noWrap w:val="0"/>
                  <w:vAlign w:val="center"/>
                </w:tcPr>
                <w:p w14:paraId="7C919C6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1509" w:type="dxa"/>
                  <w:tcBorders>
                    <w:tl2br w:val="nil"/>
                    <w:tr2bl w:val="nil"/>
                  </w:tcBorders>
                  <w:noWrap w:val="0"/>
                  <w:vAlign w:val="center"/>
                </w:tcPr>
                <w:p w14:paraId="5C471041">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snapToGrid w:val="0"/>
                      <w:color w:val="auto"/>
                      <w:sz w:val="22"/>
                      <w:szCs w:val="22"/>
                    </w:rPr>
                  </w:pPr>
                  <w:r>
                    <w:rPr>
                      <w:rFonts w:hint="default" w:ascii="Times New Roman" w:hAnsi="Times New Roman" w:eastAsia="宋体" w:cs="Times New Roman"/>
                      <w:color w:val="auto"/>
                      <w:sz w:val="22"/>
                      <w:szCs w:val="22"/>
                      <w:lang w:val="en-US" w:eastAsia="zh-CN"/>
                    </w:rPr>
                    <w:t>纯</w:t>
                  </w:r>
                  <w:r>
                    <w:rPr>
                      <w:rFonts w:hint="default" w:ascii="Times New Roman" w:hAnsi="Times New Roman" w:eastAsia="宋体" w:cs="Times New Roman"/>
                      <w:color w:val="auto"/>
                      <w:sz w:val="22"/>
                      <w:szCs w:val="22"/>
                      <w:lang w:eastAsia="zh-CN"/>
                    </w:rPr>
                    <w:t>铁皮</w:t>
                  </w:r>
                </w:p>
              </w:tc>
              <w:tc>
                <w:tcPr>
                  <w:tcW w:w="931" w:type="dxa"/>
                  <w:vMerge w:val="continue"/>
                  <w:tcBorders>
                    <w:tl2br w:val="nil"/>
                    <w:tr2bl w:val="nil"/>
                  </w:tcBorders>
                  <w:noWrap w:val="0"/>
                  <w:vAlign w:val="center"/>
                </w:tcPr>
                <w:p w14:paraId="091903D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rPr>
                  </w:pPr>
                </w:p>
              </w:tc>
              <w:tc>
                <w:tcPr>
                  <w:tcW w:w="1016" w:type="dxa"/>
                  <w:tcBorders>
                    <w:tl2br w:val="nil"/>
                    <w:tr2bl w:val="nil"/>
                  </w:tcBorders>
                  <w:noWrap w:val="0"/>
                  <w:vAlign w:val="center"/>
                </w:tcPr>
                <w:p w14:paraId="495FED15">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320</w:t>
                  </w:r>
                </w:p>
              </w:tc>
              <w:tc>
                <w:tcPr>
                  <w:tcW w:w="917" w:type="dxa"/>
                  <w:vMerge w:val="continue"/>
                  <w:tcBorders>
                    <w:tl2br w:val="nil"/>
                    <w:tr2bl w:val="nil"/>
                  </w:tcBorders>
                  <w:noWrap w:val="0"/>
                  <w:vAlign w:val="center"/>
                </w:tcPr>
                <w:p w14:paraId="3C2CBB8A">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2"/>
                      <w:szCs w:val="22"/>
                      <w:lang w:val="en-US" w:eastAsia="zh-CN"/>
                    </w:rPr>
                  </w:pPr>
                </w:p>
              </w:tc>
              <w:tc>
                <w:tcPr>
                  <w:tcW w:w="1344" w:type="dxa"/>
                  <w:tcBorders>
                    <w:tl2br w:val="nil"/>
                    <w:tr2bl w:val="nil"/>
                  </w:tcBorders>
                  <w:noWrap w:val="0"/>
                  <w:vAlign w:val="center"/>
                </w:tcPr>
                <w:p w14:paraId="45D1070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963" w:type="dxa"/>
                  <w:vMerge w:val="continue"/>
                  <w:tcBorders>
                    <w:tl2br w:val="nil"/>
                    <w:tr2bl w:val="nil"/>
                  </w:tcBorders>
                  <w:noWrap w:val="0"/>
                  <w:vAlign w:val="center"/>
                </w:tcPr>
                <w:p w14:paraId="2894BCA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85" w:type="dxa"/>
                  <w:tcBorders>
                    <w:tl2br w:val="nil"/>
                    <w:tr2bl w:val="nil"/>
                  </w:tcBorders>
                  <w:noWrap w:val="0"/>
                  <w:vAlign w:val="center"/>
                </w:tcPr>
                <w:p w14:paraId="5E429D3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32</w:t>
                  </w:r>
                </w:p>
              </w:tc>
            </w:tr>
            <w:tr w14:paraId="2DB77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vMerge w:val="continue"/>
                  <w:tcBorders>
                    <w:tl2br w:val="nil"/>
                    <w:tr2bl w:val="nil"/>
                  </w:tcBorders>
                  <w:noWrap w:val="0"/>
                  <w:vAlign w:val="center"/>
                </w:tcPr>
                <w:p w14:paraId="3354E9C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1509" w:type="dxa"/>
                  <w:tcBorders>
                    <w:tl2br w:val="nil"/>
                    <w:tr2bl w:val="nil"/>
                  </w:tcBorders>
                  <w:noWrap w:val="0"/>
                  <w:vAlign w:val="center"/>
                </w:tcPr>
                <w:p w14:paraId="7E07F89C">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snapToGrid w:val="0"/>
                      <w:color w:val="auto"/>
                      <w:sz w:val="22"/>
                      <w:szCs w:val="22"/>
                    </w:rPr>
                  </w:pPr>
                  <w:r>
                    <w:rPr>
                      <w:rFonts w:hint="default" w:ascii="Times New Roman" w:hAnsi="Times New Roman" w:eastAsia="宋体" w:cs="Times New Roman"/>
                      <w:color w:val="auto"/>
                      <w:sz w:val="22"/>
                      <w:szCs w:val="22"/>
                      <w:lang w:val="en-US" w:eastAsia="zh-CN"/>
                    </w:rPr>
                    <w:t>阴极</w:t>
                  </w:r>
                  <w:r>
                    <w:rPr>
                      <w:rFonts w:hint="default" w:ascii="Times New Roman" w:hAnsi="Times New Roman" w:eastAsia="宋体" w:cs="Times New Roman"/>
                      <w:color w:val="auto"/>
                      <w:sz w:val="22"/>
                      <w:szCs w:val="22"/>
                    </w:rPr>
                    <w:t>铜</w:t>
                  </w:r>
                </w:p>
              </w:tc>
              <w:tc>
                <w:tcPr>
                  <w:tcW w:w="931" w:type="dxa"/>
                  <w:vMerge w:val="continue"/>
                  <w:tcBorders>
                    <w:tl2br w:val="nil"/>
                    <w:tr2bl w:val="nil"/>
                  </w:tcBorders>
                  <w:noWrap w:val="0"/>
                  <w:vAlign w:val="center"/>
                </w:tcPr>
                <w:p w14:paraId="36094DB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rPr>
                  </w:pPr>
                </w:p>
              </w:tc>
              <w:tc>
                <w:tcPr>
                  <w:tcW w:w="1016" w:type="dxa"/>
                  <w:tcBorders>
                    <w:tl2br w:val="nil"/>
                    <w:tr2bl w:val="nil"/>
                  </w:tcBorders>
                  <w:noWrap w:val="0"/>
                  <w:vAlign w:val="center"/>
                </w:tcPr>
                <w:p w14:paraId="480C77B3">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700</w:t>
                  </w:r>
                </w:p>
              </w:tc>
              <w:tc>
                <w:tcPr>
                  <w:tcW w:w="917" w:type="dxa"/>
                  <w:vMerge w:val="continue"/>
                  <w:tcBorders>
                    <w:tl2br w:val="nil"/>
                    <w:tr2bl w:val="nil"/>
                  </w:tcBorders>
                  <w:noWrap w:val="0"/>
                  <w:vAlign w:val="center"/>
                </w:tcPr>
                <w:p w14:paraId="6C7969F8">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2"/>
                      <w:szCs w:val="22"/>
                      <w:lang w:val="en-US" w:eastAsia="zh-CN"/>
                    </w:rPr>
                  </w:pPr>
                </w:p>
              </w:tc>
              <w:tc>
                <w:tcPr>
                  <w:tcW w:w="1344" w:type="dxa"/>
                  <w:tcBorders>
                    <w:tl2br w:val="nil"/>
                    <w:tr2bl w:val="nil"/>
                  </w:tcBorders>
                  <w:noWrap w:val="0"/>
                  <w:vAlign w:val="center"/>
                </w:tcPr>
                <w:p w14:paraId="5EF39D1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963" w:type="dxa"/>
                  <w:vMerge w:val="continue"/>
                  <w:tcBorders>
                    <w:tl2br w:val="nil"/>
                    <w:tr2bl w:val="nil"/>
                  </w:tcBorders>
                  <w:noWrap w:val="0"/>
                  <w:vAlign w:val="center"/>
                </w:tcPr>
                <w:p w14:paraId="3DAD848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85" w:type="dxa"/>
                  <w:tcBorders>
                    <w:tl2br w:val="nil"/>
                    <w:tr2bl w:val="nil"/>
                  </w:tcBorders>
                  <w:noWrap w:val="0"/>
                  <w:vAlign w:val="center"/>
                </w:tcPr>
                <w:p w14:paraId="6E2DC74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39</w:t>
                  </w:r>
                </w:p>
              </w:tc>
            </w:tr>
            <w:tr w14:paraId="7E7C8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vMerge w:val="continue"/>
                  <w:tcBorders>
                    <w:tl2br w:val="nil"/>
                    <w:tr2bl w:val="nil"/>
                  </w:tcBorders>
                  <w:noWrap w:val="0"/>
                  <w:vAlign w:val="center"/>
                </w:tcPr>
                <w:p w14:paraId="5860849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1509" w:type="dxa"/>
                  <w:tcBorders>
                    <w:tl2br w:val="nil"/>
                    <w:tr2bl w:val="nil"/>
                  </w:tcBorders>
                  <w:noWrap w:val="0"/>
                  <w:vAlign w:val="center"/>
                </w:tcPr>
                <w:p w14:paraId="010082B5">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snapToGrid w:val="0"/>
                      <w:color w:val="auto"/>
                      <w:sz w:val="22"/>
                      <w:szCs w:val="22"/>
                    </w:rPr>
                  </w:pPr>
                  <w:r>
                    <w:rPr>
                      <w:rFonts w:hint="default" w:ascii="Times New Roman" w:hAnsi="Times New Roman" w:eastAsia="宋体" w:cs="Times New Roman"/>
                      <w:color w:val="auto"/>
                      <w:sz w:val="22"/>
                      <w:szCs w:val="22"/>
                      <w:lang w:val="en-US" w:eastAsia="zh-CN"/>
                    </w:rPr>
                    <w:t>金属</w:t>
                  </w:r>
                  <w:r>
                    <w:rPr>
                      <w:rFonts w:hint="default" w:ascii="Times New Roman" w:hAnsi="Times New Roman" w:eastAsia="宋体" w:cs="Times New Roman"/>
                      <w:color w:val="auto"/>
                      <w:sz w:val="22"/>
                      <w:szCs w:val="22"/>
                      <w:lang w:eastAsia="zh-CN"/>
                    </w:rPr>
                    <w:t>锰</w:t>
                  </w:r>
                </w:p>
              </w:tc>
              <w:tc>
                <w:tcPr>
                  <w:tcW w:w="931" w:type="dxa"/>
                  <w:vMerge w:val="continue"/>
                  <w:tcBorders>
                    <w:tl2br w:val="nil"/>
                    <w:tr2bl w:val="nil"/>
                  </w:tcBorders>
                  <w:noWrap w:val="0"/>
                  <w:vAlign w:val="center"/>
                </w:tcPr>
                <w:p w14:paraId="6ED21F4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rPr>
                  </w:pPr>
                </w:p>
              </w:tc>
              <w:tc>
                <w:tcPr>
                  <w:tcW w:w="1016" w:type="dxa"/>
                  <w:tcBorders>
                    <w:tl2br w:val="nil"/>
                    <w:tr2bl w:val="nil"/>
                  </w:tcBorders>
                  <w:noWrap w:val="0"/>
                  <w:vAlign w:val="center"/>
                </w:tcPr>
                <w:p w14:paraId="75FE938E">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917" w:type="dxa"/>
                  <w:vMerge w:val="continue"/>
                  <w:tcBorders>
                    <w:tl2br w:val="nil"/>
                    <w:tr2bl w:val="nil"/>
                  </w:tcBorders>
                  <w:noWrap w:val="0"/>
                  <w:vAlign w:val="center"/>
                </w:tcPr>
                <w:p w14:paraId="165C26DB">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2"/>
                      <w:szCs w:val="22"/>
                      <w:lang w:val="en-US" w:eastAsia="zh-CN"/>
                    </w:rPr>
                  </w:pPr>
                </w:p>
              </w:tc>
              <w:tc>
                <w:tcPr>
                  <w:tcW w:w="1344" w:type="dxa"/>
                  <w:tcBorders>
                    <w:tl2br w:val="nil"/>
                    <w:tr2bl w:val="nil"/>
                  </w:tcBorders>
                  <w:noWrap w:val="0"/>
                  <w:vAlign w:val="center"/>
                </w:tcPr>
                <w:p w14:paraId="0EC5779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963" w:type="dxa"/>
                  <w:vMerge w:val="continue"/>
                  <w:tcBorders>
                    <w:tl2br w:val="nil"/>
                    <w:tr2bl w:val="nil"/>
                  </w:tcBorders>
                  <w:noWrap w:val="0"/>
                  <w:vAlign w:val="center"/>
                </w:tcPr>
                <w:p w14:paraId="13548FF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85" w:type="dxa"/>
                  <w:tcBorders>
                    <w:tl2br w:val="nil"/>
                    <w:tr2bl w:val="nil"/>
                  </w:tcBorders>
                  <w:noWrap w:val="0"/>
                  <w:vAlign w:val="center"/>
                </w:tcPr>
                <w:p w14:paraId="3B7081D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r>
                    <w:rPr>
                      <w:rFonts w:hint="default" w:ascii="Times New Roman" w:hAnsi="Times New Roman" w:eastAsia="宋体" w:cs="Times New Roman"/>
                      <w:snapToGrid w:val="0"/>
                      <w:color w:val="auto"/>
                      <w:kern w:val="0"/>
                      <w:sz w:val="22"/>
                      <w:szCs w:val="22"/>
                      <w:vertAlign w:val="superscript"/>
                      <w:lang w:val="en-US" w:eastAsia="zh-CN"/>
                    </w:rPr>
                    <w:t>①</w:t>
                  </w:r>
                </w:p>
              </w:tc>
            </w:tr>
            <w:tr w14:paraId="168B1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vMerge w:val="continue"/>
                  <w:tcBorders>
                    <w:tl2br w:val="nil"/>
                    <w:tr2bl w:val="nil"/>
                  </w:tcBorders>
                  <w:noWrap w:val="0"/>
                  <w:vAlign w:val="center"/>
                </w:tcPr>
                <w:p w14:paraId="600BD0F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1509" w:type="dxa"/>
                  <w:tcBorders>
                    <w:tl2br w:val="nil"/>
                    <w:tr2bl w:val="nil"/>
                  </w:tcBorders>
                  <w:noWrap w:val="0"/>
                  <w:vAlign w:val="center"/>
                </w:tcPr>
                <w:p w14:paraId="4A8241C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snapToGrid w:val="0"/>
                      <w:color w:val="auto"/>
                      <w:sz w:val="22"/>
                      <w:szCs w:val="22"/>
                      <w:lang w:val="en-US" w:eastAsia="zh-CN"/>
                    </w:rPr>
                  </w:pPr>
                  <w:r>
                    <w:rPr>
                      <w:rFonts w:hint="default" w:ascii="Times New Roman" w:hAnsi="Times New Roman" w:eastAsia="宋体" w:cs="Times New Roman"/>
                      <w:bCs/>
                      <w:snapToGrid w:val="0"/>
                      <w:color w:val="auto"/>
                      <w:sz w:val="22"/>
                      <w:szCs w:val="22"/>
                      <w:lang w:val="en-US" w:eastAsia="zh-CN"/>
                    </w:rPr>
                    <w:t>镁锭</w:t>
                  </w:r>
                </w:p>
              </w:tc>
              <w:tc>
                <w:tcPr>
                  <w:tcW w:w="931" w:type="dxa"/>
                  <w:vMerge w:val="continue"/>
                  <w:tcBorders>
                    <w:tl2br w:val="nil"/>
                    <w:tr2bl w:val="nil"/>
                  </w:tcBorders>
                  <w:noWrap w:val="0"/>
                  <w:vAlign w:val="center"/>
                </w:tcPr>
                <w:p w14:paraId="0F09B37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rPr>
                  </w:pPr>
                </w:p>
              </w:tc>
              <w:tc>
                <w:tcPr>
                  <w:tcW w:w="1016" w:type="dxa"/>
                  <w:tcBorders>
                    <w:tl2br w:val="nil"/>
                    <w:tr2bl w:val="nil"/>
                  </w:tcBorders>
                  <w:noWrap w:val="0"/>
                  <w:vAlign w:val="center"/>
                </w:tcPr>
                <w:p w14:paraId="5FA5A8AF">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950</w:t>
                  </w:r>
                </w:p>
              </w:tc>
              <w:tc>
                <w:tcPr>
                  <w:tcW w:w="917" w:type="dxa"/>
                  <w:vMerge w:val="continue"/>
                  <w:tcBorders>
                    <w:tl2br w:val="nil"/>
                    <w:tr2bl w:val="nil"/>
                  </w:tcBorders>
                  <w:noWrap w:val="0"/>
                  <w:vAlign w:val="center"/>
                </w:tcPr>
                <w:p w14:paraId="5A03EF6C">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2"/>
                      <w:szCs w:val="22"/>
                      <w:u w:val="none"/>
                      <w:lang w:val="en-US" w:eastAsia="zh-CN"/>
                    </w:rPr>
                  </w:pPr>
                </w:p>
              </w:tc>
              <w:tc>
                <w:tcPr>
                  <w:tcW w:w="1344" w:type="dxa"/>
                  <w:tcBorders>
                    <w:tl2br w:val="nil"/>
                    <w:tr2bl w:val="nil"/>
                  </w:tcBorders>
                  <w:noWrap w:val="0"/>
                  <w:vAlign w:val="center"/>
                </w:tcPr>
                <w:p w14:paraId="54D82F6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963" w:type="dxa"/>
                  <w:vMerge w:val="continue"/>
                  <w:tcBorders>
                    <w:tl2br w:val="nil"/>
                    <w:tr2bl w:val="nil"/>
                  </w:tcBorders>
                  <w:noWrap w:val="0"/>
                  <w:vAlign w:val="center"/>
                </w:tcPr>
                <w:p w14:paraId="26D05A5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85" w:type="dxa"/>
                  <w:tcBorders>
                    <w:tl2br w:val="nil"/>
                    <w:tr2bl w:val="nil"/>
                  </w:tcBorders>
                  <w:noWrap w:val="0"/>
                  <w:vAlign w:val="center"/>
                </w:tcPr>
                <w:p w14:paraId="28284E0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40</w:t>
                  </w:r>
                </w:p>
              </w:tc>
            </w:tr>
            <w:tr w14:paraId="6ABB95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vMerge w:val="continue"/>
                  <w:tcBorders>
                    <w:tl2br w:val="nil"/>
                    <w:tr2bl w:val="nil"/>
                  </w:tcBorders>
                  <w:noWrap w:val="0"/>
                  <w:vAlign w:val="center"/>
                </w:tcPr>
                <w:p w14:paraId="36F4257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1509" w:type="dxa"/>
                  <w:tcBorders>
                    <w:tl2br w:val="nil"/>
                    <w:tr2bl w:val="nil"/>
                  </w:tcBorders>
                  <w:noWrap w:val="0"/>
                  <w:vAlign w:val="center"/>
                </w:tcPr>
                <w:p w14:paraId="7743E02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snapToGrid w:val="0"/>
                      <w:color w:val="auto"/>
                      <w:sz w:val="22"/>
                      <w:szCs w:val="22"/>
                      <w:lang w:val="en-US" w:eastAsia="zh-CN"/>
                    </w:rPr>
                  </w:pPr>
                  <w:r>
                    <w:rPr>
                      <w:rFonts w:hint="default" w:ascii="Times New Roman" w:hAnsi="Times New Roman" w:eastAsia="宋体" w:cs="Times New Roman"/>
                      <w:color w:val="auto"/>
                      <w:sz w:val="22"/>
                      <w:szCs w:val="22"/>
                      <w:lang w:val="en-US" w:eastAsia="zh-CN"/>
                    </w:rPr>
                    <w:t>锌锭</w:t>
                  </w:r>
                </w:p>
              </w:tc>
              <w:tc>
                <w:tcPr>
                  <w:tcW w:w="931" w:type="dxa"/>
                  <w:vMerge w:val="continue"/>
                  <w:tcBorders>
                    <w:tl2br w:val="nil"/>
                    <w:tr2bl w:val="nil"/>
                  </w:tcBorders>
                  <w:noWrap w:val="0"/>
                  <w:vAlign w:val="center"/>
                </w:tcPr>
                <w:p w14:paraId="10F8871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rPr>
                  </w:pPr>
                </w:p>
              </w:tc>
              <w:tc>
                <w:tcPr>
                  <w:tcW w:w="1016" w:type="dxa"/>
                  <w:tcBorders>
                    <w:tl2br w:val="nil"/>
                    <w:tr2bl w:val="nil"/>
                  </w:tcBorders>
                  <w:noWrap w:val="0"/>
                  <w:vAlign w:val="center"/>
                </w:tcPr>
                <w:p w14:paraId="35EFCB28">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917" w:type="dxa"/>
                  <w:vMerge w:val="continue"/>
                  <w:tcBorders>
                    <w:tl2br w:val="nil"/>
                    <w:tr2bl w:val="nil"/>
                  </w:tcBorders>
                  <w:noWrap w:val="0"/>
                  <w:vAlign w:val="center"/>
                </w:tcPr>
                <w:p w14:paraId="3A8A55C8">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2"/>
                      <w:szCs w:val="22"/>
                      <w:lang w:val="en-US" w:eastAsia="zh-CN"/>
                    </w:rPr>
                  </w:pPr>
                </w:p>
              </w:tc>
              <w:tc>
                <w:tcPr>
                  <w:tcW w:w="1344" w:type="dxa"/>
                  <w:tcBorders>
                    <w:tl2br w:val="nil"/>
                    <w:tr2bl w:val="nil"/>
                  </w:tcBorders>
                  <w:noWrap w:val="0"/>
                  <w:vAlign w:val="center"/>
                </w:tcPr>
                <w:p w14:paraId="657B7AA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963" w:type="dxa"/>
                  <w:vMerge w:val="continue"/>
                  <w:tcBorders>
                    <w:tl2br w:val="nil"/>
                    <w:tr2bl w:val="nil"/>
                  </w:tcBorders>
                  <w:noWrap w:val="0"/>
                  <w:vAlign w:val="center"/>
                </w:tcPr>
                <w:p w14:paraId="60B7EAF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85" w:type="dxa"/>
                  <w:tcBorders>
                    <w:tl2br w:val="nil"/>
                    <w:tr2bl w:val="nil"/>
                  </w:tcBorders>
                  <w:noWrap w:val="0"/>
                  <w:vAlign w:val="center"/>
                </w:tcPr>
                <w:p w14:paraId="37C1211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17</w:t>
                  </w:r>
                </w:p>
              </w:tc>
            </w:tr>
            <w:tr w14:paraId="004878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vMerge w:val="continue"/>
                  <w:tcBorders>
                    <w:tl2br w:val="nil"/>
                    <w:tr2bl w:val="nil"/>
                  </w:tcBorders>
                  <w:noWrap w:val="0"/>
                  <w:vAlign w:val="center"/>
                </w:tcPr>
                <w:p w14:paraId="44B79E1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1509" w:type="dxa"/>
                  <w:tcBorders>
                    <w:tl2br w:val="nil"/>
                    <w:tr2bl w:val="nil"/>
                  </w:tcBorders>
                  <w:noWrap w:val="0"/>
                  <w:vAlign w:val="center"/>
                </w:tcPr>
                <w:p w14:paraId="40E5640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snapToGrid w:val="0"/>
                      <w:color w:val="auto"/>
                      <w:sz w:val="22"/>
                      <w:szCs w:val="22"/>
                      <w:lang w:val="en-US" w:eastAsia="zh-CN"/>
                    </w:rPr>
                  </w:pPr>
                  <w:r>
                    <w:rPr>
                      <w:rFonts w:hint="default" w:ascii="Times New Roman" w:hAnsi="Times New Roman" w:eastAsia="宋体" w:cs="Times New Roman"/>
                      <w:color w:val="auto"/>
                      <w:sz w:val="22"/>
                      <w:szCs w:val="22"/>
                      <w:lang w:val="en-US" w:eastAsia="zh-CN"/>
                    </w:rPr>
                    <w:t>锶</w:t>
                  </w:r>
                </w:p>
              </w:tc>
              <w:tc>
                <w:tcPr>
                  <w:tcW w:w="931" w:type="dxa"/>
                  <w:vMerge w:val="continue"/>
                  <w:tcBorders>
                    <w:tl2br w:val="nil"/>
                    <w:tr2bl w:val="nil"/>
                  </w:tcBorders>
                  <w:noWrap w:val="0"/>
                  <w:vAlign w:val="center"/>
                </w:tcPr>
                <w:p w14:paraId="5875A9C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rPr>
                  </w:pPr>
                </w:p>
              </w:tc>
              <w:tc>
                <w:tcPr>
                  <w:tcW w:w="1016" w:type="dxa"/>
                  <w:tcBorders>
                    <w:tl2br w:val="nil"/>
                    <w:tr2bl w:val="nil"/>
                  </w:tcBorders>
                  <w:noWrap w:val="0"/>
                  <w:vAlign w:val="center"/>
                </w:tcPr>
                <w:p w14:paraId="4712BFCD">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1.5</w:t>
                  </w:r>
                </w:p>
              </w:tc>
              <w:tc>
                <w:tcPr>
                  <w:tcW w:w="917" w:type="dxa"/>
                  <w:vMerge w:val="continue"/>
                  <w:tcBorders>
                    <w:tl2br w:val="nil"/>
                    <w:tr2bl w:val="nil"/>
                  </w:tcBorders>
                  <w:noWrap w:val="0"/>
                  <w:vAlign w:val="center"/>
                </w:tcPr>
                <w:p w14:paraId="455C4111">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2"/>
                      <w:szCs w:val="22"/>
                      <w:lang w:val="en-US" w:eastAsia="zh-CN"/>
                    </w:rPr>
                  </w:pPr>
                </w:p>
              </w:tc>
              <w:tc>
                <w:tcPr>
                  <w:tcW w:w="1344" w:type="dxa"/>
                  <w:tcBorders>
                    <w:tl2br w:val="nil"/>
                    <w:tr2bl w:val="nil"/>
                  </w:tcBorders>
                  <w:noWrap w:val="0"/>
                  <w:vAlign w:val="center"/>
                </w:tcPr>
                <w:p w14:paraId="1569593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963" w:type="dxa"/>
                  <w:vMerge w:val="continue"/>
                  <w:tcBorders>
                    <w:tl2br w:val="nil"/>
                    <w:tr2bl w:val="nil"/>
                  </w:tcBorders>
                  <w:noWrap w:val="0"/>
                  <w:vAlign w:val="center"/>
                </w:tcPr>
                <w:p w14:paraId="4F35903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85" w:type="dxa"/>
                  <w:tcBorders>
                    <w:tl2br w:val="nil"/>
                    <w:tr2bl w:val="nil"/>
                  </w:tcBorders>
                  <w:noWrap w:val="0"/>
                  <w:vAlign w:val="center"/>
                </w:tcPr>
                <w:p w14:paraId="042AC56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0.1</w:t>
                  </w:r>
                </w:p>
              </w:tc>
            </w:tr>
            <w:tr w14:paraId="3CDEE5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tcBorders>
                    <w:tl2br w:val="nil"/>
                    <w:tr2bl w:val="nil"/>
                  </w:tcBorders>
                  <w:noWrap w:val="0"/>
                  <w:vAlign w:val="center"/>
                </w:tcPr>
                <w:p w14:paraId="37D8ED6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5</w:t>
                  </w:r>
                </w:p>
              </w:tc>
              <w:tc>
                <w:tcPr>
                  <w:tcW w:w="1509" w:type="dxa"/>
                  <w:tcBorders>
                    <w:tl2br w:val="nil"/>
                    <w:tr2bl w:val="nil"/>
                  </w:tcBorders>
                  <w:noWrap w:val="0"/>
                  <w:vAlign w:val="center"/>
                </w:tcPr>
                <w:p w14:paraId="7132DCE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铝-钛-硼线杆</w:t>
                  </w:r>
                </w:p>
              </w:tc>
              <w:tc>
                <w:tcPr>
                  <w:tcW w:w="931" w:type="dxa"/>
                  <w:tcBorders>
                    <w:tl2br w:val="nil"/>
                    <w:tr2bl w:val="nil"/>
                  </w:tcBorders>
                  <w:noWrap w:val="0"/>
                  <w:vAlign w:val="center"/>
                </w:tcPr>
                <w:p w14:paraId="381882F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w:t>
                  </w:r>
                </w:p>
              </w:tc>
              <w:tc>
                <w:tcPr>
                  <w:tcW w:w="1933" w:type="dxa"/>
                  <w:gridSpan w:val="2"/>
                  <w:tcBorders>
                    <w:tl2br w:val="nil"/>
                    <w:tr2bl w:val="nil"/>
                  </w:tcBorders>
                  <w:noWrap w:val="0"/>
                  <w:vAlign w:val="center"/>
                </w:tcPr>
                <w:p w14:paraId="62021E1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2"/>
                      <w:szCs w:val="22"/>
                      <w:vertAlign w:val="baseline"/>
                      <w:lang w:val="en-US" w:eastAsia="zh-CN" w:bidi="ar-SA"/>
                    </w:rPr>
                  </w:pPr>
                  <w:r>
                    <w:rPr>
                      <w:rFonts w:hint="default" w:ascii="Times New Roman" w:hAnsi="Times New Roman" w:eastAsia="宋体" w:cs="Times New Roman"/>
                      <w:color w:val="auto"/>
                      <w:kern w:val="2"/>
                      <w:sz w:val="22"/>
                      <w:szCs w:val="22"/>
                      <w:vertAlign w:val="baseline"/>
                      <w:lang w:val="en-US" w:eastAsia="zh-CN" w:bidi="ar-SA"/>
                    </w:rPr>
                    <w:t>15</w:t>
                  </w:r>
                </w:p>
              </w:tc>
              <w:tc>
                <w:tcPr>
                  <w:tcW w:w="1344" w:type="dxa"/>
                  <w:tcBorders>
                    <w:tl2br w:val="nil"/>
                    <w:tr2bl w:val="nil"/>
                  </w:tcBorders>
                  <w:noWrap w:val="0"/>
                  <w:vAlign w:val="center"/>
                </w:tcPr>
                <w:p w14:paraId="1106942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捆装</w:t>
                  </w:r>
                </w:p>
              </w:tc>
              <w:tc>
                <w:tcPr>
                  <w:tcW w:w="963" w:type="dxa"/>
                  <w:vMerge w:val="continue"/>
                  <w:tcBorders>
                    <w:tl2br w:val="nil"/>
                    <w:tr2bl w:val="nil"/>
                  </w:tcBorders>
                  <w:noWrap w:val="0"/>
                  <w:vAlign w:val="center"/>
                </w:tcPr>
                <w:p w14:paraId="51A5BA7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85" w:type="dxa"/>
                  <w:tcBorders>
                    <w:tl2br w:val="nil"/>
                    <w:tr2bl w:val="nil"/>
                  </w:tcBorders>
                  <w:noWrap w:val="0"/>
                  <w:vAlign w:val="center"/>
                </w:tcPr>
                <w:p w14:paraId="7EC411E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3</w:t>
                  </w:r>
                </w:p>
              </w:tc>
            </w:tr>
            <w:tr w14:paraId="5FF15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tcBorders>
                    <w:tl2br w:val="nil"/>
                    <w:tr2bl w:val="nil"/>
                  </w:tcBorders>
                  <w:noWrap w:val="0"/>
                  <w:vAlign w:val="center"/>
                </w:tcPr>
                <w:p w14:paraId="331EB51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6</w:t>
                  </w:r>
                </w:p>
              </w:tc>
              <w:tc>
                <w:tcPr>
                  <w:tcW w:w="1509" w:type="dxa"/>
                  <w:tcBorders>
                    <w:tl2br w:val="nil"/>
                    <w:tr2bl w:val="nil"/>
                  </w:tcBorders>
                  <w:noWrap w:val="0"/>
                  <w:vAlign w:val="center"/>
                </w:tcPr>
                <w:p w14:paraId="3401475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snapToGrid w:val="0"/>
                      <w:color w:val="auto"/>
                      <w:sz w:val="22"/>
                      <w:szCs w:val="22"/>
                      <w:lang w:val="en-US" w:eastAsia="zh-CN"/>
                    </w:rPr>
                  </w:pPr>
                  <w:r>
                    <w:rPr>
                      <w:rFonts w:hint="default" w:ascii="Times New Roman" w:hAnsi="Times New Roman" w:eastAsia="宋体" w:cs="Times New Roman"/>
                      <w:bCs/>
                      <w:snapToGrid w:val="0"/>
                      <w:color w:val="auto"/>
                      <w:sz w:val="22"/>
                      <w:szCs w:val="22"/>
                      <w:lang w:val="en-US" w:eastAsia="zh-CN"/>
                    </w:rPr>
                    <w:t>除钙剂</w:t>
                  </w:r>
                </w:p>
              </w:tc>
              <w:tc>
                <w:tcPr>
                  <w:tcW w:w="931" w:type="dxa"/>
                  <w:tcBorders>
                    <w:tl2br w:val="nil"/>
                    <w:tr2bl w:val="nil"/>
                  </w:tcBorders>
                  <w:noWrap w:val="0"/>
                  <w:vAlign w:val="center"/>
                </w:tcPr>
                <w:p w14:paraId="7CA1EC7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w:t>
                  </w:r>
                </w:p>
              </w:tc>
              <w:tc>
                <w:tcPr>
                  <w:tcW w:w="1933" w:type="dxa"/>
                  <w:gridSpan w:val="2"/>
                  <w:tcBorders>
                    <w:tl2br w:val="nil"/>
                    <w:tr2bl w:val="nil"/>
                  </w:tcBorders>
                  <w:noWrap w:val="0"/>
                  <w:vAlign w:val="center"/>
                </w:tcPr>
                <w:p w14:paraId="3179F22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1344" w:type="dxa"/>
                  <w:tcBorders>
                    <w:tl2br w:val="nil"/>
                    <w:tr2bl w:val="nil"/>
                  </w:tcBorders>
                  <w:noWrap w:val="0"/>
                  <w:vAlign w:val="center"/>
                </w:tcPr>
                <w:p w14:paraId="0E263E5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963" w:type="dxa"/>
                  <w:vMerge w:val="continue"/>
                  <w:tcBorders>
                    <w:tl2br w:val="nil"/>
                    <w:tr2bl w:val="nil"/>
                  </w:tcBorders>
                  <w:noWrap w:val="0"/>
                  <w:vAlign w:val="center"/>
                </w:tcPr>
                <w:p w14:paraId="3286333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85" w:type="dxa"/>
                  <w:tcBorders>
                    <w:tl2br w:val="nil"/>
                    <w:tr2bl w:val="nil"/>
                  </w:tcBorders>
                  <w:noWrap w:val="0"/>
                  <w:vAlign w:val="center"/>
                </w:tcPr>
                <w:p w14:paraId="1DC6884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r>
            <w:tr w14:paraId="41DF2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tcBorders>
                    <w:tl2br w:val="nil"/>
                    <w:tr2bl w:val="nil"/>
                  </w:tcBorders>
                  <w:noWrap w:val="0"/>
                  <w:vAlign w:val="center"/>
                </w:tcPr>
                <w:p w14:paraId="3D348F7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7</w:t>
                  </w:r>
                </w:p>
              </w:tc>
              <w:tc>
                <w:tcPr>
                  <w:tcW w:w="1509" w:type="dxa"/>
                  <w:tcBorders>
                    <w:tl2br w:val="nil"/>
                    <w:tr2bl w:val="nil"/>
                  </w:tcBorders>
                  <w:noWrap w:val="0"/>
                  <w:vAlign w:val="center"/>
                </w:tcPr>
                <w:p w14:paraId="1443366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snapToGrid w:val="0"/>
                      <w:color w:val="auto"/>
                      <w:sz w:val="22"/>
                      <w:szCs w:val="22"/>
                      <w:lang w:val="en-US" w:eastAsia="zh-CN"/>
                    </w:rPr>
                  </w:pPr>
                  <w:r>
                    <w:rPr>
                      <w:rFonts w:hint="default" w:ascii="Times New Roman" w:hAnsi="Times New Roman" w:eastAsia="宋体" w:cs="Times New Roman"/>
                      <w:bCs/>
                      <w:snapToGrid w:val="0"/>
                      <w:color w:val="auto"/>
                      <w:sz w:val="22"/>
                      <w:szCs w:val="22"/>
                      <w:lang w:val="en-US" w:eastAsia="zh-CN"/>
                    </w:rPr>
                    <w:t>精炼剂</w:t>
                  </w:r>
                </w:p>
              </w:tc>
              <w:tc>
                <w:tcPr>
                  <w:tcW w:w="931" w:type="dxa"/>
                  <w:tcBorders>
                    <w:tl2br w:val="nil"/>
                    <w:tr2bl w:val="nil"/>
                  </w:tcBorders>
                  <w:noWrap w:val="0"/>
                  <w:vAlign w:val="center"/>
                </w:tcPr>
                <w:p w14:paraId="2B5789F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 xml:space="preserve">36.88 </w:t>
                  </w:r>
                </w:p>
              </w:tc>
              <w:tc>
                <w:tcPr>
                  <w:tcW w:w="1933" w:type="dxa"/>
                  <w:gridSpan w:val="2"/>
                  <w:tcBorders>
                    <w:tl2br w:val="nil"/>
                    <w:tr2bl w:val="nil"/>
                  </w:tcBorders>
                  <w:noWrap w:val="0"/>
                  <w:vAlign w:val="center"/>
                </w:tcPr>
                <w:p w14:paraId="731C17C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82.39</w:t>
                  </w:r>
                </w:p>
              </w:tc>
              <w:tc>
                <w:tcPr>
                  <w:tcW w:w="1344" w:type="dxa"/>
                  <w:tcBorders>
                    <w:tl2br w:val="nil"/>
                    <w:tr2bl w:val="nil"/>
                  </w:tcBorders>
                  <w:noWrap w:val="0"/>
                  <w:vAlign w:val="center"/>
                </w:tcPr>
                <w:p w14:paraId="08C7354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963" w:type="dxa"/>
                  <w:vMerge w:val="continue"/>
                  <w:tcBorders>
                    <w:tl2br w:val="nil"/>
                    <w:tr2bl w:val="nil"/>
                  </w:tcBorders>
                  <w:noWrap w:val="0"/>
                  <w:vAlign w:val="center"/>
                </w:tcPr>
                <w:p w14:paraId="47E8E26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85" w:type="dxa"/>
                  <w:tcBorders>
                    <w:tl2br w:val="nil"/>
                    <w:tr2bl w:val="nil"/>
                  </w:tcBorders>
                  <w:noWrap w:val="0"/>
                  <w:vAlign w:val="center"/>
                </w:tcPr>
                <w:p w14:paraId="7AA5677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6</w:t>
                  </w:r>
                </w:p>
              </w:tc>
            </w:tr>
            <w:tr w14:paraId="704443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tcBorders>
                    <w:tl2br w:val="nil"/>
                    <w:tr2bl w:val="nil"/>
                  </w:tcBorders>
                  <w:noWrap w:val="0"/>
                  <w:vAlign w:val="center"/>
                </w:tcPr>
                <w:p w14:paraId="01B3E69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8</w:t>
                  </w:r>
                </w:p>
              </w:tc>
              <w:tc>
                <w:tcPr>
                  <w:tcW w:w="1509" w:type="dxa"/>
                  <w:tcBorders>
                    <w:tl2br w:val="nil"/>
                    <w:tr2bl w:val="nil"/>
                  </w:tcBorders>
                  <w:noWrap w:val="0"/>
                  <w:vAlign w:val="center"/>
                </w:tcPr>
                <w:p w14:paraId="4A52941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snapToGrid w:val="0"/>
                      <w:color w:val="auto"/>
                      <w:sz w:val="22"/>
                      <w:szCs w:val="22"/>
                      <w:lang w:val="en-US" w:eastAsia="zh-CN"/>
                    </w:rPr>
                  </w:pPr>
                  <w:r>
                    <w:rPr>
                      <w:rFonts w:hint="default" w:ascii="Times New Roman" w:hAnsi="Times New Roman" w:eastAsia="宋体" w:cs="Times New Roman"/>
                      <w:bCs/>
                      <w:snapToGrid w:val="0"/>
                      <w:color w:val="auto"/>
                      <w:sz w:val="22"/>
                      <w:szCs w:val="22"/>
                      <w:lang w:val="en-US" w:eastAsia="zh-CN"/>
                    </w:rPr>
                    <w:t>覆盖剂</w:t>
                  </w:r>
                </w:p>
              </w:tc>
              <w:tc>
                <w:tcPr>
                  <w:tcW w:w="931" w:type="dxa"/>
                  <w:tcBorders>
                    <w:tl2br w:val="nil"/>
                    <w:tr2bl w:val="nil"/>
                  </w:tcBorders>
                  <w:noWrap w:val="0"/>
                  <w:vAlign w:val="center"/>
                </w:tcPr>
                <w:p w14:paraId="6FA5563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w:t>
                  </w:r>
                </w:p>
              </w:tc>
              <w:tc>
                <w:tcPr>
                  <w:tcW w:w="1933" w:type="dxa"/>
                  <w:gridSpan w:val="2"/>
                  <w:tcBorders>
                    <w:tl2br w:val="nil"/>
                    <w:tr2bl w:val="nil"/>
                  </w:tcBorders>
                  <w:noWrap w:val="0"/>
                  <w:vAlign w:val="center"/>
                </w:tcPr>
                <w:p w14:paraId="67E0C2C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1344" w:type="dxa"/>
                  <w:tcBorders>
                    <w:tl2br w:val="nil"/>
                    <w:tr2bl w:val="nil"/>
                  </w:tcBorders>
                  <w:noWrap w:val="0"/>
                  <w:vAlign w:val="center"/>
                </w:tcPr>
                <w:p w14:paraId="6B61497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963" w:type="dxa"/>
                  <w:vMerge w:val="continue"/>
                  <w:tcBorders>
                    <w:tl2br w:val="nil"/>
                    <w:tr2bl w:val="nil"/>
                  </w:tcBorders>
                  <w:noWrap w:val="0"/>
                  <w:vAlign w:val="center"/>
                </w:tcPr>
                <w:p w14:paraId="1BFDCFE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85" w:type="dxa"/>
                  <w:tcBorders>
                    <w:tl2br w:val="nil"/>
                    <w:tr2bl w:val="nil"/>
                  </w:tcBorders>
                  <w:noWrap w:val="0"/>
                  <w:vAlign w:val="center"/>
                </w:tcPr>
                <w:p w14:paraId="1242A8F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r>
            <w:tr w14:paraId="66C87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tcBorders>
                    <w:tl2br w:val="nil"/>
                    <w:tr2bl w:val="nil"/>
                  </w:tcBorders>
                  <w:noWrap w:val="0"/>
                  <w:vAlign w:val="center"/>
                </w:tcPr>
                <w:p w14:paraId="667F999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9</w:t>
                  </w:r>
                </w:p>
              </w:tc>
              <w:tc>
                <w:tcPr>
                  <w:tcW w:w="1509" w:type="dxa"/>
                  <w:tcBorders>
                    <w:tl2br w:val="nil"/>
                    <w:tr2bl w:val="nil"/>
                  </w:tcBorders>
                  <w:noWrap w:val="0"/>
                  <w:vAlign w:val="center"/>
                </w:tcPr>
                <w:p w14:paraId="7112D7DF">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snapToGrid w:val="0"/>
                      <w:color w:val="auto"/>
                      <w:sz w:val="22"/>
                      <w:szCs w:val="22"/>
                      <w:lang w:val="en-US" w:eastAsia="zh-CN"/>
                    </w:rPr>
                  </w:pPr>
                  <w:r>
                    <w:rPr>
                      <w:rFonts w:hint="default" w:ascii="Times New Roman" w:hAnsi="Times New Roman" w:eastAsia="宋体" w:cs="Times New Roman"/>
                      <w:color w:val="auto"/>
                      <w:sz w:val="22"/>
                      <w:szCs w:val="22"/>
                    </w:rPr>
                    <w:t>陶瓷过滤板</w:t>
                  </w:r>
                </w:p>
              </w:tc>
              <w:tc>
                <w:tcPr>
                  <w:tcW w:w="931" w:type="dxa"/>
                  <w:tcBorders>
                    <w:tl2br w:val="nil"/>
                    <w:tr2bl w:val="nil"/>
                  </w:tcBorders>
                  <w:noWrap w:val="0"/>
                  <w:vAlign w:val="center"/>
                </w:tcPr>
                <w:p w14:paraId="6CC4F46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1.0</w:t>
                  </w:r>
                </w:p>
              </w:tc>
              <w:tc>
                <w:tcPr>
                  <w:tcW w:w="1933" w:type="dxa"/>
                  <w:gridSpan w:val="2"/>
                  <w:tcBorders>
                    <w:tl2br w:val="nil"/>
                    <w:tr2bl w:val="nil"/>
                  </w:tcBorders>
                  <w:noWrap w:val="0"/>
                  <w:vAlign w:val="center"/>
                </w:tcPr>
                <w:p w14:paraId="1388BBC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w:t>
                  </w:r>
                </w:p>
              </w:tc>
              <w:tc>
                <w:tcPr>
                  <w:tcW w:w="1344" w:type="dxa"/>
                  <w:tcBorders>
                    <w:tl2br w:val="nil"/>
                    <w:tr2bl w:val="nil"/>
                  </w:tcBorders>
                  <w:noWrap w:val="0"/>
                  <w:vAlign w:val="center"/>
                </w:tcPr>
                <w:p w14:paraId="05842A4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963" w:type="dxa"/>
                  <w:vMerge w:val="continue"/>
                  <w:tcBorders>
                    <w:tl2br w:val="nil"/>
                    <w:tr2bl w:val="nil"/>
                  </w:tcBorders>
                  <w:noWrap w:val="0"/>
                  <w:vAlign w:val="center"/>
                </w:tcPr>
                <w:p w14:paraId="3630EBE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85" w:type="dxa"/>
                  <w:tcBorders>
                    <w:tl2br w:val="nil"/>
                    <w:tr2bl w:val="nil"/>
                  </w:tcBorders>
                  <w:noWrap w:val="0"/>
                  <w:vAlign w:val="center"/>
                </w:tcPr>
                <w:p w14:paraId="67E14A2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0.2</w:t>
                  </w:r>
                </w:p>
              </w:tc>
            </w:tr>
            <w:tr w14:paraId="57105B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tcBorders>
                    <w:tl2br w:val="nil"/>
                    <w:tr2bl w:val="nil"/>
                  </w:tcBorders>
                  <w:noWrap w:val="0"/>
                  <w:vAlign w:val="center"/>
                </w:tcPr>
                <w:p w14:paraId="35D0D79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10</w:t>
                  </w:r>
                </w:p>
              </w:tc>
              <w:tc>
                <w:tcPr>
                  <w:tcW w:w="1509" w:type="dxa"/>
                  <w:tcBorders>
                    <w:tl2br w:val="nil"/>
                    <w:tr2bl w:val="nil"/>
                  </w:tcBorders>
                  <w:noWrap w:val="0"/>
                  <w:vAlign w:val="center"/>
                </w:tcPr>
                <w:p w14:paraId="3C830E94">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耐火材料</w:t>
                  </w:r>
                </w:p>
              </w:tc>
              <w:tc>
                <w:tcPr>
                  <w:tcW w:w="931" w:type="dxa"/>
                  <w:tcBorders>
                    <w:tl2br w:val="nil"/>
                    <w:tr2bl w:val="nil"/>
                  </w:tcBorders>
                  <w:noWrap w:val="0"/>
                  <w:vAlign w:val="center"/>
                </w:tcPr>
                <w:p w14:paraId="6295EF9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bidi="ar-SA"/>
                    </w:rPr>
                    <w:t>/</w:t>
                  </w:r>
                </w:p>
              </w:tc>
              <w:tc>
                <w:tcPr>
                  <w:tcW w:w="1933" w:type="dxa"/>
                  <w:gridSpan w:val="2"/>
                  <w:tcBorders>
                    <w:tl2br w:val="nil"/>
                    <w:tr2bl w:val="nil"/>
                  </w:tcBorders>
                  <w:noWrap w:val="0"/>
                  <w:vAlign w:val="center"/>
                </w:tcPr>
                <w:p w14:paraId="7B9B00A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w:t>
                  </w:r>
                </w:p>
              </w:tc>
              <w:tc>
                <w:tcPr>
                  <w:tcW w:w="1344" w:type="dxa"/>
                  <w:tcBorders>
                    <w:tl2br w:val="nil"/>
                    <w:tr2bl w:val="nil"/>
                  </w:tcBorders>
                  <w:noWrap w:val="0"/>
                  <w:vAlign w:val="center"/>
                </w:tcPr>
                <w:p w14:paraId="6C25BB4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c>
                <w:tcPr>
                  <w:tcW w:w="963" w:type="dxa"/>
                  <w:tcBorders>
                    <w:tl2br w:val="nil"/>
                    <w:tr2bl w:val="nil"/>
                  </w:tcBorders>
                  <w:noWrap w:val="0"/>
                  <w:vAlign w:val="center"/>
                </w:tcPr>
                <w:p w14:paraId="56C2335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c>
                <w:tcPr>
                  <w:tcW w:w="885" w:type="dxa"/>
                  <w:tcBorders>
                    <w:tl2br w:val="nil"/>
                    <w:tr2bl w:val="nil"/>
                  </w:tcBorders>
                  <w:noWrap w:val="0"/>
                  <w:vAlign w:val="center"/>
                </w:tcPr>
                <w:p w14:paraId="59BD90D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0.2</w:t>
                  </w:r>
                </w:p>
              </w:tc>
            </w:tr>
            <w:tr w14:paraId="3706C7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tcBorders>
                    <w:tl2br w:val="nil"/>
                    <w:tr2bl w:val="nil"/>
                  </w:tcBorders>
                  <w:noWrap w:val="0"/>
                  <w:vAlign w:val="center"/>
                </w:tcPr>
                <w:p w14:paraId="5671766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bidi="ar-SA"/>
                    </w:rPr>
                    <w:t>11</w:t>
                  </w:r>
                </w:p>
              </w:tc>
              <w:tc>
                <w:tcPr>
                  <w:tcW w:w="1509" w:type="dxa"/>
                  <w:tcBorders>
                    <w:tl2br w:val="nil"/>
                    <w:tr2bl w:val="nil"/>
                  </w:tcBorders>
                  <w:noWrap w:val="0"/>
                  <w:vAlign w:val="center"/>
                </w:tcPr>
                <w:p w14:paraId="7C1D3B6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snapToGrid w:val="0"/>
                      <w:color w:val="auto"/>
                      <w:sz w:val="22"/>
                      <w:szCs w:val="22"/>
                      <w:lang w:val="en-US" w:eastAsia="zh-CN"/>
                    </w:rPr>
                  </w:pPr>
                  <w:r>
                    <w:rPr>
                      <w:rFonts w:hint="default" w:ascii="Times New Roman" w:hAnsi="Times New Roman" w:eastAsia="宋体" w:cs="Times New Roman"/>
                      <w:bCs/>
                      <w:snapToGrid w:val="0"/>
                      <w:color w:val="auto"/>
                      <w:sz w:val="22"/>
                      <w:szCs w:val="22"/>
                      <w:lang w:val="en-US" w:eastAsia="zh-CN"/>
                    </w:rPr>
                    <w:t>液</w:t>
                  </w:r>
                  <w:r>
                    <w:rPr>
                      <w:rFonts w:hint="default" w:ascii="Times New Roman" w:hAnsi="Times New Roman" w:eastAsia="宋体" w:cs="Times New Roman"/>
                      <w:bCs/>
                      <w:snapToGrid w:val="0"/>
                      <w:color w:val="auto"/>
                      <w:sz w:val="22"/>
                      <w:szCs w:val="22"/>
                    </w:rPr>
                    <w:t>氩</w:t>
                  </w:r>
                  <w:r>
                    <w:rPr>
                      <w:rFonts w:hint="default" w:ascii="Times New Roman" w:hAnsi="Times New Roman" w:eastAsia="宋体" w:cs="Times New Roman"/>
                      <w:bCs/>
                      <w:snapToGrid w:val="0"/>
                      <w:color w:val="auto"/>
                      <w:sz w:val="22"/>
                      <w:szCs w:val="22"/>
                      <w:lang w:eastAsia="zh-CN"/>
                    </w:rPr>
                    <w:t>（</w:t>
                  </w:r>
                  <w:r>
                    <w:rPr>
                      <w:rFonts w:hint="default" w:ascii="Times New Roman" w:hAnsi="Times New Roman" w:eastAsia="宋体" w:cs="Times New Roman"/>
                      <w:snapToGrid w:val="0"/>
                      <w:color w:val="auto"/>
                      <w:kern w:val="0"/>
                      <w:sz w:val="22"/>
                      <w:szCs w:val="22"/>
                      <w:lang w:val="en-US" w:eastAsia="zh-CN"/>
                    </w:rPr>
                    <w:t>m</w:t>
                  </w:r>
                  <w:r>
                    <w:rPr>
                      <w:rFonts w:hint="default" w:ascii="Times New Roman" w:hAnsi="Times New Roman" w:eastAsia="宋体" w:cs="Times New Roman"/>
                      <w:snapToGrid w:val="0"/>
                      <w:color w:val="auto"/>
                      <w:kern w:val="0"/>
                      <w:sz w:val="22"/>
                      <w:szCs w:val="22"/>
                      <w:vertAlign w:val="superscript"/>
                      <w:lang w:val="en-US" w:eastAsia="zh-CN"/>
                    </w:rPr>
                    <w:t>3</w:t>
                  </w:r>
                  <w:r>
                    <w:rPr>
                      <w:rFonts w:hint="default" w:ascii="Times New Roman" w:hAnsi="Times New Roman" w:eastAsia="宋体" w:cs="Times New Roman"/>
                      <w:bCs/>
                      <w:snapToGrid w:val="0"/>
                      <w:color w:val="auto"/>
                      <w:sz w:val="22"/>
                      <w:szCs w:val="22"/>
                      <w:lang w:eastAsia="zh-CN"/>
                    </w:rPr>
                    <w:t>）</w:t>
                  </w:r>
                </w:p>
              </w:tc>
              <w:tc>
                <w:tcPr>
                  <w:tcW w:w="931" w:type="dxa"/>
                  <w:tcBorders>
                    <w:tl2br w:val="nil"/>
                    <w:tr2bl w:val="nil"/>
                  </w:tcBorders>
                  <w:noWrap w:val="0"/>
                  <w:vAlign w:val="center"/>
                </w:tcPr>
                <w:p w14:paraId="7797378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bidi="ar-SA"/>
                    </w:rPr>
                    <w:t>628</w:t>
                  </w:r>
                </w:p>
              </w:tc>
              <w:tc>
                <w:tcPr>
                  <w:tcW w:w="1933" w:type="dxa"/>
                  <w:gridSpan w:val="2"/>
                  <w:tcBorders>
                    <w:tl2br w:val="nil"/>
                    <w:tr2bl w:val="nil"/>
                  </w:tcBorders>
                  <w:noWrap w:val="0"/>
                  <w:vAlign w:val="center"/>
                </w:tcPr>
                <w:p w14:paraId="25B7C12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3642</w:t>
                  </w:r>
                </w:p>
              </w:tc>
              <w:tc>
                <w:tcPr>
                  <w:tcW w:w="1344" w:type="dxa"/>
                  <w:tcBorders>
                    <w:tl2br w:val="nil"/>
                    <w:tr2bl w:val="nil"/>
                  </w:tcBorders>
                  <w:noWrap w:val="0"/>
                  <w:vAlign w:val="center"/>
                </w:tcPr>
                <w:p w14:paraId="0DAFBCF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罐装</w:t>
                  </w:r>
                </w:p>
              </w:tc>
              <w:tc>
                <w:tcPr>
                  <w:tcW w:w="963" w:type="dxa"/>
                  <w:tcBorders>
                    <w:tl2br w:val="nil"/>
                    <w:tr2bl w:val="nil"/>
                  </w:tcBorders>
                  <w:noWrap w:val="0"/>
                  <w:vAlign w:val="center"/>
                </w:tcPr>
                <w:p w14:paraId="4145332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车间外北侧</w:t>
                  </w:r>
                </w:p>
              </w:tc>
              <w:tc>
                <w:tcPr>
                  <w:tcW w:w="885" w:type="dxa"/>
                  <w:tcBorders>
                    <w:tl2br w:val="nil"/>
                    <w:tr2bl w:val="nil"/>
                  </w:tcBorders>
                  <w:noWrap w:val="0"/>
                  <w:vAlign w:val="center"/>
                </w:tcPr>
                <w:p w14:paraId="5947B7F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vertAlign w:val="superscript"/>
                      <w:lang w:val="en-US" w:eastAsia="zh-CN"/>
                    </w:rPr>
                  </w:pPr>
                  <w:r>
                    <w:rPr>
                      <w:rFonts w:hint="default" w:ascii="Times New Roman" w:hAnsi="Times New Roman" w:eastAsia="宋体" w:cs="Times New Roman"/>
                      <w:snapToGrid w:val="0"/>
                      <w:color w:val="auto"/>
                      <w:kern w:val="0"/>
                      <w:sz w:val="22"/>
                      <w:szCs w:val="22"/>
                      <w:lang w:val="en-US" w:eastAsia="zh-CN"/>
                    </w:rPr>
                    <w:t>5m</w:t>
                  </w:r>
                  <w:r>
                    <w:rPr>
                      <w:rFonts w:hint="default" w:ascii="Times New Roman" w:hAnsi="Times New Roman" w:eastAsia="宋体" w:cs="Times New Roman"/>
                      <w:snapToGrid w:val="0"/>
                      <w:color w:val="auto"/>
                      <w:kern w:val="0"/>
                      <w:sz w:val="22"/>
                      <w:szCs w:val="22"/>
                      <w:vertAlign w:val="superscript"/>
                      <w:lang w:val="en-US" w:eastAsia="zh-CN"/>
                    </w:rPr>
                    <w:t>3</w:t>
                  </w:r>
                </w:p>
                <w:p w14:paraId="52A5D06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vertAlign w:val="baseline"/>
                      <w:lang w:val="en-US" w:eastAsia="zh-CN"/>
                    </w:rPr>
                    <w:t>（液态）</w:t>
                  </w:r>
                </w:p>
              </w:tc>
            </w:tr>
            <w:tr w14:paraId="09E730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tcBorders>
                    <w:tl2br w:val="nil"/>
                    <w:tr2bl w:val="nil"/>
                  </w:tcBorders>
                  <w:noWrap w:val="0"/>
                  <w:vAlign w:val="center"/>
                </w:tcPr>
                <w:p w14:paraId="02E76CD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12</w:t>
                  </w:r>
                </w:p>
              </w:tc>
              <w:tc>
                <w:tcPr>
                  <w:tcW w:w="1509" w:type="dxa"/>
                  <w:tcBorders>
                    <w:tl2br w:val="nil"/>
                    <w:tr2bl w:val="nil"/>
                  </w:tcBorders>
                  <w:noWrap w:val="0"/>
                  <w:vAlign w:val="center"/>
                </w:tcPr>
                <w:p w14:paraId="6927F33D">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bCs/>
                      <w:snapToGrid w:val="0"/>
                      <w:color w:val="auto"/>
                      <w:sz w:val="22"/>
                      <w:szCs w:val="22"/>
                    </w:rPr>
                    <w:t>润滑油</w:t>
                  </w:r>
                </w:p>
              </w:tc>
              <w:tc>
                <w:tcPr>
                  <w:tcW w:w="931" w:type="dxa"/>
                  <w:tcBorders>
                    <w:tl2br w:val="nil"/>
                    <w:tr2bl w:val="nil"/>
                  </w:tcBorders>
                  <w:noWrap w:val="0"/>
                  <w:vAlign w:val="center"/>
                </w:tcPr>
                <w:p w14:paraId="7267507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0.2</w:t>
                  </w:r>
                </w:p>
              </w:tc>
              <w:tc>
                <w:tcPr>
                  <w:tcW w:w="1933" w:type="dxa"/>
                  <w:gridSpan w:val="2"/>
                  <w:tcBorders>
                    <w:tl2br w:val="nil"/>
                    <w:tr2bl w:val="nil"/>
                  </w:tcBorders>
                  <w:noWrap w:val="0"/>
                  <w:vAlign w:val="center"/>
                </w:tcPr>
                <w:p w14:paraId="78ABD0E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2</w:t>
                  </w:r>
                </w:p>
              </w:tc>
              <w:tc>
                <w:tcPr>
                  <w:tcW w:w="1344" w:type="dxa"/>
                  <w:tcBorders>
                    <w:tl2br w:val="nil"/>
                    <w:tr2bl w:val="nil"/>
                  </w:tcBorders>
                  <w:noWrap w:val="0"/>
                  <w:vAlign w:val="center"/>
                </w:tcPr>
                <w:p w14:paraId="5E29C70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桶装，170kg/桶</w:t>
                  </w:r>
                </w:p>
              </w:tc>
              <w:tc>
                <w:tcPr>
                  <w:tcW w:w="963" w:type="dxa"/>
                  <w:vMerge w:val="restart"/>
                  <w:tcBorders>
                    <w:tl2br w:val="nil"/>
                    <w:tr2bl w:val="nil"/>
                  </w:tcBorders>
                  <w:noWrap w:val="0"/>
                  <w:vAlign w:val="center"/>
                </w:tcPr>
                <w:p w14:paraId="75C343D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油库</w:t>
                  </w:r>
                </w:p>
              </w:tc>
              <w:tc>
                <w:tcPr>
                  <w:tcW w:w="885" w:type="dxa"/>
                  <w:tcBorders>
                    <w:tl2br w:val="nil"/>
                    <w:tr2bl w:val="nil"/>
                  </w:tcBorders>
                  <w:noWrap w:val="0"/>
                  <w:vAlign w:val="center"/>
                </w:tcPr>
                <w:p w14:paraId="1A62AB5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0.85</w:t>
                  </w:r>
                </w:p>
              </w:tc>
            </w:tr>
            <w:tr w14:paraId="0F8F9C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tcBorders>
                    <w:tl2br w:val="nil"/>
                    <w:tr2bl w:val="nil"/>
                  </w:tcBorders>
                  <w:noWrap w:val="0"/>
                  <w:vAlign w:val="center"/>
                </w:tcPr>
                <w:p w14:paraId="4FF4375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13</w:t>
                  </w:r>
                </w:p>
              </w:tc>
              <w:tc>
                <w:tcPr>
                  <w:tcW w:w="1509" w:type="dxa"/>
                  <w:tcBorders>
                    <w:tl2br w:val="nil"/>
                    <w:tr2bl w:val="nil"/>
                  </w:tcBorders>
                  <w:noWrap w:val="0"/>
                  <w:vAlign w:val="center"/>
                </w:tcPr>
                <w:p w14:paraId="3E955CFC">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bCs/>
                      <w:snapToGrid w:val="0"/>
                      <w:color w:val="auto"/>
                      <w:sz w:val="22"/>
                      <w:szCs w:val="22"/>
                    </w:rPr>
                    <w:t>液压油</w:t>
                  </w:r>
                </w:p>
              </w:tc>
              <w:tc>
                <w:tcPr>
                  <w:tcW w:w="931" w:type="dxa"/>
                  <w:tcBorders>
                    <w:tl2br w:val="nil"/>
                    <w:tr2bl w:val="nil"/>
                  </w:tcBorders>
                  <w:noWrap w:val="0"/>
                  <w:vAlign w:val="center"/>
                </w:tcPr>
                <w:p w14:paraId="6B7966C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bidi="ar-SA"/>
                    </w:rPr>
                    <w:t>0.2</w:t>
                  </w:r>
                </w:p>
              </w:tc>
              <w:tc>
                <w:tcPr>
                  <w:tcW w:w="1933" w:type="dxa"/>
                  <w:gridSpan w:val="2"/>
                  <w:tcBorders>
                    <w:tl2br w:val="nil"/>
                    <w:tr2bl w:val="nil"/>
                  </w:tcBorders>
                  <w:noWrap w:val="0"/>
                  <w:vAlign w:val="center"/>
                </w:tcPr>
                <w:p w14:paraId="0934EF0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2</w:t>
                  </w:r>
                </w:p>
              </w:tc>
              <w:tc>
                <w:tcPr>
                  <w:tcW w:w="1344" w:type="dxa"/>
                  <w:tcBorders>
                    <w:tl2br w:val="nil"/>
                    <w:tr2bl w:val="nil"/>
                  </w:tcBorders>
                  <w:noWrap w:val="0"/>
                  <w:vAlign w:val="center"/>
                </w:tcPr>
                <w:p w14:paraId="3E02067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桶装，170kg/桶</w:t>
                  </w:r>
                </w:p>
              </w:tc>
              <w:tc>
                <w:tcPr>
                  <w:tcW w:w="963" w:type="dxa"/>
                  <w:vMerge w:val="continue"/>
                  <w:tcBorders>
                    <w:tl2br w:val="nil"/>
                    <w:tr2bl w:val="nil"/>
                  </w:tcBorders>
                  <w:noWrap w:val="0"/>
                  <w:vAlign w:val="center"/>
                </w:tcPr>
                <w:p w14:paraId="6448439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85" w:type="dxa"/>
                  <w:tcBorders>
                    <w:tl2br w:val="nil"/>
                    <w:tr2bl w:val="nil"/>
                  </w:tcBorders>
                  <w:noWrap w:val="0"/>
                  <w:vAlign w:val="center"/>
                </w:tcPr>
                <w:p w14:paraId="22EAAF2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0.85</w:t>
                  </w:r>
                </w:p>
              </w:tc>
            </w:tr>
            <w:tr w14:paraId="7B5EC1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tcBorders>
                    <w:tl2br w:val="nil"/>
                    <w:tr2bl w:val="nil"/>
                  </w:tcBorders>
                  <w:noWrap w:val="0"/>
                  <w:vAlign w:val="center"/>
                </w:tcPr>
                <w:p w14:paraId="411B569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14</w:t>
                  </w:r>
                </w:p>
              </w:tc>
              <w:tc>
                <w:tcPr>
                  <w:tcW w:w="1509" w:type="dxa"/>
                  <w:tcBorders>
                    <w:tl2br w:val="nil"/>
                    <w:tr2bl w:val="nil"/>
                  </w:tcBorders>
                  <w:noWrap w:val="0"/>
                  <w:vAlign w:val="center"/>
                </w:tcPr>
                <w:p w14:paraId="2418B98B">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bCs/>
                      <w:snapToGrid w:val="0"/>
                      <w:color w:val="auto"/>
                      <w:sz w:val="22"/>
                      <w:szCs w:val="22"/>
                    </w:rPr>
                    <w:t>柴油</w:t>
                  </w:r>
                </w:p>
              </w:tc>
              <w:tc>
                <w:tcPr>
                  <w:tcW w:w="931" w:type="dxa"/>
                  <w:tcBorders>
                    <w:tl2br w:val="nil"/>
                    <w:tr2bl w:val="nil"/>
                  </w:tcBorders>
                  <w:noWrap w:val="0"/>
                  <w:vAlign w:val="center"/>
                </w:tcPr>
                <w:p w14:paraId="57A907F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bidi="ar-SA"/>
                    </w:rPr>
                    <w:t>20</w:t>
                  </w:r>
                </w:p>
              </w:tc>
              <w:tc>
                <w:tcPr>
                  <w:tcW w:w="1933" w:type="dxa"/>
                  <w:gridSpan w:val="2"/>
                  <w:tcBorders>
                    <w:tl2br w:val="nil"/>
                    <w:tr2bl w:val="nil"/>
                  </w:tcBorders>
                  <w:noWrap w:val="0"/>
                  <w:vAlign w:val="center"/>
                </w:tcPr>
                <w:p w14:paraId="099288E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18</w:t>
                  </w:r>
                </w:p>
              </w:tc>
              <w:tc>
                <w:tcPr>
                  <w:tcW w:w="1344" w:type="dxa"/>
                  <w:tcBorders>
                    <w:tl2br w:val="nil"/>
                    <w:tr2bl w:val="nil"/>
                  </w:tcBorders>
                  <w:noWrap w:val="0"/>
                  <w:vAlign w:val="center"/>
                </w:tcPr>
                <w:p w14:paraId="4AF29CF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桶装，170kg/桶</w:t>
                  </w:r>
                </w:p>
              </w:tc>
              <w:tc>
                <w:tcPr>
                  <w:tcW w:w="963" w:type="dxa"/>
                  <w:vMerge w:val="continue"/>
                  <w:tcBorders>
                    <w:tl2br w:val="nil"/>
                    <w:tr2bl w:val="nil"/>
                  </w:tcBorders>
                  <w:noWrap w:val="0"/>
                  <w:vAlign w:val="center"/>
                </w:tcPr>
                <w:p w14:paraId="69863A3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85" w:type="dxa"/>
                  <w:tcBorders>
                    <w:tl2br w:val="nil"/>
                    <w:tr2bl w:val="nil"/>
                  </w:tcBorders>
                  <w:noWrap w:val="0"/>
                  <w:vAlign w:val="center"/>
                </w:tcPr>
                <w:p w14:paraId="4020B22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0.85</w:t>
                  </w:r>
                </w:p>
              </w:tc>
            </w:tr>
            <w:tr w14:paraId="29BCD3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tcBorders>
                    <w:tl2br w:val="nil"/>
                    <w:tr2bl w:val="nil"/>
                  </w:tcBorders>
                  <w:noWrap w:val="0"/>
                  <w:vAlign w:val="center"/>
                </w:tcPr>
                <w:p w14:paraId="6A60C5F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15</w:t>
                  </w:r>
                </w:p>
              </w:tc>
              <w:tc>
                <w:tcPr>
                  <w:tcW w:w="1509" w:type="dxa"/>
                  <w:tcBorders>
                    <w:tl2br w:val="nil"/>
                    <w:tr2bl w:val="nil"/>
                  </w:tcBorders>
                  <w:noWrap w:val="0"/>
                  <w:vAlign w:val="center"/>
                </w:tcPr>
                <w:p w14:paraId="0CBFC042">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color w:val="auto"/>
                      <w:sz w:val="22"/>
                      <w:szCs w:val="22"/>
                    </w:rPr>
                    <w:t>切削液</w:t>
                  </w:r>
                </w:p>
              </w:tc>
              <w:tc>
                <w:tcPr>
                  <w:tcW w:w="931" w:type="dxa"/>
                  <w:tcBorders>
                    <w:tl2br w:val="nil"/>
                    <w:tr2bl w:val="nil"/>
                  </w:tcBorders>
                  <w:noWrap w:val="0"/>
                  <w:vAlign w:val="center"/>
                </w:tcPr>
                <w:p w14:paraId="6C7151B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0.3</w:t>
                  </w:r>
                </w:p>
              </w:tc>
              <w:tc>
                <w:tcPr>
                  <w:tcW w:w="1933" w:type="dxa"/>
                  <w:gridSpan w:val="2"/>
                  <w:tcBorders>
                    <w:tl2br w:val="nil"/>
                    <w:tr2bl w:val="nil"/>
                  </w:tcBorders>
                  <w:noWrap w:val="0"/>
                  <w:vAlign w:val="center"/>
                </w:tcPr>
                <w:p w14:paraId="5CB7F2F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0.25</w:t>
                  </w:r>
                </w:p>
              </w:tc>
              <w:tc>
                <w:tcPr>
                  <w:tcW w:w="1344" w:type="dxa"/>
                  <w:tcBorders>
                    <w:tl2br w:val="nil"/>
                    <w:tr2bl w:val="nil"/>
                  </w:tcBorders>
                  <w:noWrap w:val="0"/>
                  <w:vAlign w:val="center"/>
                </w:tcPr>
                <w:p w14:paraId="068DD2B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桶装，170kg/桶</w:t>
                  </w:r>
                </w:p>
              </w:tc>
              <w:tc>
                <w:tcPr>
                  <w:tcW w:w="963" w:type="dxa"/>
                  <w:vMerge w:val="continue"/>
                  <w:tcBorders>
                    <w:tl2br w:val="nil"/>
                    <w:tr2bl w:val="nil"/>
                  </w:tcBorders>
                  <w:noWrap w:val="0"/>
                  <w:vAlign w:val="center"/>
                </w:tcPr>
                <w:p w14:paraId="6BF0D2E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85" w:type="dxa"/>
                  <w:tcBorders>
                    <w:tl2br w:val="nil"/>
                    <w:tr2bl w:val="nil"/>
                  </w:tcBorders>
                  <w:noWrap w:val="0"/>
                  <w:vAlign w:val="center"/>
                </w:tcPr>
                <w:p w14:paraId="47CFC68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0.17</w:t>
                  </w:r>
                </w:p>
              </w:tc>
            </w:tr>
            <w:tr w14:paraId="1C2A6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tcBorders>
                    <w:tl2br w:val="nil"/>
                    <w:tr2bl w:val="nil"/>
                  </w:tcBorders>
                  <w:noWrap w:val="0"/>
                  <w:vAlign w:val="center"/>
                </w:tcPr>
                <w:p w14:paraId="5A0281A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16</w:t>
                  </w:r>
                </w:p>
              </w:tc>
              <w:tc>
                <w:tcPr>
                  <w:tcW w:w="1509" w:type="dxa"/>
                  <w:tcBorders>
                    <w:tl2br w:val="nil"/>
                    <w:tr2bl w:val="nil"/>
                  </w:tcBorders>
                  <w:noWrap w:val="0"/>
                  <w:vAlign w:val="center"/>
                </w:tcPr>
                <w:p w14:paraId="1DD4DE4E">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snapToGrid w:val="0"/>
                      <w:color w:val="auto"/>
                      <w:sz w:val="22"/>
                      <w:szCs w:val="22"/>
                    </w:rPr>
                  </w:pPr>
                  <w:r>
                    <w:rPr>
                      <w:rFonts w:hint="default" w:ascii="Times New Roman" w:hAnsi="Times New Roman" w:eastAsia="宋体" w:cs="Times New Roman"/>
                      <w:bCs/>
                      <w:snapToGrid w:val="0"/>
                      <w:color w:val="auto"/>
                      <w:sz w:val="22"/>
                      <w:szCs w:val="22"/>
                    </w:rPr>
                    <w:t>天然气</w:t>
                  </w:r>
                </w:p>
                <w:p w14:paraId="4C0366C9">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bCs/>
                      <w:snapToGrid w:val="0"/>
                      <w:color w:val="auto"/>
                      <w:sz w:val="22"/>
                      <w:szCs w:val="22"/>
                      <w:lang w:eastAsia="zh-CN"/>
                    </w:rPr>
                    <w:t>（</w:t>
                  </w:r>
                  <w:r>
                    <w:rPr>
                      <w:rFonts w:hint="default" w:ascii="Times New Roman" w:hAnsi="Times New Roman" w:eastAsia="宋体" w:cs="Times New Roman"/>
                      <w:bCs/>
                      <w:snapToGrid w:val="0"/>
                      <w:color w:val="auto"/>
                      <w:sz w:val="22"/>
                      <w:szCs w:val="22"/>
                      <w:lang w:val="en-US" w:eastAsia="zh-CN"/>
                    </w:rPr>
                    <w:t>万</w:t>
                  </w:r>
                  <w:r>
                    <w:rPr>
                      <w:rFonts w:hint="default" w:ascii="Times New Roman" w:hAnsi="Times New Roman" w:eastAsia="宋体" w:cs="Times New Roman"/>
                      <w:snapToGrid w:val="0"/>
                      <w:color w:val="auto"/>
                      <w:kern w:val="0"/>
                      <w:sz w:val="22"/>
                      <w:szCs w:val="22"/>
                      <w:lang w:val="en-US" w:eastAsia="zh-CN"/>
                    </w:rPr>
                    <w:t>m</w:t>
                  </w:r>
                  <w:r>
                    <w:rPr>
                      <w:rFonts w:hint="default" w:ascii="Times New Roman" w:hAnsi="Times New Roman" w:eastAsia="宋体" w:cs="Times New Roman"/>
                      <w:snapToGrid w:val="0"/>
                      <w:color w:val="auto"/>
                      <w:kern w:val="0"/>
                      <w:sz w:val="22"/>
                      <w:szCs w:val="22"/>
                      <w:vertAlign w:val="superscript"/>
                      <w:lang w:val="en-US" w:eastAsia="zh-CN"/>
                    </w:rPr>
                    <w:t>3</w:t>
                  </w:r>
                  <w:r>
                    <w:rPr>
                      <w:rFonts w:hint="default" w:ascii="Times New Roman" w:hAnsi="Times New Roman" w:eastAsia="宋体" w:cs="Times New Roman"/>
                      <w:bCs/>
                      <w:snapToGrid w:val="0"/>
                      <w:color w:val="auto"/>
                      <w:sz w:val="22"/>
                      <w:szCs w:val="22"/>
                      <w:lang w:eastAsia="zh-CN"/>
                    </w:rPr>
                    <w:t>）</w:t>
                  </w:r>
                </w:p>
              </w:tc>
              <w:tc>
                <w:tcPr>
                  <w:tcW w:w="931" w:type="dxa"/>
                  <w:tcBorders>
                    <w:tl2br w:val="nil"/>
                    <w:tr2bl w:val="nil"/>
                  </w:tcBorders>
                  <w:noWrap w:val="0"/>
                  <w:vAlign w:val="center"/>
                </w:tcPr>
                <w:p w14:paraId="6F1AE7B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bidi="ar-SA"/>
                    </w:rPr>
                    <w:t>281.72</w:t>
                  </w:r>
                </w:p>
              </w:tc>
              <w:tc>
                <w:tcPr>
                  <w:tcW w:w="1933" w:type="dxa"/>
                  <w:gridSpan w:val="2"/>
                  <w:tcBorders>
                    <w:tl2br w:val="nil"/>
                    <w:tr2bl w:val="nil"/>
                  </w:tcBorders>
                  <w:noWrap w:val="0"/>
                  <w:vAlign w:val="center"/>
                </w:tcPr>
                <w:p w14:paraId="4418D08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610.5</w:t>
                  </w:r>
                </w:p>
              </w:tc>
              <w:tc>
                <w:tcPr>
                  <w:tcW w:w="1344" w:type="dxa"/>
                  <w:tcBorders>
                    <w:tl2br w:val="nil"/>
                    <w:tr2bl w:val="nil"/>
                  </w:tcBorders>
                  <w:noWrap w:val="0"/>
                  <w:vAlign w:val="center"/>
                </w:tcPr>
                <w:p w14:paraId="7123B5A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c>
                <w:tcPr>
                  <w:tcW w:w="963" w:type="dxa"/>
                  <w:vMerge w:val="restart"/>
                  <w:tcBorders>
                    <w:tl2br w:val="nil"/>
                    <w:tr2bl w:val="nil"/>
                  </w:tcBorders>
                  <w:noWrap w:val="0"/>
                  <w:vAlign w:val="center"/>
                </w:tcPr>
                <w:p w14:paraId="2CEF39E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不暂存</w:t>
                  </w:r>
                </w:p>
              </w:tc>
              <w:tc>
                <w:tcPr>
                  <w:tcW w:w="885" w:type="dxa"/>
                  <w:tcBorders>
                    <w:tl2br w:val="nil"/>
                    <w:tr2bl w:val="nil"/>
                  </w:tcBorders>
                  <w:noWrap w:val="0"/>
                  <w:vAlign w:val="center"/>
                </w:tcPr>
                <w:p w14:paraId="4DB1BFD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r>
            <w:tr w14:paraId="220AC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tcBorders>
                    <w:tl2br w:val="nil"/>
                    <w:tr2bl w:val="nil"/>
                  </w:tcBorders>
                  <w:noWrap w:val="0"/>
                  <w:vAlign w:val="center"/>
                </w:tcPr>
                <w:p w14:paraId="558FB90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bidi="ar-SA"/>
                    </w:rPr>
                    <w:t>17</w:t>
                  </w:r>
                </w:p>
              </w:tc>
              <w:tc>
                <w:tcPr>
                  <w:tcW w:w="1509" w:type="dxa"/>
                  <w:tcBorders>
                    <w:tl2br w:val="nil"/>
                    <w:tr2bl w:val="nil"/>
                  </w:tcBorders>
                  <w:noWrap w:val="0"/>
                  <w:vAlign w:val="center"/>
                </w:tcPr>
                <w:p w14:paraId="2D93B2AA">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bCs/>
                      <w:snapToGrid w:val="0"/>
                      <w:color w:val="auto"/>
                      <w:sz w:val="22"/>
                      <w:szCs w:val="22"/>
                    </w:rPr>
                    <w:t>水</w:t>
                  </w:r>
                  <w:r>
                    <w:rPr>
                      <w:rFonts w:hint="default" w:ascii="Times New Roman" w:hAnsi="Times New Roman" w:eastAsia="宋体" w:cs="Times New Roman"/>
                      <w:bCs/>
                      <w:snapToGrid w:val="0"/>
                      <w:color w:val="auto"/>
                      <w:sz w:val="22"/>
                      <w:szCs w:val="22"/>
                      <w:lang w:eastAsia="zh-CN"/>
                    </w:rPr>
                    <w:t>（</w:t>
                  </w:r>
                  <w:r>
                    <w:rPr>
                      <w:rFonts w:hint="default" w:ascii="Times New Roman" w:hAnsi="Times New Roman" w:eastAsia="宋体" w:cs="Times New Roman"/>
                      <w:bCs/>
                      <w:snapToGrid w:val="0"/>
                      <w:color w:val="auto"/>
                      <w:sz w:val="22"/>
                      <w:szCs w:val="22"/>
                      <w:lang w:val="en-US" w:eastAsia="zh-CN"/>
                    </w:rPr>
                    <w:t>万m</w:t>
                  </w:r>
                  <w:r>
                    <w:rPr>
                      <w:rFonts w:hint="default" w:ascii="Times New Roman" w:hAnsi="Times New Roman" w:eastAsia="宋体" w:cs="Times New Roman"/>
                      <w:bCs/>
                      <w:snapToGrid w:val="0"/>
                      <w:color w:val="auto"/>
                      <w:sz w:val="22"/>
                      <w:szCs w:val="22"/>
                      <w:vertAlign w:val="superscript"/>
                      <w:lang w:val="en-US" w:eastAsia="zh-CN"/>
                    </w:rPr>
                    <w:t>3</w:t>
                  </w:r>
                  <w:r>
                    <w:rPr>
                      <w:rFonts w:hint="default" w:ascii="Times New Roman" w:hAnsi="Times New Roman" w:eastAsia="宋体" w:cs="Times New Roman"/>
                      <w:bCs/>
                      <w:snapToGrid w:val="0"/>
                      <w:color w:val="auto"/>
                      <w:sz w:val="22"/>
                      <w:szCs w:val="22"/>
                      <w:vertAlign w:val="baseline"/>
                      <w:lang w:val="en-US" w:eastAsia="zh-CN"/>
                    </w:rPr>
                    <w:t>/a</w:t>
                  </w:r>
                  <w:r>
                    <w:rPr>
                      <w:rFonts w:hint="default" w:ascii="Times New Roman" w:hAnsi="Times New Roman" w:eastAsia="宋体" w:cs="Times New Roman"/>
                      <w:bCs/>
                      <w:snapToGrid w:val="0"/>
                      <w:color w:val="auto"/>
                      <w:sz w:val="22"/>
                      <w:szCs w:val="22"/>
                      <w:lang w:eastAsia="zh-CN"/>
                    </w:rPr>
                    <w:t>）</w:t>
                  </w:r>
                </w:p>
              </w:tc>
              <w:tc>
                <w:tcPr>
                  <w:tcW w:w="931" w:type="dxa"/>
                  <w:tcBorders>
                    <w:tl2br w:val="nil"/>
                    <w:tr2bl w:val="nil"/>
                  </w:tcBorders>
                  <w:noWrap w:val="0"/>
                  <w:vAlign w:val="center"/>
                </w:tcPr>
                <w:p w14:paraId="1AAED57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bidi="ar-SA"/>
                    </w:rPr>
                    <w:t>11.655</w:t>
                  </w:r>
                </w:p>
              </w:tc>
              <w:tc>
                <w:tcPr>
                  <w:tcW w:w="1933" w:type="dxa"/>
                  <w:gridSpan w:val="2"/>
                  <w:tcBorders>
                    <w:tl2br w:val="nil"/>
                    <w:tr2bl w:val="nil"/>
                  </w:tcBorders>
                  <w:noWrap w:val="0"/>
                  <w:vAlign w:val="center"/>
                </w:tcPr>
                <w:p w14:paraId="623DF29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2.34</w:t>
                  </w:r>
                </w:p>
              </w:tc>
              <w:tc>
                <w:tcPr>
                  <w:tcW w:w="1344" w:type="dxa"/>
                  <w:tcBorders>
                    <w:tl2br w:val="nil"/>
                    <w:tr2bl w:val="nil"/>
                  </w:tcBorders>
                  <w:noWrap w:val="0"/>
                  <w:vAlign w:val="center"/>
                </w:tcPr>
                <w:p w14:paraId="7907288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c>
                <w:tcPr>
                  <w:tcW w:w="963" w:type="dxa"/>
                  <w:vMerge w:val="continue"/>
                  <w:tcBorders>
                    <w:tl2br w:val="nil"/>
                    <w:tr2bl w:val="nil"/>
                  </w:tcBorders>
                  <w:noWrap w:val="0"/>
                  <w:vAlign w:val="center"/>
                </w:tcPr>
                <w:p w14:paraId="0878690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85" w:type="dxa"/>
                  <w:tcBorders>
                    <w:tl2br w:val="nil"/>
                    <w:tr2bl w:val="nil"/>
                  </w:tcBorders>
                  <w:noWrap w:val="0"/>
                  <w:vAlign w:val="center"/>
                </w:tcPr>
                <w:p w14:paraId="7A30F63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r>
            <w:tr w14:paraId="56B5B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dxa"/>
                  <w:tcBorders>
                    <w:tl2br w:val="nil"/>
                    <w:tr2bl w:val="nil"/>
                  </w:tcBorders>
                  <w:noWrap w:val="0"/>
                  <w:vAlign w:val="center"/>
                </w:tcPr>
                <w:p w14:paraId="2D055C3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18</w:t>
                  </w:r>
                </w:p>
              </w:tc>
              <w:tc>
                <w:tcPr>
                  <w:tcW w:w="1509" w:type="dxa"/>
                  <w:tcBorders>
                    <w:tl2br w:val="nil"/>
                    <w:tr2bl w:val="nil"/>
                  </w:tcBorders>
                  <w:noWrap w:val="0"/>
                  <w:vAlign w:val="center"/>
                </w:tcPr>
                <w:p w14:paraId="4E5411DB">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bCs/>
                      <w:snapToGrid w:val="0"/>
                      <w:color w:val="auto"/>
                      <w:sz w:val="22"/>
                      <w:szCs w:val="22"/>
                    </w:rPr>
                    <w:t>电</w:t>
                  </w:r>
                  <w:r>
                    <w:rPr>
                      <w:rFonts w:hint="default" w:ascii="Times New Roman" w:hAnsi="Times New Roman" w:eastAsia="宋体" w:cs="Times New Roman"/>
                      <w:bCs/>
                      <w:snapToGrid w:val="0"/>
                      <w:color w:val="auto"/>
                      <w:sz w:val="22"/>
                      <w:szCs w:val="22"/>
                      <w:lang w:eastAsia="zh-CN"/>
                    </w:rPr>
                    <w:t>（</w:t>
                  </w:r>
                  <w:r>
                    <w:rPr>
                      <w:rFonts w:hint="default" w:ascii="Times New Roman" w:hAnsi="Times New Roman" w:eastAsia="宋体" w:cs="Times New Roman"/>
                      <w:bCs/>
                      <w:snapToGrid w:val="0"/>
                      <w:color w:val="auto"/>
                      <w:sz w:val="22"/>
                      <w:szCs w:val="22"/>
                      <w:lang w:val="en-US" w:eastAsia="zh-CN"/>
                    </w:rPr>
                    <w:t>万度/a</w:t>
                  </w:r>
                  <w:r>
                    <w:rPr>
                      <w:rFonts w:hint="default" w:ascii="Times New Roman" w:hAnsi="Times New Roman" w:eastAsia="宋体" w:cs="Times New Roman"/>
                      <w:bCs/>
                      <w:snapToGrid w:val="0"/>
                      <w:color w:val="auto"/>
                      <w:sz w:val="22"/>
                      <w:szCs w:val="22"/>
                      <w:lang w:eastAsia="zh-CN"/>
                    </w:rPr>
                    <w:t>）</w:t>
                  </w:r>
                </w:p>
              </w:tc>
              <w:tc>
                <w:tcPr>
                  <w:tcW w:w="931" w:type="dxa"/>
                  <w:tcBorders>
                    <w:tl2br w:val="nil"/>
                    <w:tr2bl w:val="nil"/>
                  </w:tcBorders>
                  <w:noWrap w:val="0"/>
                  <w:vAlign w:val="center"/>
                </w:tcPr>
                <w:p w14:paraId="3D21966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bidi="ar-SA"/>
                    </w:rPr>
                    <w:t>502</w:t>
                  </w:r>
                </w:p>
              </w:tc>
              <w:tc>
                <w:tcPr>
                  <w:tcW w:w="1933" w:type="dxa"/>
                  <w:gridSpan w:val="2"/>
                  <w:tcBorders>
                    <w:tl2br w:val="nil"/>
                    <w:tr2bl w:val="nil"/>
                  </w:tcBorders>
                  <w:noWrap w:val="0"/>
                  <w:vAlign w:val="center"/>
                </w:tcPr>
                <w:p w14:paraId="7BC7EDC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853</w:t>
                  </w:r>
                </w:p>
              </w:tc>
              <w:tc>
                <w:tcPr>
                  <w:tcW w:w="1344" w:type="dxa"/>
                  <w:tcBorders>
                    <w:tl2br w:val="nil"/>
                    <w:tr2bl w:val="nil"/>
                  </w:tcBorders>
                  <w:noWrap w:val="0"/>
                  <w:vAlign w:val="center"/>
                </w:tcPr>
                <w:p w14:paraId="1D1DD48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c>
                <w:tcPr>
                  <w:tcW w:w="963" w:type="dxa"/>
                  <w:vMerge w:val="continue"/>
                  <w:tcBorders>
                    <w:tl2br w:val="nil"/>
                    <w:tr2bl w:val="nil"/>
                  </w:tcBorders>
                  <w:noWrap w:val="0"/>
                  <w:vAlign w:val="center"/>
                </w:tcPr>
                <w:p w14:paraId="190E96D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85" w:type="dxa"/>
                  <w:tcBorders>
                    <w:tl2br w:val="nil"/>
                    <w:tr2bl w:val="nil"/>
                  </w:tcBorders>
                  <w:noWrap w:val="0"/>
                  <w:vAlign w:val="center"/>
                </w:tcPr>
                <w:p w14:paraId="4910FFE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r>
          </w:tbl>
          <w:p w14:paraId="59F666FF">
            <w:pPr>
              <w:keepNext w:val="0"/>
              <w:keepLines w:val="0"/>
              <w:pageBreakBefore w:val="0"/>
              <w:widowControl w:val="0"/>
              <w:kinsoku/>
              <w:wordWrap/>
              <w:overflowPunct/>
              <w:topLinePunct w:val="0"/>
              <w:autoSpaceDE/>
              <w:autoSpaceDN/>
              <w:bidi w:val="0"/>
              <w:adjustRightInd/>
              <w:snapToGrid/>
              <w:spacing w:line="460" w:lineRule="exact"/>
              <w:ind w:firstLine="520" w:firstLineChars="200"/>
              <w:contextualSpacing/>
              <w:jc w:val="both"/>
              <w:textAlignment w:val="auto"/>
              <w:rPr>
                <w:rFonts w:hint="eastAsia" w:ascii="Times New Roman" w:hAnsi="Times New Roman" w:eastAsia="宋体" w:cs="Times New Roman"/>
                <w:color w:val="auto"/>
                <w:sz w:val="26"/>
                <w:szCs w:val="26"/>
                <w:highlight w:val="none"/>
                <w:lang w:val="en-US" w:eastAsia="zh-CN"/>
              </w:rPr>
            </w:pPr>
          </w:p>
          <w:p w14:paraId="1A87F384">
            <w:pPr>
              <w:keepNext w:val="0"/>
              <w:keepLines w:val="0"/>
              <w:pageBreakBefore w:val="0"/>
              <w:widowControl w:val="0"/>
              <w:kinsoku/>
              <w:wordWrap/>
              <w:overflowPunct/>
              <w:topLinePunct w:val="0"/>
              <w:autoSpaceDE/>
              <w:autoSpaceDN/>
              <w:bidi w:val="0"/>
              <w:adjustRightInd/>
              <w:snapToGrid/>
              <w:spacing w:line="460" w:lineRule="exact"/>
              <w:ind w:firstLine="520" w:firstLineChars="200"/>
              <w:contextualSpacing/>
              <w:jc w:val="both"/>
              <w:textAlignment w:val="auto"/>
              <w:rPr>
                <w:rFonts w:hint="default"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扩建完成后全厂主要原辅材料及</w:t>
            </w:r>
            <w:r>
              <w:rPr>
                <w:rFonts w:hint="default" w:ascii="Times New Roman" w:hAnsi="Times New Roman" w:eastAsia="宋体" w:cs="Times New Roman"/>
                <w:color w:val="auto"/>
                <w:sz w:val="26"/>
                <w:szCs w:val="26"/>
                <w:highlight w:val="none"/>
                <w:lang w:val="en-US" w:eastAsia="zh-CN"/>
              </w:rPr>
              <w:t>能源消耗见</w:t>
            </w:r>
            <w:r>
              <w:rPr>
                <w:rFonts w:hint="eastAsia" w:ascii="Times New Roman" w:hAnsi="Times New Roman" w:eastAsia="宋体" w:cs="Times New Roman"/>
                <w:color w:val="auto"/>
                <w:sz w:val="26"/>
                <w:szCs w:val="26"/>
                <w:highlight w:val="none"/>
                <w:lang w:val="en-US" w:eastAsia="zh-CN"/>
              </w:rPr>
              <w:t>下表</w:t>
            </w:r>
            <w:r>
              <w:rPr>
                <w:rFonts w:hint="default" w:ascii="Times New Roman" w:hAnsi="Times New Roman" w:eastAsia="宋体" w:cs="Times New Roman"/>
                <w:color w:val="auto"/>
                <w:sz w:val="26"/>
                <w:szCs w:val="26"/>
                <w:highlight w:val="none"/>
                <w:lang w:val="en-US" w:eastAsia="zh-CN"/>
              </w:rPr>
              <w:t>。</w:t>
            </w:r>
          </w:p>
          <w:p w14:paraId="0CC07527">
            <w:pPr>
              <w:keepNext w:val="0"/>
              <w:keepLines w:val="0"/>
              <w:pageBreakBefore w:val="0"/>
              <w:widowControl w:val="0"/>
              <w:kinsoku/>
              <w:wordWrap/>
              <w:overflowPunct/>
              <w:topLinePunct w:val="0"/>
              <w:autoSpaceDE/>
              <w:autoSpaceDN/>
              <w:bidi w:val="0"/>
              <w:spacing w:line="460" w:lineRule="exact"/>
              <w:contextualSpacing/>
              <w:jc w:val="center"/>
              <w:textAlignment w:val="auto"/>
              <w:rPr>
                <w:rFonts w:hint="default" w:ascii="Times New Roman" w:hAnsi="Times New Roman" w:eastAsia="宋体" w:cs="Times New Roman"/>
                <w:b/>
                <w:bCs/>
                <w:color w:val="auto"/>
                <w:sz w:val="26"/>
                <w:szCs w:val="26"/>
                <w:highlight w:val="none"/>
                <w:lang w:val="en-US" w:eastAsia="zh-CN"/>
              </w:rPr>
            </w:pPr>
            <w:r>
              <w:rPr>
                <w:rFonts w:hint="default" w:ascii="Times New Roman" w:hAnsi="Times New Roman" w:eastAsia="宋体" w:cs="Times New Roman"/>
                <w:b/>
                <w:bCs/>
                <w:color w:val="auto"/>
                <w:sz w:val="26"/>
                <w:szCs w:val="26"/>
                <w:highlight w:val="none"/>
              </w:rPr>
              <w:t>表</w:t>
            </w:r>
            <w:r>
              <w:rPr>
                <w:rFonts w:hint="eastAsia" w:ascii="Times New Roman" w:hAnsi="Times New Roman" w:eastAsia="宋体" w:cs="Times New Roman"/>
                <w:b/>
                <w:bCs/>
                <w:color w:val="auto"/>
                <w:sz w:val="26"/>
                <w:szCs w:val="26"/>
                <w:highlight w:val="none"/>
                <w:lang w:val="en-US" w:eastAsia="zh-CN"/>
              </w:rPr>
              <w:t>2.6-2</w:t>
            </w:r>
            <w:r>
              <w:rPr>
                <w:rFonts w:hint="default" w:ascii="Times New Roman" w:hAnsi="Times New Roman" w:eastAsia="宋体" w:cs="Times New Roman"/>
                <w:b/>
                <w:bCs/>
                <w:color w:val="auto"/>
                <w:sz w:val="26"/>
                <w:szCs w:val="26"/>
                <w:highlight w:val="none"/>
              </w:rPr>
              <w:t xml:space="preserve">  主要原辅材料及能源消耗一览表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6"/>
              <w:gridCol w:w="1298"/>
              <w:gridCol w:w="937"/>
              <w:gridCol w:w="1055"/>
              <w:gridCol w:w="907"/>
              <w:gridCol w:w="1050"/>
              <w:gridCol w:w="753"/>
              <w:gridCol w:w="838"/>
              <w:gridCol w:w="772"/>
            </w:tblGrid>
            <w:tr w14:paraId="11B88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restart"/>
                  <w:tcBorders>
                    <w:tl2br w:val="nil"/>
                    <w:tr2bl w:val="nil"/>
                  </w:tcBorders>
                  <w:noWrap w:val="0"/>
                  <w:vAlign w:val="center"/>
                </w:tcPr>
                <w:p w14:paraId="0C00F27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序号</w:t>
                  </w:r>
                </w:p>
              </w:tc>
              <w:tc>
                <w:tcPr>
                  <w:tcW w:w="1298" w:type="dxa"/>
                  <w:vMerge w:val="restart"/>
                  <w:tcBorders>
                    <w:tl2br w:val="nil"/>
                    <w:tr2bl w:val="nil"/>
                  </w:tcBorders>
                  <w:noWrap w:val="0"/>
                  <w:vAlign w:val="center"/>
                </w:tcPr>
                <w:p w14:paraId="5471EA6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名称</w:t>
                  </w:r>
                </w:p>
              </w:tc>
              <w:tc>
                <w:tcPr>
                  <w:tcW w:w="3949" w:type="dxa"/>
                  <w:gridSpan w:val="4"/>
                  <w:tcBorders>
                    <w:tl2br w:val="nil"/>
                    <w:tr2bl w:val="nil"/>
                  </w:tcBorders>
                  <w:noWrap w:val="0"/>
                  <w:vAlign w:val="center"/>
                </w:tcPr>
                <w:p w14:paraId="54D903B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年使用量</w:t>
                  </w:r>
                  <w:r>
                    <w:rPr>
                      <w:rFonts w:hint="eastAsia" w:ascii="Times New Roman" w:hAnsi="Times New Roman" w:eastAsia="宋体" w:cs="Times New Roman"/>
                      <w:snapToGrid w:val="0"/>
                      <w:color w:val="auto"/>
                      <w:kern w:val="0"/>
                      <w:sz w:val="22"/>
                      <w:szCs w:val="22"/>
                      <w:lang w:val="en-US" w:eastAsia="zh-CN"/>
                    </w:rPr>
                    <w:t>t/a</w:t>
                  </w:r>
                </w:p>
              </w:tc>
              <w:tc>
                <w:tcPr>
                  <w:tcW w:w="753" w:type="dxa"/>
                  <w:vMerge w:val="restart"/>
                  <w:tcBorders>
                    <w:tl2br w:val="nil"/>
                    <w:tr2bl w:val="nil"/>
                  </w:tcBorders>
                  <w:noWrap w:val="0"/>
                  <w:vAlign w:val="center"/>
                </w:tcPr>
                <w:p w14:paraId="2CB9466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包装规格</w:t>
                  </w:r>
                </w:p>
              </w:tc>
              <w:tc>
                <w:tcPr>
                  <w:tcW w:w="838" w:type="dxa"/>
                  <w:vMerge w:val="restart"/>
                  <w:tcBorders>
                    <w:tl2br w:val="nil"/>
                    <w:tr2bl w:val="nil"/>
                  </w:tcBorders>
                  <w:noWrap w:val="0"/>
                  <w:vAlign w:val="center"/>
                </w:tcPr>
                <w:p w14:paraId="28A456D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储存</w:t>
                  </w:r>
                </w:p>
                <w:p w14:paraId="14FDC7B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位置</w:t>
                  </w:r>
                </w:p>
              </w:tc>
              <w:tc>
                <w:tcPr>
                  <w:tcW w:w="772" w:type="dxa"/>
                  <w:vMerge w:val="restart"/>
                  <w:tcBorders>
                    <w:tl2br w:val="nil"/>
                    <w:tr2bl w:val="nil"/>
                  </w:tcBorders>
                  <w:noWrap w:val="0"/>
                  <w:vAlign w:val="center"/>
                </w:tcPr>
                <w:p w14:paraId="7294F87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最大储存规模/t</w:t>
                  </w:r>
                </w:p>
              </w:tc>
            </w:tr>
            <w:tr w14:paraId="1B9D2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14:paraId="2628480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rPr>
                  </w:pPr>
                </w:p>
              </w:tc>
              <w:tc>
                <w:tcPr>
                  <w:tcW w:w="1298" w:type="dxa"/>
                  <w:vMerge w:val="continue"/>
                  <w:tcBorders>
                    <w:tl2br w:val="nil"/>
                    <w:tr2bl w:val="nil"/>
                  </w:tcBorders>
                  <w:noWrap w:val="0"/>
                  <w:vAlign w:val="center"/>
                </w:tcPr>
                <w:p w14:paraId="693256C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rPr>
                  </w:pPr>
                </w:p>
              </w:tc>
              <w:tc>
                <w:tcPr>
                  <w:tcW w:w="1992" w:type="dxa"/>
                  <w:gridSpan w:val="2"/>
                  <w:tcBorders>
                    <w:tl2br w:val="nil"/>
                    <w:tr2bl w:val="nil"/>
                  </w:tcBorders>
                  <w:noWrap w:val="0"/>
                  <w:vAlign w:val="center"/>
                </w:tcPr>
                <w:p w14:paraId="5D169D3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现有项目</w:t>
                  </w:r>
                </w:p>
              </w:tc>
              <w:tc>
                <w:tcPr>
                  <w:tcW w:w="907" w:type="dxa"/>
                  <w:vMerge w:val="restart"/>
                  <w:tcBorders>
                    <w:tl2br w:val="nil"/>
                    <w:tr2bl w:val="nil"/>
                  </w:tcBorders>
                  <w:noWrap w:val="0"/>
                  <w:vAlign w:val="center"/>
                </w:tcPr>
                <w:p w14:paraId="1AB7CD9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本项目</w:t>
                  </w:r>
                </w:p>
              </w:tc>
              <w:tc>
                <w:tcPr>
                  <w:tcW w:w="1050" w:type="dxa"/>
                  <w:vMerge w:val="restart"/>
                  <w:tcBorders>
                    <w:tl2br w:val="nil"/>
                    <w:tr2bl w:val="nil"/>
                  </w:tcBorders>
                  <w:noWrap w:val="0"/>
                  <w:vAlign w:val="center"/>
                </w:tcPr>
                <w:p w14:paraId="73E9A6E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扩建后全厂</w:t>
                  </w:r>
                </w:p>
              </w:tc>
              <w:tc>
                <w:tcPr>
                  <w:tcW w:w="753" w:type="dxa"/>
                  <w:vMerge w:val="continue"/>
                  <w:tcBorders>
                    <w:tl2br w:val="nil"/>
                    <w:tr2bl w:val="nil"/>
                  </w:tcBorders>
                  <w:noWrap w:val="0"/>
                  <w:vAlign w:val="center"/>
                </w:tcPr>
                <w:p w14:paraId="582D82C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38" w:type="dxa"/>
                  <w:vMerge w:val="continue"/>
                  <w:tcBorders>
                    <w:tl2br w:val="nil"/>
                    <w:tr2bl w:val="nil"/>
                  </w:tcBorders>
                  <w:noWrap w:val="0"/>
                  <w:vAlign w:val="center"/>
                </w:tcPr>
                <w:p w14:paraId="52D9AF7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72" w:type="dxa"/>
                  <w:vMerge w:val="continue"/>
                  <w:tcBorders>
                    <w:tl2br w:val="nil"/>
                    <w:tr2bl w:val="nil"/>
                  </w:tcBorders>
                  <w:noWrap w:val="0"/>
                  <w:vAlign w:val="center"/>
                </w:tcPr>
                <w:p w14:paraId="7F57906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r>
            <w:tr w14:paraId="11B86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14:paraId="22AF8A5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rPr>
                  </w:pPr>
                </w:p>
              </w:tc>
              <w:tc>
                <w:tcPr>
                  <w:tcW w:w="1298" w:type="dxa"/>
                  <w:vMerge w:val="continue"/>
                  <w:tcBorders>
                    <w:tl2br w:val="nil"/>
                    <w:tr2bl w:val="nil"/>
                  </w:tcBorders>
                  <w:noWrap w:val="0"/>
                  <w:vAlign w:val="center"/>
                </w:tcPr>
                <w:p w14:paraId="15DFD0B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rPr>
                  </w:pPr>
                </w:p>
              </w:tc>
              <w:tc>
                <w:tcPr>
                  <w:tcW w:w="937" w:type="dxa"/>
                  <w:tcBorders>
                    <w:tl2br w:val="nil"/>
                    <w:tr2bl w:val="nil"/>
                  </w:tcBorders>
                  <w:noWrap w:val="0"/>
                  <w:vAlign w:val="center"/>
                </w:tcPr>
                <w:p w14:paraId="179015B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熔铸生产线</w:t>
                  </w:r>
                </w:p>
              </w:tc>
              <w:tc>
                <w:tcPr>
                  <w:tcW w:w="1055" w:type="dxa"/>
                  <w:tcBorders>
                    <w:tl2br w:val="nil"/>
                    <w:tr2bl w:val="nil"/>
                  </w:tcBorders>
                  <w:noWrap w:val="0"/>
                  <w:vAlign w:val="center"/>
                </w:tcPr>
                <w:p w14:paraId="6BEB5D1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智能化生产线</w:t>
                  </w:r>
                </w:p>
              </w:tc>
              <w:tc>
                <w:tcPr>
                  <w:tcW w:w="907" w:type="dxa"/>
                  <w:vMerge w:val="continue"/>
                  <w:tcBorders>
                    <w:tl2br w:val="nil"/>
                    <w:tr2bl w:val="nil"/>
                  </w:tcBorders>
                  <w:noWrap w:val="0"/>
                  <w:vAlign w:val="center"/>
                </w:tcPr>
                <w:p w14:paraId="75B6769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1050" w:type="dxa"/>
                  <w:vMerge w:val="continue"/>
                  <w:tcBorders>
                    <w:tl2br w:val="nil"/>
                    <w:tr2bl w:val="nil"/>
                  </w:tcBorders>
                  <w:noWrap w:val="0"/>
                  <w:vAlign w:val="center"/>
                </w:tcPr>
                <w:p w14:paraId="4ED7592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53" w:type="dxa"/>
                  <w:vMerge w:val="continue"/>
                  <w:tcBorders>
                    <w:tl2br w:val="nil"/>
                    <w:tr2bl w:val="nil"/>
                  </w:tcBorders>
                  <w:noWrap w:val="0"/>
                  <w:vAlign w:val="center"/>
                </w:tcPr>
                <w:p w14:paraId="48A7933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838" w:type="dxa"/>
                  <w:vMerge w:val="continue"/>
                  <w:tcBorders>
                    <w:tl2br w:val="nil"/>
                    <w:tr2bl w:val="nil"/>
                  </w:tcBorders>
                  <w:noWrap w:val="0"/>
                  <w:vAlign w:val="center"/>
                </w:tcPr>
                <w:p w14:paraId="4FAD9C6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72" w:type="dxa"/>
                  <w:vMerge w:val="continue"/>
                  <w:tcBorders>
                    <w:tl2br w:val="nil"/>
                    <w:tr2bl w:val="nil"/>
                  </w:tcBorders>
                  <w:noWrap w:val="0"/>
                  <w:vAlign w:val="center"/>
                </w:tcPr>
                <w:p w14:paraId="450BAD6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r>
            <w:tr w14:paraId="5C8AC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tcBorders>
                    <w:tl2br w:val="nil"/>
                    <w:tr2bl w:val="nil"/>
                  </w:tcBorders>
                  <w:noWrap w:val="0"/>
                  <w:vAlign w:val="center"/>
                </w:tcPr>
                <w:p w14:paraId="4C6C567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1</w:t>
                  </w:r>
                </w:p>
              </w:tc>
              <w:tc>
                <w:tcPr>
                  <w:tcW w:w="1298" w:type="dxa"/>
                  <w:tcBorders>
                    <w:tl2br w:val="nil"/>
                    <w:tr2bl w:val="nil"/>
                  </w:tcBorders>
                  <w:noWrap w:val="0"/>
                  <w:vAlign w:val="center"/>
                </w:tcPr>
                <w:p w14:paraId="055BD05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纯铝锭</w:t>
                  </w:r>
                </w:p>
              </w:tc>
              <w:tc>
                <w:tcPr>
                  <w:tcW w:w="937" w:type="dxa"/>
                  <w:tcBorders>
                    <w:tl2br w:val="nil"/>
                    <w:tr2bl w:val="nil"/>
                  </w:tcBorders>
                  <w:noWrap w:val="0"/>
                  <w:vAlign w:val="center"/>
                </w:tcPr>
                <w:p w14:paraId="671EF16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28889</w:t>
                  </w:r>
                </w:p>
              </w:tc>
              <w:tc>
                <w:tcPr>
                  <w:tcW w:w="1055" w:type="dxa"/>
                  <w:tcBorders>
                    <w:tl2br w:val="nil"/>
                    <w:tr2bl w:val="nil"/>
                  </w:tcBorders>
                  <w:noWrap w:val="0"/>
                  <w:vAlign w:val="center"/>
                </w:tcPr>
                <w:p w14:paraId="73FA4DC7">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33726.75</w:t>
                  </w:r>
                </w:p>
              </w:tc>
              <w:tc>
                <w:tcPr>
                  <w:tcW w:w="907" w:type="dxa"/>
                  <w:tcBorders>
                    <w:tl2br w:val="nil"/>
                    <w:tr2bl w:val="nil"/>
                  </w:tcBorders>
                  <w:noWrap w:val="0"/>
                  <w:vAlign w:val="center"/>
                </w:tcPr>
                <w:p w14:paraId="11D9E5C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1050" w:type="dxa"/>
                  <w:tcBorders>
                    <w:tl2br w:val="nil"/>
                    <w:tr2bl w:val="nil"/>
                  </w:tcBorders>
                  <w:noWrap w:val="0"/>
                  <w:vAlign w:val="center"/>
                </w:tcPr>
                <w:p w14:paraId="40AB02F0">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33726.75</w:t>
                  </w:r>
                </w:p>
              </w:tc>
              <w:tc>
                <w:tcPr>
                  <w:tcW w:w="753" w:type="dxa"/>
                  <w:tcBorders>
                    <w:tl2br w:val="nil"/>
                    <w:tr2bl w:val="nil"/>
                  </w:tcBorders>
                  <w:noWrap w:val="0"/>
                  <w:vAlign w:val="center"/>
                </w:tcPr>
                <w:p w14:paraId="3D01061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捆装</w:t>
                  </w:r>
                </w:p>
              </w:tc>
              <w:tc>
                <w:tcPr>
                  <w:tcW w:w="838" w:type="dxa"/>
                  <w:vMerge w:val="restart"/>
                  <w:tcBorders>
                    <w:tl2br w:val="nil"/>
                    <w:tr2bl w:val="nil"/>
                  </w:tcBorders>
                  <w:noWrap w:val="0"/>
                  <w:vAlign w:val="center"/>
                </w:tcPr>
                <w:p w14:paraId="1330070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原材料区、原料及成品区</w:t>
                  </w:r>
                </w:p>
              </w:tc>
              <w:tc>
                <w:tcPr>
                  <w:tcW w:w="772" w:type="dxa"/>
                  <w:tcBorders>
                    <w:tl2br w:val="nil"/>
                    <w:tr2bl w:val="nil"/>
                  </w:tcBorders>
                  <w:noWrap w:val="0"/>
                  <w:vAlign w:val="center"/>
                </w:tcPr>
                <w:p w14:paraId="10F398E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1000</w:t>
                  </w:r>
                </w:p>
              </w:tc>
            </w:tr>
            <w:tr w14:paraId="6B9AF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tcBorders>
                    <w:tl2br w:val="nil"/>
                    <w:tr2bl w:val="nil"/>
                  </w:tcBorders>
                  <w:noWrap w:val="0"/>
                  <w:vAlign w:val="center"/>
                </w:tcPr>
                <w:p w14:paraId="56997DC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2</w:t>
                  </w:r>
                </w:p>
              </w:tc>
              <w:tc>
                <w:tcPr>
                  <w:tcW w:w="1298" w:type="dxa"/>
                  <w:tcBorders>
                    <w:tl2br w:val="nil"/>
                    <w:tr2bl w:val="nil"/>
                  </w:tcBorders>
                  <w:noWrap w:val="0"/>
                  <w:vAlign w:val="center"/>
                </w:tcPr>
                <w:p w14:paraId="0DFB983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纯铝液</w:t>
                  </w:r>
                </w:p>
              </w:tc>
              <w:tc>
                <w:tcPr>
                  <w:tcW w:w="937" w:type="dxa"/>
                  <w:tcBorders>
                    <w:tl2br w:val="nil"/>
                    <w:tr2bl w:val="nil"/>
                  </w:tcBorders>
                  <w:noWrap w:val="0"/>
                  <w:vAlign w:val="center"/>
                </w:tcPr>
                <w:p w14:paraId="113F857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0</w:t>
                  </w:r>
                </w:p>
              </w:tc>
              <w:tc>
                <w:tcPr>
                  <w:tcW w:w="1055" w:type="dxa"/>
                  <w:tcBorders>
                    <w:tl2br w:val="nil"/>
                    <w:tr2bl w:val="nil"/>
                  </w:tcBorders>
                  <w:noWrap w:val="0"/>
                  <w:vAlign w:val="center"/>
                </w:tcPr>
                <w:p w14:paraId="690B50D7">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48795</w:t>
                  </w:r>
                </w:p>
              </w:tc>
              <w:tc>
                <w:tcPr>
                  <w:tcW w:w="907" w:type="dxa"/>
                  <w:tcBorders>
                    <w:tl2br w:val="nil"/>
                    <w:tr2bl w:val="nil"/>
                  </w:tcBorders>
                  <w:noWrap w:val="0"/>
                  <w:vAlign w:val="center"/>
                </w:tcPr>
                <w:p w14:paraId="7FE845C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53500</w:t>
                  </w:r>
                </w:p>
              </w:tc>
              <w:tc>
                <w:tcPr>
                  <w:tcW w:w="1050" w:type="dxa"/>
                  <w:tcBorders>
                    <w:tl2br w:val="nil"/>
                    <w:tr2bl w:val="nil"/>
                  </w:tcBorders>
                  <w:noWrap w:val="0"/>
                  <w:vAlign w:val="center"/>
                </w:tcPr>
                <w:p w14:paraId="47A3A083">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102295</w:t>
                  </w:r>
                </w:p>
              </w:tc>
              <w:tc>
                <w:tcPr>
                  <w:tcW w:w="753" w:type="dxa"/>
                  <w:tcBorders>
                    <w:tl2br w:val="nil"/>
                    <w:tr2bl w:val="nil"/>
                  </w:tcBorders>
                  <w:noWrap w:val="0"/>
                  <w:vAlign w:val="center"/>
                </w:tcPr>
                <w:p w14:paraId="4A2756E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c>
                <w:tcPr>
                  <w:tcW w:w="838" w:type="dxa"/>
                  <w:vMerge w:val="continue"/>
                  <w:tcBorders>
                    <w:tl2br w:val="nil"/>
                    <w:tr2bl w:val="nil"/>
                  </w:tcBorders>
                  <w:noWrap w:val="0"/>
                  <w:vAlign w:val="center"/>
                </w:tcPr>
                <w:p w14:paraId="6139318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72" w:type="dxa"/>
                  <w:tcBorders>
                    <w:tl2br w:val="nil"/>
                    <w:tr2bl w:val="nil"/>
                  </w:tcBorders>
                  <w:noWrap w:val="0"/>
                  <w:vAlign w:val="center"/>
                </w:tcPr>
                <w:p w14:paraId="1B3E7DC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r>
            <w:tr w14:paraId="108AE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tcBorders>
                    <w:tl2br w:val="nil"/>
                    <w:tr2bl w:val="nil"/>
                  </w:tcBorders>
                  <w:noWrap w:val="0"/>
                  <w:vAlign w:val="center"/>
                </w:tcPr>
                <w:p w14:paraId="07C2482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3</w:t>
                  </w:r>
                </w:p>
              </w:tc>
              <w:tc>
                <w:tcPr>
                  <w:tcW w:w="1298" w:type="dxa"/>
                  <w:tcBorders>
                    <w:tl2br w:val="nil"/>
                    <w:tr2bl w:val="nil"/>
                  </w:tcBorders>
                  <w:noWrap w:val="0"/>
                  <w:vAlign w:val="center"/>
                </w:tcPr>
                <w:p w14:paraId="7251920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合金铝锭</w:t>
                  </w:r>
                </w:p>
              </w:tc>
              <w:tc>
                <w:tcPr>
                  <w:tcW w:w="937" w:type="dxa"/>
                  <w:tcBorders>
                    <w:tl2br w:val="nil"/>
                    <w:tr2bl w:val="nil"/>
                  </w:tcBorders>
                  <w:noWrap w:val="0"/>
                  <w:vAlign w:val="center"/>
                </w:tcPr>
                <w:p w14:paraId="244498E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1072</w:t>
                  </w:r>
                </w:p>
              </w:tc>
              <w:tc>
                <w:tcPr>
                  <w:tcW w:w="1055" w:type="dxa"/>
                  <w:tcBorders>
                    <w:tl2br w:val="nil"/>
                    <w:tr2bl w:val="nil"/>
                  </w:tcBorders>
                  <w:noWrap w:val="0"/>
                  <w:vAlign w:val="center"/>
                </w:tcPr>
                <w:p w14:paraId="56188C25">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0</w:t>
                  </w:r>
                </w:p>
              </w:tc>
              <w:tc>
                <w:tcPr>
                  <w:tcW w:w="907" w:type="dxa"/>
                  <w:tcBorders>
                    <w:tl2br w:val="nil"/>
                    <w:tr2bl w:val="nil"/>
                  </w:tcBorders>
                  <w:noWrap w:val="0"/>
                  <w:vAlign w:val="center"/>
                </w:tcPr>
                <w:p w14:paraId="598AD20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1050" w:type="dxa"/>
                  <w:tcBorders>
                    <w:tl2br w:val="nil"/>
                    <w:tr2bl w:val="nil"/>
                  </w:tcBorders>
                  <w:noWrap w:val="0"/>
                  <w:vAlign w:val="center"/>
                </w:tcPr>
                <w:p w14:paraId="158471E6">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w:t>
                  </w:r>
                </w:p>
              </w:tc>
              <w:tc>
                <w:tcPr>
                  <w:tcW w:w="753" w:type="dxa"/>
                  <w:tcBorders>
                    <w:tl2br w:val="nil"/>
                    <w:tr2bl w:val="nil"/>
                  </w:tcBorders>
                  <w:noWrap w:val="0"/>
                  <w:vAlign w:val="center"/>
                </w:tcPr>
                <w:p w14:paraId="4997F7C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捆装</w:t>
                  </w:r>
                </w:p>
              </w:tc>
              <w:tc>
                <w:tcPr>
                  <w:tcW w:w="838" w:type="dxa"/>
                  <w:vMerge w:val="continue"/>
                  <w:tcBorders>
                    <w:tl2br w:val="nil"/>
                    <w:tr2bl w:val="nil"/>
                  </w:tcBorders>
                  <w:noWrap w:val="0"/>
                  <w:vAlign w:val="center"/>
                </w:tcPr>
                <w:p w14:paraId="7908054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72" w:type="dxa"/>
                  <w:tcBorders>
                    <w:tl2br w:val="nil"/>
                    <w:tr2bl w:val="nil"/>
                  </w:tcBorders>
                  <w:noWrap w:val="0"/>
                  <w:vAlign w:val="center"/>
                </w:tcPr>
                <w:p w14:paraId="1F171D9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w:t>
                  </w:r>
                </w:p>
              </w:tc>
            </w:tr>
            <w:tr w14:paraId="665C95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restart"/>
                  <w:tcBorders>
                    <w:tl2br w:val="nil"/>
                    <w:tr2bl w:val="nil"/>
                  </w:tcBorders>
                  <w:noWrap w:val="0"/>
                  <w:vAlign w:val="center"/>
                </w:tcPr>
                <w:p w14:paraId="07A3143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4</w:t>
                  </w:r>
                </w:p>
              </w:tc>
              <w:tc>
                <w:tcPr>
                  <w:tcW w:w="1298" w:type="dxa"/>
                  <w:tcBorders>
                    <w:tl2br w:val="nil"/>
                    <w:tr2bl w:val="nil"/>
                  </w:tcBorders>
                  <w:noWrap w:val="0"/>
                  <w:vAlign w:val="center"/>
                </w:tcPr>
                <w:p w14:paraId="7198B6C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color w:val="auto"/>
                      <w:sz w:val="22"/>
                      <w:szCs w:val="22"/>
                    </w:rPr>
                    <w:t>工业硅</w:t>
                  </w:r>
                </w:p>
              </w:tc>
              <w:tc>
                <w:tcPr>
                  <w:tcW w:w="937" w:type="dxa"/>
                  <w:vMerge w:val="restart"/>
                  <w:tcBorders>
                    <w:tl2br w:val="nil"/>
                    <w:tr2bl w:val="nil"/>
                  </w:tcBorders>
                  <w:noWrap w:val="0"/>
                  <w:vAlign w:val="center"/>
                </w:tcPr>
                <w:p w14:paraId="0EF9479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704.62</w:t>
                  </w:r>
                </w:p>
              </w:tc>
              <w:tc>
                <w:tcPr>
                  <w:tcW w:w="1055" w:type="dxa"/>
                  <w:tcBorders>
                    <w:tl2br w:val="nil"/>
                    <w:tr2bl w:val="nil"/>
                  </w:tcBorders>
                  <w:noWrap w:val="0"/>
                  <w:vAlign w:val="center"/>
                </w:tcPr>
                <w:p w14:paraId="74525BAB">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1737.6</w:t>
                  </w:r>
                </w:p>
              </w:tc>
              <w:tc>
                <w:tcPr>
                  <w:tcW w:w="907" w:type="dxa"/>
                  <w:tcBorders>
                    <w:tl2br w:val="nil"/>
                    <w:tr2bl w:val="nil"/>
                  </w:tcBorders>
                  <w:noWrap w:val="0"/>
                  <w:vAlign w:val="center"/>
                </w:tcPr>
                <w:p w14:paraId="3144BC92">
                  <w:pPr>
                    <w:keepNext w:val="0"/>
                    <w:keepLines w:val="0"/>
                    <w:widowControl/>
                    <w:suppressLineNumbers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1200</w:t>
                  </w:r>
                </w:p>
              </w:tc>
              <w:tc>
                <w:tcPr>
                  <w:tcW w:w="1050" w:type="dxa"/>
                  <w:tcBorders>
                    <w:tl2br w:val="nil"/>
                    <w:tr2bl w:val="nil"/>
                  </w:tcBorders>
                  <w:noWrap w:val="0"/>
                  <w:vAlign w:val="center"/>
                </w:tcPr>
                <w:p w14:paraId="472A4FF9">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2937.6</w:t>
                  </w:r>
                </w:p>
              </w:tc>
              <w:tc>
                <w:tcPr>
                  <w:tcW w:w="753" w:type="dxa"/>
                  <w:tcBorders>
                    <w:tl2br w:val="nil"/>
                    <w:tr2bl w:val="nil"/>
                  </w:tcBorders>
                  <w:noWrap w:val="0"/>
                  <w:vAlign w:val="center"/>
                </w:tcPr>
                <w:p w14:paraId="6265EA6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838" w:type="dxa"/>
                  <w:vMerge w:val="continue"/>
                  <w:tcBorders>
                    <w:tl2br w:val="nil"/>
                    <w:tr2bl w:val="nil"/>
                  </w:tcBorders>
                  <w:noWrap w:val="0"/>
                  <w:vAlign w:val="center"/>
                </w:tcPr>
                <w:p w14:paraId="413B686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72" w:type="dxa"/>
                  <w:tcBorders>
                    <w:tl2br w:val="nil"/>
                    <w:tr2bl w:val="nil"/>
                  </w:tcBorders>
                  <w:noWrap w:val="0"/>
                  <w:vAlign w:val="center"/>
                </w:tcPr>
                <w:p w14:paraId="1BC462B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46</w:t>
                  </w:r>
                </w:p>
              </w:tc>
            </w:tr>
            <w:tr w14:paraId="4FBE1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14:paraId="7C7B4DB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1298" w:type="dxa"/>
                  <w:tcBorders>
                    <w:tl2br w:val="nil"/>
                    <w:tr2bl w:val="nil"/>
                  </w:tcBorders>
                  <w:noWrap w:val="0"/>
                  <w:vAlign w:val="center"/>
                </w:tcPr>
                <w:p w14:paraId="2C3C1F86">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snapToGrid w:val="0"/>
                      <w:color w:val="auto"/>
                      <w:sz w:val="22"/>
                      <w:szCs w:val="22"/>
                    </w:rPr>
                  </w:pPr>
                  <w:r>
                    <w:rPr>
                      <w:rFonts w:hint="default" w:ascii="Times New Roman" w:hAnsi="Times New Roman" w:eastAsia="宋体" w:cs="Times New Roman"/>
                      <w:color w:val="auto"/>
                      <w:sz w:val="22"/>
                      <w:szCs w:val="22"/>
                      <w:lang w:val="en-US" w:eastAsia="zh-CN"/>
                    </w:rPr>
                    <w:t>纯</w:t>
                  </w:r>
                  <w:r>
                    <w:rPr>
                      <w:rFonts w:hint="default" w:ascii="Times New Roman" w:hAnsi="Times New Roman" w:eastAsia="宋体" w:cs="Times New Roman"/>
                      <w:color w:val="auto"/>
                      <w:sz w:val="22"/>
                      <w:szCs w:val="22"/>
                      <w:lang w:eastAsia="zh-CN"/>
                    </w:rPr>
                    <w:t>铁皮</w:t>
                  </w:r>
                </w:p>
              </w:tc>
              <w:tc>
                <w:tcPr>
                  <w:tcW w:w="937" w:type="dxa"/>
                  <w:vMerge w:val="continue"/>
                  <w:tcBorders>
                    <w:tl2br w:val="nil"/>
                    <w:tr2bl w:val="nil"/>
                  </w:tcBorders>
                  <w:noWrap w:val="0"/>
                  <w:vAlign w:val="center"/>
                </w:tcPr>
                <w:p w14:paraId="1E42A63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rPr>
                  </w:pPr>
                </w:p>
              </w:tc>
              <w:tc>
                <w:tcPr>
                  <w:tcW w:w="1055" w:type="dxa"/>
                  <w:tcBorders>
                    <w:tl2br w:val="nil"/>
                    <w:tr2bl w:val="nil"/>
                  </w:tcBorders>
                  <w:noWrap w:val="0"/>
                  <w:vAlign w:val="center"/>
                </w:tcPr>
                <w:p w14:paraId="78B2B9F1">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404.325</w:t>
                  </w:r>
                </w:p>
              </w:tc>
              <w:tc>
                <w:tcPr>
                  <w:tcW w:w="907" w:type="dxa"/>
                  <w:tcBorders>
                    <w:tl2br w:val="nil"/>
                    <w:tr2bl w:val="nil"/>
                  </w:tcBorders>
                  <w:noWrap w:val="0"/>
                  <w:vAlign w:val="center"/>
                </w:tcPr>
                <w:p w14:paraId="171F7F48">
                  <w:pPr>
                    <w:keepNext w:val="0"/>
                    <w:keepLines w:val="0"/>
                    <w:widowControl/>
                    <w:suppressLineNumbers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320</w:t>
                  </w:r>
                </w:p>
              </w:tc>
              <w:tc>
                <w:tcPr>
                  <w:tcW w:w="1050" w:type="dxa"/>
                  <w:tcBorders>
                    <w:tl2br w:val="nil"/>
                    <w:tr2bl w:val="nil"/>
                  </w:tcBorders>
                  <w:noWrap w:val="0"/>
                  <w:vAlign w:val="center"/>
                </w:tcPr>
                <w:p w14:paraId="701526CB">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724.325</w:t>
                  </w:r>
                </w:p>
              </w:tc>
              <w:tc>
                <w:tcPr>
                  <w:tcW w:w="753" w:type="dxa"/>
                  <w:tcBorders>
                    <w:tl2br w:val="nil"/>
                    <w:tr2bl w:val="nil"/>
                  </w:tcBorders>
                  <w:noWrap w:val="0"/>
                  <w:vAlign w:val="center"/>
                </w:tcPr>
                <w:p w14:paraId="6A8AAB7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838" w:type="dxa"/>
                  <w:vMerge w:val="continue"/>
                  <w:tcBorders>
                    <w:tl2br w:val="nil"/>
                    <w:tr2bl w:val="nil"/>
                  </w:tcBorders>
                  <w:noWrap w:val="0"/>
                  <w:vAlign w:val="center"/>
                </w:tcPr>
                <w:p w14:paraId="5C7A431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72" w:type="dxa"/>
                  <w:tcBorders>
                    <w:tl2br w:val="nil"/>
                    <w:tr2bl w:val="nil"/>
                  </w:tcBorders>
                  <w:noWrap w:val="0"/>
                  <w:vAlign w:val="center"/>
                </w:tcPr>
                <w:p w14:paraId="1B9E9D3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32</w:t>
                  </w:r>
                </w:p>
              </w:tc>
            </w:tr>
            <w:tr w14:paraId="15450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14:paraId="106A44B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1298" w:type="dxa"/>
                  <w:tcBorders>
                    <w:tl2br w:val="nil"/>
                    <w:tr2bl w:val="nil"/>
                  </w:tcBorders>
                  <w:noWrap w:val="0"/>
                  <w:vAlign w:val="center"/>
                </w:tcPr>
                <w:p w14:paraId="3629950B">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snapToGrid w:val="0"/>
                      <w:color w:val="auto"/>
                      <w:sz w:val="22"/>
                      <w:szCs w:val="22"/>
                    </w:rPr>
                  </w:pPr>
                  <w:r>
                    <w:rPr>
                      <w:rFonts w:hint="default" w:ascii="Times New Roman" w:hAnsi="Times New Roman" w:eastAsia="宋体" w:cs="Times New Roman"/>
                      <w:color w:val="auto"/>
                      <w:sz w:val="22"/>
                      <w:szCs w:val="22"/>
                      <w:lang w:val="en-US" w:eastAsia="zh-CN"/>
                    </w:rPr>
                    <w:t>阴极</w:t>
                  </w:r>
                  <w:r>
                    <w:rPr>
                      <w:rFonts w:hint="default" w:ascii="Times New Roman" w:hAnsi="Times New Roman" w:eastAsia="宋体" w:cs="Times New Roman"/>
                      <w:color w:val="auto"/>
                      <w:sz w:val="22"/>
                      <w:szCs w:val="22"/>
                    </w:rPr>
                    <w:t>铜</w:t>
                  </w:r>
                </w:p>
              </w:tc>
              <w:tc>
                <w:tcPr>
                  <w:tcW w:w="937" w:type="dxa"/>
                  <w:vMerge w:val="continue"/>
                  <w:tcBorders>
                    <w:tl2br w:val="nil"/>
                    <w:tr2bl w:val="nil"/>
                  </w:tcBorders>
                  <w:noWrap w:val="0"/>
                  <w:vAlign w:val="center"/>
                </w:tcPr>
                <w:p w14:paraId="0F1DD83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rPr>
                  </w:pPr>
                </w:p>
              </w:tc>
              <w:tc>
                <w:tcPr>
                  <w:tcW w:w="1055" w:type="dxa"/>
                  <w:tcBorders>
                    <w:tl2br w:val="nil"/>
                    <w:tr2bl w:val="nil"/>
                  </w:tcBorders>
                  <w:noWrap w:val="0"/>
                  <w:vAlign w:val="center"/>
                </w:tcPr>
                <w:p w14:paraId="1C6DB467">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1015.65</w:t>
                  </w:r>
                </w:p>
              </w:tc>
              <w:tc>
                <w:tcPr>
                  <w:tcW w:w="907" w:type="dxa"/>
                  <w:tcBorders>
                    <w:tl2br w:val="nil"/>
                    <w:tr2bl w:val="nil"/>
                  </w:tcBorders>
                  <w:noWrap w:val="0"/>
                  <w:vAlign w:val="center"/>
                </w:tcPr>
                <w:p w14:paraId="35AF1185">
                  <w:pPr>
                    <w:keepNext w:val="0"/>
                    <w:keepLines w:val="0"/>
                    <w:widowControl/>
                    <w:suppressLineNumbers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700</w:t>
                  </w:r>
                </w:p>
              </w:tc>
              <w:tc>
                <w:tcPr>
                  <w:tcW w:w="1050" w:type="dxa"/>
                  <w:tcBorders>
                    <w:tl2br w:val="nil"/>
                    <w:tr2bl w:val="nil"/>
                  </w:tcBorders>
                  <w:noWrap w:val="0"/>
                  <w:vAlign w:val="center"/>
                </w:tcPr>
                <w:p w14:paraId="58EED472">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1715.65</w:t>
                  </w:r>
                </w:p>
              </w:tc>
              <w:tc>
                <w:tcPr>
                  <w:tcW w:w="753" w:type="dxa"/>
                  <w:tcBorders>
                    <w:tl2br w:val="nil"/>
                    <w:tr2bl w:val="nil"/>
                  </w:tcBorders>
                  <w:noWrap w:val="0"/>
                  <w:vAlign w:val="center"/>
                </w:tcPr>
                <w:p w14:paraId="47DE99E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838" w:type="dxa"/>
                  <w:vMerge w:val="continue"/>
                  <w:tcBorders>
                    <w:tl2br w:val="nil"/>
                    <w:tr2bl w:val="nil"/>
                  </w:tcBorders>
                  <w:noWrap w:val="0"/>
                  <w:vAlign w:val="center"/>
                </w:tcPr>
                <w:p w14:paraId="6BCEE12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72" w:type="dxa"/>
                  <w:tcBorders>
                    <w:tl2br w:val="nil"/>
                    <w:tr2bl w:val="nil"/>
                  </w:tcBorders>
                  <w:noWrap w:val="0"/>
                  <w:vAlign w:val="center"/>
                </w:tcPr>
                <w:p w14:paraId="203583F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39</w:t>
                  </w:r>
                </w:p>
              </w:tc>
            </w:tr>
            <w:tr w14:paraId="2D431E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14:paraId="70901EF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1298" w:type="dxa"/>
                  <w:tcBorders>
                    <w:tl2br w:val="nil"/>
                    <w:tr2bl w:val="nil"/>
                  </w:tcBorders>
                  <w:noWrap w:val="0"/>
                  <w:vAlign w:val="center"/>
                </w:tcPr>
                <w:p w14:paraId="2AE849E0">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snapToGrid w:val="0"/>
                      <w:color w:val="auto"/>
                      <w:sz w:val="22"/>
                      <w:szCs w:val="22"/>
                    </w:rPr>
                  </w:pPr>
                  <w:r>
                    <w:rPr>
                      <w:rFonts w:hint="default" w:ascii="Times New Roman" w:hAnsi="Times New Roman" w:eastAsia="宋体" w:cs="Times New Roman"/>
                      <w:color w:val="auto"/>
                      <w:sz w:val="22"/>
                      <w:szCs w:val="22"/>
                      <w:lang w:val="en-US" w:eastAsia="zh-CN"/>
                    </w:rPr>
                    <w:t>金属</w:t>
                  </w:r>
                  <w:r>
                    <w:rPr>
                      <w:rFonts w:hint="default" w:ascii="Times New Roman" w:hAnsi="Times New Roman" w:eastAsia="宋体" w:cs="Times New Roman"/>
                      <w:color w:val="auto"/>
                      <w:sz w:val="22"/>
                      <w:szCs w:val="22"/>
                      <w:lang w:eastAsia="zh-CN"/>
                    </w:rPr>
                    <w:t>锰</w:t>
                  </w:r>
                </w:p>
              </w:tc>
              <w:tc>
                <w:tcPr>
                  <w:tcW w:w="937" w:type="dxa"/>
                  <w:vMerge w:val="continue"/>
                  <w:tcBorders>
                    <w:tl2br w:val="nil"/>
                    <w:tr2bl w:val="nil"/>
                  </w:tcBorders>
                  <w:noWrap w:val="0"/>
                  <w:vAlign w:val="center"/>
                </w:tcPr>
                <w:p w14:paraId="141A0A2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rPr>
                  </w:pPr>
                </w:p>
              </w:tc>
              <w:tc>
                <w:tcPr>
                  <w:tcW w:w="1055" w:type="dxa"/>
                  <w:tcBorders>
                    <w:tl2br w:val="nil"/>
                    <w:tr2bl w:val="nil"/>
                  </w:tcBorders>
                  <w:noWrap w:val="0"/>
                  <w:vAlign w:val="center"/>
                </w:tcPr>
                <w:p w14:paraId="5E43FA15">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524.7</w:t>
                  </w:r>
                </w:p>
              </w:tc>
              <w:tc>
                <w:tcPr>
                  <w:tcW w:w="907" w:type="dxa"/>
                  <w:tcBorders>
                    <w:tl2br w:val="nil"/>
                    <w:tr2bl w:val="nil"/>
                  </w:tcBorders>
                  <w:noWrap w:val="0"/>
                  <w:vAlign w:val="center"/>
                </w:tcPr>
                <w:p w14:paraId="20F47375">
                  <w:pPr>
                    <w:keepNext w:val="0"/>
                    <w:keepLines w:val="0"/>
                    <w:widowControl/>
                    <w:suppressLineNumbers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1050" w:type="dxa"/>
                  <w:tcBorders>
                    <w:tl2br w:val="nil"/>
                    <w:tr2bl w:val="nil"/>
                  </w:tcBorders>
                  <w:noWrap w:val="0"/>
                  <w:vAlign w:val="center"/>
                </w:tcPr>
                <w:p w14:paraId="397C9AE9">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924.7</w:t>
                  </w:r>
                </w:p>
              </w:tc>
              <w:tc>
                <w:tcPr>
                  <w:tcW w:w="753" w:type="dxa"/>
                  <w:tcBorders>
                    <w:tl2br w:val="nil"/>
                    <w:tr2bl w:val="nil"/>
                  </w:tcBorders>
                  <w:noWrap w:val="0"/>
                  <w:vAlign w:val="center"/>
                </w:tcPr>
                <w:p w14:paraId="588EFFD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838" w:type="dxa"/>
                  <w:vMerge w:val="continue"/>
                  <w:tcBorders>
                    <w:tl2br w:val="nil"/>
                    <w:tr2bl w:val="nil"/>
                  </w:tcBorders>
                  <w:noWrap w:val="0"/>
                  <w:vAlign w:val="center"/>
                </w:tcPr>
                <w:p w14:paraId="53690FE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72" w:type="dxa"/>
                  <w:tcBorders>
                    <w:tl2br w:val="nil"/>
                    <w:tr2bl w:val="nil"/>
                  </w:tcBorders>
                  <w:noWrap w:val="0"/>
                  <w:vAlign w:val="center"/>
                </w:tcPr>
                <w:p w14:paraId="21F07DA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r>
                    <w:rPr>
                      <w:rFonts w:hint="default" w:ascii="Times New Roman" w:hAnsi="Times New Roman" w:eastAsia="宋体" w:cs="Times New Roman"/>
                      <w:snapToGrid w:val="0"/>
                      <w:color w:val="auto"/>
                      <w:kern w:val="0"/>
                      <w:sz w:val="22"/>
                      <w:szCs w:val="22"/>
                      <w:vertAlign w:val="superscript"/>
                      <w:lang w:val="en-US" w:eastAsia="zh-CN"/>
                    </w:rPr>
                    <w:t>①</w:t>
                  </w:r>
                </w:p>
              </w:tc>
            </w:tr>
            <w:tr w14:paraId="4B2FB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14:paraId="477E856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1298" w:type="dxa"/>
                  <w:tcBorders>
                    <w:tl2br w:val="nil"/>
                    <w:tr2bl w:val="nil"/>
                  </w:tcBorders>
                  <w:noWrap w:val="0"/>
                  <w:vAlign w:val="center"/>
                </w:tcPr>
                <w:p w14:paraId="346221C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snapToGrid w:val="0"/>
                      <w:color w:val="auto"/>
                      <w:sz w:val="22"/>
                      <w:szCs w:val="22"/>
                      <w:lang w:val="en-US" w:eastAsia="zh-CN"/>
                    </w:rPr>
                  </w:pPr>
                  <w:r>
                    <w:rPr>
                      <w:rFonts w:hint="default" w:ascii="Times New Roman" w:hAnsi="Times New Roman" w:eastAsia="宋体" w:cs="Times New Roman"/>
                      <w:bCs/>
                      <w:snapToGrid w:val="0"/>
                      <w:color w:val="auto"/>
                      <w:sz w:val="22"/>
                      <w:szCs w:val="22"/>
                      <w:lang w:val="en-US" w:eastAsia="zh-CN"/>
                    </w:rPr>
                    <w:t>镁锭</w:t>
                  </w:r>
                </w:p>
              </w:tc>
              <w:tc>
                <w:tcPr>
                  <w:tcW w:w="937" w:type="dxa"/>
                  <w:vMerge w:val="continue"/>
                  <w:tcBorders>
                    <w:tl2br w:val="nil"/>
                    <w:tr2bl w:val="nil"/>
                  </w:tcBorders>
                  <w:noWrap w:val="0"/>
                  <w:vAlign w:val="center"/>
                </w:tcPr>
                <w:p w14:paraId="6D8881D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rPr>
                  </w:pPr>
                </w:p>
              </w:tc>
              <w:tc>
                <w:tcPr>
                  <w:tcW w:w="1055" w:type="dxa"/>
                  <w:tcBorders>
                    <w:tl2br w:val="nil"/>
                    <w:tr2bl w:val="nil"/>
                  </w:tcBorders>
                  <w:noWrap w:val="0"/>
                  <w:vAlign w:val="center"/>
                </w:tcPr>
                <w:p w14:paraId="0055D13A">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1438.2</w:t>
                  </w:r>
                </w:p>
              </w:tc>
              <w:tc>
                <w:tcPr>
                  <w:tcW w:w="907" w:type="dxa"/>
                  <w:tcBorders>
                    <w:tl2br w:val="nil"/>
                    <w:tr2bl w:val="nil"/>
                  </w:tcBorders>
                  <w:noWrap w:val="0"/>
                  <w:vAlign w:val="center"/>
                </w:tcPr>
                <w:p w14:paraId="6CAD7F07">
                  <w:pPr>
                    <w:keepNext w:val="0"/>
                    <w:keepLines w:val="0"/>
                    <w:widowControl/>
                    <w:suppressLineNumbers w:val="0"/>
                    <w:jc w:val="center"/>
                    <w:textAlignment w:val="center"/>
                    <w:rPr>
                      <w:rFonts w:hint="default" w:ascii="Times New Roman" w:hAnsi="Times New Roman" w:eastAsia="宋体" w:cs="Times New Roman"/>
                      <w:color w:val="auto"/>
                      <w:sz w:val="22"/>
                      <w:szCs w:val="22"/>
                      <w:u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950</w:t>
                  </w:r>
                </w:p>
              </w:tc>
              <w:tc>
                <w:tcPr>
                  <w:tcW w:w="1050" w:type="dxa"/>
                  <w:tcBorders>
                    <w:tl2br w:val="nil"/>
                    <w:tr2bl w:val="nil"/>
                  </w:tcBorders>
                  <w:noWrap w:val="0"/>
                  <w:vAlign w:val="center"/>
                </w:tcPr>
                <w:p w14:paraId="71E46BB5">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2388.2</w:t>
                  </w:r>
                </w:p>
              </w:tc>
              <w:tc>
                <w:tcPr>
                  <w:tcW w:w="753" w:type="dxa"/>
                  <w:tcBorders>
                    <w:tl2br w:val="nil"/>
                    <w:tr2bl w:val="nil"/>
                  </w:tcBorders>
                  <w:noWrap w:val="0"/>
                  <w:vAlign w:val="center"/>
                </w:tcPr>
                <w:p w14:paraId="5AA613A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838" w:type="dxa"/>
                  <w:vMerge w:val="continue"/>
                  <w:tcBorders>
                    <w:tl2br w:val="nil"/>
                    <w:tr2bl w:val="nil"/>
                  </w:tcBorders>
                  <w:noWrap w:val="0"/>
                  <w:vAlign w:val="center"/>
                </w:tcPr>
                <w:p w14:paraId="039935E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72" w:type="dxa"/>
                  <w:tcBorders>
                    <w:tl2br w:val="nil"/>
                    <w:tr2bl w:val="nil"/>
                  </w:tcBorders>
                  <w:noWrap w:val="0"/>
                  <w:vAlign w:val="center"/>
                </w:tcPr>
                <w:p w14:paraId="6695D44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40</w:t>
                  </w:r>
                </w:p>
              </w:tc>
            </w:tr>
            <w:tr w14:paraId="4B280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14:paraId="7B43C30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1298" w:type="dxa"/>
                  <w:tcBorders>
                    <w:tl2br w:val="nil"/>
                    <w:tr2bl w:val="nil"/>
                  </w:tcBorders>
                  <w:noWrap w:val="0"/>
                  <w:vAlign w:val="center"/>
                </w:tcPr>
                <w:p w14:paraId="27FF10C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snapToGrid w:val="0"/>
                      <w:color w:val="auto"/>
                      <w:sz w:val="22"/>
                      <w:szCs w:val="22"/>
                      <w:lang w:val="en-US" w:eastAsia="zh-CN"/>
                    </w:rPr>
                  </w:pPr>
                  <w:r>
                    <w:rPr>
                      <w:rFonts w:hint="default" w:ascii="Times New Roman" w:hAnsi="Times New Roman" w:eastAsia="宋体" w:cs="Times New Roman"/>
                      <w:color w:val="auto"/>
                      <w:sz w:val="22"/>
                      <w:szCs w:val="22"/>
                      <w:lang w:val="en-US" w:eastAsia="zh-CN"/>
                    </w:rPr>
                    <w:t>锌锭</w:t>
                  </w:r>
                </w:p>
              </w:tc>
              <w:tc>
                <w:tcPr>
                  <w:tcW w:w="937" w:type="dxa"/>
                  <w:vMerge w:val="continue"/>
                  <w:tcBorders>
                    <w:tl2br w:val="nil"/>
                    <w:tr2bl w:val="nil"/>
                  </w:tcBorders>
                  <w:noWrap w:val="0"/>
                  <w:vAlign w:val="center"/>
                </w:tcPr>
                <w:p w14:paraId="792D8CA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rPr>
                  </w:pPr>
                </w:p>
              </w:tc>
              <w:tc>
                <w:tcPr>
                  <w:tcW w:w="1055" w:type="dxa"/>
                  <w:tcBorders>
                    <w:tl2br w:val="nil"/>
                    <w:tr2bl w:val="nil"/>
                  </w:tcBorders>
                  <w:noWrap w:val="0"/>
                  <w:vAlign w:val="center"/>
                </w:tcPr>
                <w:p w14:paraId="218D0B9E">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559.2</w:t>
                  </w:r>
                </w:p>
              </w:tc>
              <w:tc>
                <w:tcPr>
                  <w:tcW w:w="907" w:type="dxa"/>
                  <w:tcBorders>
                    <w:tl2br w:val="nil"/>
                    <w:tr2bl w:val="nil"/>
                  </w:tcBorders>
                  <w:noWrap w:val="0"/>
                  <w:vAlign w:val="center"/>
                </w:tcPr>
                <w:p w14:paraId="3A443F4E">
                  <w:pPr>
                    <w:keepNext w:val="0"/>
                    <w:keepLines w:val="0"/>
                    <w:widowControl/>
                    <w:suppressLineNumbers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1050" w:type="dxa"/>
                  <w:tcBorders>
                    <w:tl2br w:val="nil"/>
                    <w:tr2bl w:val="nil"/>
                  </w:tcBorders>
                  <w:noWrap w:val="0"/>
                  <w:vAlign w:val="center"/>
                </w:tcPr>
                <w:p w14:paraId="0CF97B17">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959.2</w:t>
                  </w:r>
                </w:p>
              </w:tc>
              <w:tc>
                <w:tcPr>
                  <w:tcW w:w="753" w:type="dxa"/>
                  <w:tcBorders>
                    <w:tl2br w:val="nil"/>
                    <w:tr2bl w:val="nil"/>
                  </w:tcBorders>
                  <w:noWrap w:val="0"/>
                  <w:vAlign w:val="center"/>
                </w:tcPr>
                <w:p w14:paraId="1177770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838" w:type="dxa"/>
                  <w:vMerge w:val="continue"/>
                  <w:tcBorders>
                    <w:tl2br w:val="nil"/>
                    <w:tr2bl w:val="nil"/>
                  </w:tcBorders>
                  <w:noWrap w:val="0"/>
                  <w:vAlign w:val="center"/>
                </w:tcPr>
                <w:p w14:paraId="1BB9839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72" w:type="dxa"/>
                  <w:tcBorders>
                    <w:tl2br w:val="nil"/>
                    <w:tr2bl w:val="nil"/>
                  </w:tcBorders>
                  <w:noWrap w:val="0"/>
                  <w:vAlign w:val="center"/>
                </w:tcPr>
                <w:p w14:paraId="373C4B8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17</w:t>
                  </w:r>
                </w:p>
              </w:tc>
            </w:tr>
            <w:tr w14:paraId="0ABA41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14:paraId="39DCD97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1298" w:type="dxa"/>
                  <w:tcBorders>
                    <w:tl2br w:val="nil"/>
                    <w:tr2bl w:val="nil"/>
                  </w:tcBorders>
                  <w:noWrap w:val="0"/>
                  <w:vAlign w:val="center"/>
                </w:tcPr>
                <w:p w14:paraId="2A092AA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snapToGrid w:val="0"/>
                      <w:color w:val="auto"/>
                      <w:sz w:val="22"/>
                      <w:szCs w:val="22"/>
                      <w:lang w:val="en-US" w:eastAsia="zh-CN"/>
                    </w:rPr>
                  </w:pPr>
                  <w:r>
                    <w:rPr>
                      <w:rFonts w:hint="default" w:ascii="Times New Roman" w:hAnsi="Times New Roman" w:eastAsia="宋体" w:cs="Times New Roman"/>
                      <w:color w:val="auto"/>
                      <w:sz w:val="22"/>
                      <w:szCs w:val="22"/>
                      <w:lang w:val="en-US" w:eastAsia="zh-CN"/>
                    </w:rPr>
                    <w:t>锶</w:t>
                  </w:r>
                </w:p>
              </w:tc>
              <w:tc>
                <w:tcPr>
                  <w:tcW w:w="937" w:type="dxa"/>
                  <w:vMerge w:val="continue"/>
                  <w:tcBorders>
                    <w:tl2br w:val="nil"/>
                    <w:tr2bl w:val="nil"/>
                  </w:tcBorders>
                  <w:noWrap w:val="0"/>
                  <w:vAlign w:val="center"/>
                </w:tcPr>
                <w:p w14:paraId="2905483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rPr>
                  </w:pPr>
                </w:p>
              </w:tc>
              <w:tc>
                <w:tcPr>
                  <w:tcW w:w="1055" w:type="dxa"/>
                  <w:tcBorders>
                    <w:tl2br w:val="nil"/>
                    <w:tr2bl w:val="nil"/>
                  </w:tcBorders>
                  <w:noWrap w:val="0"/>
                  <w:vAlign w:val="center"/>
                </w:tcPr>
                <w:p w14:paraId="2CB3E447">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2"/>
                      <w:szCs w:val="22"/>
                    </w:rPr>
                  </w:pPr>
                  <w:r>
                    <w:rPr>
                      <w:rFonts w:hint="default" w:ascii="Times New Roman" w:hAnsi="Times New Roman" w:eastAsia="宋体" w:cs="Times New Roman"/>
                      <w:i w:val="0"/>
                      <w:iCs w:val="0"/>
                      <w:color w:val="auto"/>
                      <w:kern w:val="0"/>
                      <w:sz w:val="22"/>
                      <w:szCs w:val="22"/>
                      <w:u w:val="none"/>
                      <w:lang w:val="en-US" w:eastAsia="zh-CN" w:bidi="ar"/>
                    </w:rPr>
                    <w:t>1.7</w:t>
                  </w:r>
                </w:p>
              </w:tc>
              <w:tc>
                <w:tcPr>
                  <w:tcW w:w="907" w:type="dxa"/>
                  <w:tcBorders>
                    <w:tl2br w:val="nil"/>
                    <w:tr2bl w:val="nil"/>
                  </w:tcBorders>
                  <w:noWrap w:val="0"/>
                  <w:vAlign w:val="center"/>
                </w:tcPr>
                <w:p w14:paraId="2B0AFCC3">
                  <w:pPr>
                    <w:keepNext w:val="0"/>
                    <w:keepLines w:val="0"/>
                    <w:widowControl/>
                    <w:suppressLineNumbers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1.5</w:t>
                  </w:r>
                </w:p>
              </w:tc>
              <w:tc>
                <w:tcPr>
                  <w:tcW w:w="1050" w:type="dxa"/>
                  <w:tcBorders>
                    <w:tl2br w:val="nil"/>
                    <w:tr2bl w:val="nil"/>
                  </w:tcBorders>
                  <w:noWrap w:val="0"/>
                  <w:vAlign w:val="center"/>
                </w:tcPr>
                <w:p w14:paraId="2367C6E3">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3.2</w:t>
                  </w:r>
                </w:p>
              </w:tc>
              <w:tc>
                <w:tcPr>
                  <w:tcW w:w="753" w:type="dxa"/>
                  <w:tcBorders>
                    <w:tl2br w:val="nil"/>
                    <w:tr2bl w:val="nil"/>
                  </w:tcBorders>
                  <w:noWrap w:val="0"/>
                  <w:vAlign w:val="center"/>
                </w:tcPr>
                <w:p w14:paraId="5B107C1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838" w:type="dxa"/>
                  <w:vMerge w:val="continue"/>
                  <w:tcBorders>
                    <w:tl2br w:val="nil"/>
                    <w:tr2bl w:val="nil"/>
                  </w:tcBorders>
                  <w:noWrap w:val="0"/>
                  <w:vAlign w:val="center"/>
                </w:tcPr>
                <w:p w14:paraId="2CC11BC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72" w:type="dxa"/>
                  <w:tcBorders>
                    <w:tl2br w:val="nil"/>
                    <w:tr2bl w:val="nil"/>
                  </w:tcBorders>
                  <w:noWrap w:val="0"/>
                  <w:vAlign w:val="center"/>
                </w:tcPr>
                <w:p w14:paraId="3BF828B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0.08</w:t>
                  </w:r>
                </w:p>
              </w:tc>
            </w:tr>
            <w:tr w14:paraId="27E2B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tcBorders>
                    <w:tl2br w:val="nil"/>
                    <w:tr2bl w:val="nil"/>
                  </w:tcBorders>
                  <w:noWrap w:val="0"/>
                  <w:vAlign w:val="center"/>
                </w:tcPr>
                <w:p w14:paraId="3E35528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5</w:t>
                  </w:r>
                </w:p>
              </w:tc>
              <w:tc>
                <w:tcPr>
                  <w:tcW w:w="1298" w:type="dxa"/>
                  <w:tcBorders>
                    <w:tl2br w:val="nil"/>
                    <w:tr2bl w:val="nil"/>
                  </w:tcBorders>
                  <w:noWrap w:val="0"/>
                  <w:vAlign w:val="center"/>
                </w:tcPr>
                <w:p w14:paraId="3020605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铝-钛-硼线杆</w:t>
                  </w:r>
                </w:p>
              </w:tc>
              <w:tc>
                <w:tcPr>
                  <w:tcW w:w="937" w:type="dxa"/>
                  <w:tcBorders>
                    <w:tl2br w:val="nil"/>
                    <w:tr2bl w:val="nil"/>
                  </w:tcBorders>
                  <w:noWrap w:val="0"/>
                  <w:vAlign w:val="center"/>
                </w:tcPr>
                <w:p w14:paraId="1331539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w:t>
                  </w:r>
                </w:p>
              </w:tc>
              <w:tc>
                <w:tcPr>
                  <w:tcW w:w="1055" w:type="dxa"/>
                  <w:tcBorders>
                    <w:tl2br w:val="nil"/>
                    <w:tr2bl w:val="nil"/>
                  </w:tcBorders>
                  <w:noWrap w:val="0"/>
                  <w:vAlign w:val="center"/>
                </w:tcPr>
                <w:p w14:paraId="5709727F">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30.78</w:t>
                  </w:r>
                </w:p>
              </w:tc>
              <w:tc>
                <w:tcPr>
                  <w:tcW w:w="907" w:type="dxa"/>
                  <w:tcBorders>
                    <w:tl2br w:val="nil"/>
                    <w:tr2bl w:val="nil"/>
                  </w:tcBorders>
                  <w:noWrap w:val="0"/>
                  <w:vAlign w:val="center"/>
                </w:tcPr>
                <w:p w14:paraId="2FDEA7A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kern w:val="2"/>
                      <w:sz w:val="22"/>
                      <w:szCs w:val="22"/>
                      <w:vertAlign w:val="baseline"/>
                      <w:lang w:val="en-US" w:eastAsia="zh-CN" w:bidi="ar-SA"/>
                    </w:rPr>
                    <w:t>15</w:t>
                  </w:r>
                </w:p>
              </w:tc>
              <w:tc>
                <w:tcPr>
                  <w:tcW w:w="1050" w:type="dxa"/>
                  <w:tcBorders>
                    <w:tl2br w:val="nil"/>
                    <w:tr2bl w:val="nil"/>
                  </w:tcBorders>
                  <w:noWrap w:val="0"/>
                  <w:vAlign w:val="center"/>
                </w:tcPr>
                <w:p w14:paraId="30832923">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45.78</w:t>
                  </w:r>
                </w:p>
              </w:tc>
              <w:tc>
                <w:tcPr>
                  <w:tcW w:w="753" w:type="dxa"/>
                  <w:tcBorders>
                    <w:tl2br w:val="nil"/>
                    <w:tr2bl w:val="nil"/>
                  </w:tcBorders>
                  <w:noWrap w:val="0"/>
                  <w:vAlign w:val="center"/>
                </w:tcPr>
                <w:p w14:paraId="0797D47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捆装</w:t>
                  </w:r>
                </w:p>
              </w:tc>
              <w:tc>
                <w:tcPr>
                  <w:tcW w:w="838" w:type="dxa"/>
                  <w:vMerge w:val="continue"/>
                  <w:tcBorders>
                    <w:tl2br w:val="nil"/>
                    <w:tr2bl w:val="nil"/>
                  </w:tcBorders>
                  <w:noWrap w:val="0"/>
                  <w:vAlign w:val="center"/>
                </w:tcPr>
                <w:p w14:paraId="10C8427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72" w:type="dxa"/>
                  <w:tcBorders>
                    <w:tl2br w:val="nil"/>
                    <w:tr2bl w:val="nil"/>
                  </w:tcBorders>
                  <w:noWrap w:val="0"/>
                  <w:vAlign w:val="center"/>
                </w:tcPr>
                <w:p w14:paraId="5D958E4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3</w:t>
                  </w:r>
                </w:p>
              </w:tc>
            </w:tr>
            <w:tr w14:paraId="5ADCDA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tcBorders>
                    <w:tl2br w:val="nil"/>
                    <w:tr2bl w:val="nil"/>
                  </w:tcBorders>
                  <w:noWrap w:val="0"/>
                  <w:vAlign w:val="center"/>
                </w:tcPr>
                <w:p w14:paraId="390DDD1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6</w:t>
                  </w:r>
                </w:p>
              </w:tc>
              <w:tc>
                <w:tcPr>
                  <w:tcW w:w="1298" w:type="dxa"/>
                  <w:tcBorders>
                    <w:tl2br w:val="nil"/>
                    <w:tr2bl w:val="nil"/>
                  </w:tcBorders>
                  <w:noWrap w:val="0"/>
                  <w:vAlign w:val="center"/>
                </w:tcPr>
                <w:p w14:paraId="05DBC42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snapToGrid w:val="0"/>
                      <w:color w:val="auto"/>
                      <w:sz w:val="22"/>
                      <w:szCs w:val="22"/>
                      <w:lang w:val="en-US" w:eastAsia="zh-CN"/>
                    </w:rPr>
                  </w:pPr>
                  <w:r>
                    <w:rPr>
                      <w:rFonts w:hint="default" w:ascii="Times New Roman" w:hAnsi="Times New Roman" w:eastAsia="宋体" w:cs="Times New Roman"/>
                      <w:bCs/>
                      <w:snapToGrid w:val="0"/>
                      <w:color w:val="auto"/>
                      <w:sz w:val="22"/>
                      <w:szCs w:val="22"/>
                      <w:lang w:val="en-US" w:eastAsia="zh-CN"/>
                    </w:rPr>
                    <w:t>除钙剂</w:t>
                  </w:r>
                </w:p>
              </w:tc>
              <w:tc>
                <w:tcPr>
                  <w:tcW w:w="937" w:type="dxa"/>
                  <w:tcBorders>
                    <w:tl2br w:val="nil"/>
                    <w:tr2bl w:val="nil"/>
                  </w:tcBorders>
                  <w:noWrap w:val="0"/>
                  <w:vAlign w:val="center"/>
                </w:tcPr>
                <w:p w14:paraId="77FA490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w:t>
                  </w:r>
                </w:p>
              </w:tc>
              <w:tc>
                <w:tcPr>
                  <w:tcW w:w="1055" w:type="dxa"/>
                  <w:tcBorders>
                    <w:tl2br w:val="nil"/>
                    <w:tr2bl w:val="nil"/>
                  </w:tcBorders>
                  <w:noWrap w:val="0"/>
                  <w:vAlign w:val="center"/>
                </w:tcPr>
                <w:p w14:paraId="7040D6D2">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56</w:t>
                  </w:r>
                </w:p>
              </w:tc>
              <w:tc>
                <w:tcPr>
                  <w:tcW w:w="907" w:type="dxa"/>
                  <w:tcBorders>
                    <w:tl2br w:val="nil"/>
                    <w:tr2bl w:val="nil"/>
                  </w:tcBorders>
                  <w:noWrap w:val="0"/>
                  <w:vAlign w:val="center"/>
                </w:tcPr>
                <w:p w14:paraId="6898B40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1050" w:type="dxa"/>
                  <w:tcBorders>
                    <w:tl2br w:val="nil"/>
                    <w:tr2bl w:val="nil"/>
                  </w:tcBorders>
                  <w:noWrap w:val="0"/>
                  <w:vAlign w:val="center"/>
                </w:tcPr>
                <w:p w14:paraId="7B6D0F88">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56</w:t>
                  </w:r>
                </w:p>
              </w:tc>
              <w:tc>
                <w:tcPr>
                  <w:tcW w:w="753" w:type="dxa"/>
                  <w:tcBorders>
                    <w:tl2br w:val="nil"/>
                    <w:tr2bl w:val="nil"/>
                  </w:tcBorders>
                  <w:noWrap w:val="0"/>
                  <w:vAlign w:val="center"/>
                </w:tcPr>
                <w:p w14:paraId="624EC75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838" w:type="dxa"/>
                  <w:vMerge w:val="continue"/>
                  <w:tcBorders>
                    <w:tl2br w:val="nil"/>
                    <w:tr2bl w:val="nil"/>
                  </w:tcBorders>
                  <w:noWrap w:val="0"/>
                  <w:vAlign w:val="center"/>
                </w:tcPr>
                <w:p w14:paraId="62929A9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72" w:type="dxa"/>
                  <w:tcBorders>
                    <w:tl2br w:val="nil"/>
                    <w:tr2bl w:val="nil"/>
                  </w:tcBorders>
                  <w:noWrap w:val="0"/>
                  <w:vAlign w:val="center"/>
                </w:tcPr>
                <w:p w14:paraId="4EFEA92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4</w:t>
                  </w:r>
                </w:p>
              </w:tc>
            </w:tr>
            <w:tr w14:paraId="1D1ED1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tcBorders>
                    <w:tl2br w:val="nil"/>
                    <w:tr2bl w:val="nil"/>
                  </w:tcBorders>
                  <w:noWrap w:val="0"/>
                  <w:vAlign w:val="center"/>
                </w:tcPr>
                <w:p w14:paraId="70A77E5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7</w:t>
                  </w:r>
                </w:p>
              </w:tc>
              <w:tc>
                <w:tcPr>
                  <w:tcW w:w="1298" w:type="dxa"/>
                  <w:tcBorders>
                    <w:tl2br w:val="nil"/>
                    <w:tr2bl w:val="nil"/>
                  </w:tcBorders>
                  <w:noWrap w:val="0"/>
                  <w:vAlign w:val="center"/>
                </w:tcPr>
                <w:p w14:paraId="54179CA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snapToGrid w:val="0"/>
                      <w:color w:val="auto"/>
                      <w:sz w:val="22"/>
                      <w:szCs w:val="22"/>
                      <w:lang w:val="en-US" w:eastAsia="zh-CN"/>
                    </w:rPr>
                  </w:pPr>
                  <w:r>
                    <w:rPr>
                      <w:rFonts w:hint="default" w:ascii="Times New Roman" w:hAnsi="Times New Roman" w:eastAsia="宋体" w:cs="Times New Roman"/>
                      <w:bCs/>
                      <w:snapToGrid w:val="0"/>
                      <w:color w:val="auto"/>
                      <w:sz w:val="22"/>
                      <w:szCs w:val="22"/>
                      <w:lang w:val="en-US" w:eastAsia="zh-CN"/>
                    </w:rPr>
                    <w:t>精炼剂</w:t>
                  </w:r>
                </w:p>
              </w:tc>
              <w:tc>
                <w:tcPr>
                  <w:tcW w:w="937" w:type="dxa"/>
                  <w:tcBorders>
                    <w:tl2br w:val="nil"/>
                    <w:tr2bl w:val="nil"/>
                  </w:tcBorders>
                  <w:noWrap w:val="0"/>
                  <w:vAlign w:val="center"/>
                </w:tcPr>
                <w:p w14:paraId="2173482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 xml:space="preserve">36.88 </w:t>
                  </w:r>
                </w:p>
              </w:tc>
              <w:tc>
                <w:tcPr>
                  <w:tcW w:w="1055" w:type="dxa"/>
                  <w:tcBorders>
                    <w:tl2br w:val="nil"/>
                    <w:tr2bl w:val="nil"/>
                  </w:tcBorders>
                  <w:noWrap w:val="0"/>
                  <w:vAlign w:val="center"/>
                </w:tcPr>
                <w:p w14:paraId="49863B61">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128.059</w:t>
                  </w:r>
                </w:p>
              </w:tc>
              <w:tc>
                <w:tcPr>
                  <w:tcW w:w="907" w:type="dxa"/>
                  <w:tcBorders>
                    <w:tl2br w:val="nil"/>
                    <w:tr2bl w:val="nil"/>
                  </w:tcBorders>
                  <w:noWrap w:val="0"/>
                  <w:vAlign w:val="center"/>
                </w:tcPr>
                <w:p w14:paraId="6C5054B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82.39</w:t>
                  </w:r>
                </w:p>
              </w:tc>
              <w:tc>
                <w:tcPr>
                  <w:tcW w:w="1050" w:type="dxa"/>
                  <w:tcBorders>
                    <w:tl2br w:val="nil"/>
                    <w:tr2bl w:val="nil"/>
                  </w:tcBorders>
                  <w:noWrap w:val="0"/>
                  <w:vAlign w:val="center"/>
                </w:tcPr>
                <w:p w14:paraId="545136D2">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210.449</w:t>
                  </w:r>
                </w:p>
              </w:tc>
              <w:tc>
                <w:tcPr>
                  <w:tcW w:w="753" w:type="dxa"/>
                  <w:tcBorders>
                    <w:tl2br w:val="nil"/>
                    <w:tr2bl w:val="nil"/>
                  </w:tcBorders>
                  <w:noWrap w:val="0"/>
                  <w:vAlign w:val="center"/>
                </w:tcPr>
                <w:p w14:paraId="770E805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838" w:type="dxa"/>
                  <w:vMerge w:val="continue"/>
                  <w:tcBorders>
                    <w:tl2br w:val="nil"/>
                    <w:tr2bl w:val="nil"/>
                  </w:tcBorders>
                  <w:noWrap w:val="0"/>
                  <w:vAlign w:val="center"/>
                </w:tcPr>
                <w:p w14:paraId="4336834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72" w:type="dxa"/>
                  <w:tcBorders>
                    <w:tl2br w:val="nil"/>
                    <w:tr2bl w:val="nil"/>
                  </w:tcBorders>
                  <w:noWrap w:val="0"/>
                  <w:vAlign w:val="center"/>
                </w:tcPr>
                <w:p w14:paraId="1F83C93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6</w:t>
                  </w:r>
                </w:p>
              </w:tc>
            </w:tr>
            <w:tr w14:paraId="0891C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tcBorders>
                    <w:tl2br w:val="nil"/>
                    <w:tr2bl w:val="nil"/>
                  </w:tcBorders>
                  <w:noWrap w:val="0"/>
                  <w:vAlign w:val="center"/>
                </w:tcPr>
                <w:p w14:paraId="476527A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8</w:t>
                  </w:r>
                </w:p>
              </w:tc>
              <w:tc>
                <w:tcPr>
                  <w:tcW w:w="1298" w:type="dxa"/>
                  <w:tcBorders>
                    <w:tl2br w:val="nil"/>
                    <w:tr2bl w:val="nil"/>
                  </w:tcBorders>
                  <w:noWrap w:val="0"/>
                  <w:vAlign w:val="center"/>
                </w:tcPr>
                <w:p w14:paraId="757AD0E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snapToGrid w:val="0"/>
                      <w:color w:val="auto"/>
                      <w:sz w:val="22"/>
                      <w:szCs w:val="22"/>
                      <w:lang w:val="en-US" w:eastAsia="zh-CN"/>
                    </w:rPr>
                  </w:pPr>
                  <w:r>
                    <w:rPr>
                      <w:rFonts w:hint="default" w:ascii="Times New Roman" w:hAnsi="Times New Roman" w:eastAsia="宋体" w:cs="Times New Roman"/>
                      <w:bCs/>
                      <w:snapToGrid w:val="0"/>
                      <w:color w:val="auto"/>
                      <w:sz w:val="22"/>
                      <w:szCs w:val="22"/>
                      <w:lang w:val="en-US" w:eastAsia="zh-CN"/>
                    </w:rPr>
                    <w:t>覆盖剂</w:t>
                  </w:r>
                </w:p>
              </w:tc>
              <w:tc>
                <w:tcPr>
                  <w:tcW w:w="937" w:type="dxa"/>
                  <w:tcBorders>
                    <w:tl2br w:val="nil"/>
                    <w:tr2bl w:val="nil"/>
                  </w:tcBorders>
                  <w:noWrap w:val="0"/>
                  <w:vAlign w:val="center"/>
                </w:tcPr>
                <w:p w14:paraId="4FE9475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w:t>
                  </w:r>
                </w:p>
              </w:tc>
              <w:tc>
                <w:tcPr>
                  <w:tcW w:w="1055" w:type="dxa"/>
                  <w:tcBorders>
                    <w:tl2br w:val="nil"/>
                    <w:tr2bl w:val="nil"/>
                  </w:tcBorders>
                  <w:noWrap w:val="0"/>
                  <w:vAlign w:val="center"/>
                </w:tcPr>
                <w:p w14:paraId="4DF15426">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4.7</w:t>
                  </w:r>
                </w:p>
              </w:tc>
              <w:tc>
                <w:tcPr>
                  <w:tcW w:w="907" w:type="dxa"/>
                  <w:tcBorders>
                    <w:tl2br w:val="nil"/>
                    <w:tr2bl w:val="nil"/>
                  </w:tcBorders>
                  <w:noWrap w:val="0"/>
                  <w:vAlign w:val="center"/>
                </w:tcPr>
                <w:p w14:paraId="67A490B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1050" w:type="dxa"/>
                  <w:tcBorders>
                    <w:tl2br w:val="nil"/>
                    <w:tr2bl w:val="nil"/>
                  </w:tcBorders>
                  <w:noWrap w:val="0"/>
                  <w:vAlign w:val="center"/>
                </w:tcPr>
                <w:p w14:paraId="67260BF2">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4.7</w:t>
                  </w:r>
                </w:p>
              </w:tc>
              <w:tc>
                <w:tcPr>
                  <w:tcW w:w="753" w:type="dxa"/>
                  <w:tcBorders>
                    <w:tl2br w:val="nil"/>
                    <w:tr2bl w:val="nil"/>
                  </w:tcBorders>
                  <w:noWrap w:val="0"/>
                  <w:vAlign w:val="center"/>
                </w:tcPr>
                <w:p w14:paraId="26E1F29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838" w:type="dxa"/>
                  <w:vMerge w:val="continue"/>
                  <w:tcBorders>
                    <w:tl2br w:val="nil"/>
                    <w:tr2bl w:val="nil"/>
                  </w:tcBorders>
                  <w:noWrap w:val="0"/>
                  <w:vAlign w:val="center"/>
                </w:tcPr>
                <w:p w14:paraId="5FC0998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72" w:type="dxa"/>
                  <w:tcBorders>
                    <w:tl2br w:val="nil"/>
                    <w:tr2bl w:val="nil"/>
                  </w:tcBorders>
                  <w:noWrap w:val="0"/>
                  <w:vAlign w:val="center"/>
                </w:tcPr>
                <w:p w14:paraId="64673D5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0.2</w:t>
                  </w:r>
                </w:p>
              </w:tc>
            </w:tr>
            <w:tr w14:paraId="28DEC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tcBorders>
                    <w:tl2br w:val="nil"/>
                    <w:tr2bl w:val="nil"/>
                  </w:tcBorders>
                  <w:noWrap w:val="0"/>
                  <w:vAlign w:val="center"/>
                </w:tcPr>
                <w:p w14:paraId="24C1DE9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9</w:t>
                  </w:r>
                </w:p>
              </w:tc>
              <w:tc>
                <w:tcPr>
                  <w:tcW w:w="1298" w:type="dxa"/>
                  <w:tcBorders>
                    <w:tl2br w:val="nil"/>
                    <w:tr2bl w:val="nil"/>
                  </w:tcBorders>
                  <w:noWrap w:val="0"/>
                  <w:vAlign w:val="center"/>
                </w:tcPr>
                <w:p w14:paraId="5744CFC7">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snapToGrid w:val="0"/>
                      <w:color w:val="auto"/>
                      <w:sz w:val="22"/>
                      <w:szCs w:val="22"/>
                      <w:lang w:val="en-US" w:eastAsia="zh-CN"/>
                    </w:rPr>
                  </w:pPr>
                  <w:r>
                    <w:rPr>
                      <w:rFonts w:hint="default" w:ascii="Times New Roman" w:hAnsi="Times New Roman" w:eastAsia="宋体" w:cs="Times New Roman"/>
                      <w:color w:val="auto"/>
                      <w:sz w:val="22"/>
                      <w:szCs w:val="22"/>
                    </w:rPr>
                    <w:t>陶瓷过滤板</w:t>
                  </w:r>
                </w:p>
              </w:tc>
              <w:tc>
                <w:tcPr>
                  <w:tcW w:w="937" w:type="dxa"/>
                  <w:tcBorders>
                    <w:tl2br w:val="nil"/>
                    <w:tr2bl w:val="nil"/>
                  </w:tcBorders>
                  <w:noWrap w:val="0"/>
                  <w:vAlign w:val="center"/>
                </w:tcPr>
                <w:p w14:paraId="1B50A89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1.0</w:t>
                  </w:r>
                </w:p>
              </w:tc>
              <w:tc>
                <w:tcPr>
                  <w:tcW w:w="1055" w:type="dxa"/>
                  <w:tcBorders>
                    <w:tl2br w:val="nil"/>
                    <w:tr2bl w:val="nil"/>
                  </w:tcBorders>
                  <w:noWrap w:val="0"/>
                  <w:vAlign w:val="center"/>
                </w:tcPr>
                <w:p w14:paraId="5FD51EDC">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1</w:t>
                  </w:r>
                </w:p>
              </w:tc>
              <w:tc>
                <w:tcPr>
                  <w:tcW w:w="907" w:type="dxa"/>
                  <w:tcBorders>
                    <w:tl2br w:val="nil"/>
                    <w:tr2bl w:val="nil"/>
                  </w:tcBorders>
                  <w:noWrap w:val="0"/>
                  <w:vAlign w:val="center"/>
                </w:tcPr>
                <w:p w14:paraId="68AD6D0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w:t>
                  </w:r>
                </w:p>
              </w:tc>
              <w:tc>
                <w:tcPr>
                  <w:tcW w:w="1050" w:type="dxa"/>
                  <w:tcBorders>
                    <w:tl2br w:val="nil"/>
                    <w:tr2bl w:val="nil"/>
                  </w:tcBorders>
                  <w:noWrap w:val="0"/>
                  <w:vAlign w:val="center"/>
                </w:tcPr>
                <w:p w14:paraId="2E04E26D">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3</w:t>
                  </w:r>
                </w:p>
              </w:tc>
              <w:tc>
                <w:tcPr>
                  <w:tcW w:w="753" w:type="dxa"/>
                  <w:tcBorders>
                    <w:tl2br w:val="nil"/>
                    <w:tr2bl w:val="nil"/>
                  </w:tcBorders>
                  <w:noWrap w:val="0"/>
                  <w:vAlign w:val="center"/>
                </w:tcPr>
                <w:p w14:paraId="18E6CBF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箱装</w:t>
                  </w:r>
                </w:p>
              </w:tc>
              <w:tc>
                <w:tcPr>
                  <w:tcW w:w="838" w:type="dxa"/>
                  <w:vMerge w:val="continue"/>
                  <w:tcBorders>
                    <w:tl2br w:val="nil"/>
                    <w:tr2bl w:val="nil"/>
                  </w:tcBorders>
                  <w:noWrap w:val="0"/>
                  <w:vAlign w:val="center"/>
                </w:tcPr>
                <w:p w14:paraId="55D553D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72" w:type="dxa"/>
                  <w:tcBorders>
                    <w:tl2br w:val="nil"/>
                    <w:tr2bl w:val="nil"/>
                  </w:tcBorders>
                  <w:noWrap w:val="0"/>
                  <w:vAlign w:val="center"/>
                </w:tcPr>
                <w:p w14:paraId="3B83EDE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0.2</w:t>
                  </w:r>
                </w:p>
              </w:tc>
            </w:tr>
            <w:tr w14:paraId="37B95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tcBorders>
                    <w:tl2br w:val="nil"/>
                    <w:tr2bl w:val="nil"/>
                  </w:tcBorders>
                  <w:noWrap w:val="0"/>
                  <w:vAlign w:val="center"/>
                </w:tcPr>
                <w:p w14:paraId="5CC9D40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10</w:t>
                  </w:r>
                </w:p>
              </w:tc>
              <w:tc>
                <w:tcPr>
                  <w:tcW w:w="1298" w:type="dxa"/>
                  <w:tcBorders>
                    <w:tl2br w:val="nil"/>
                    <w:tr2bl w:val="nil"/>
                  </w:tcBorders>
                  <w:noWrap w:val="0"/>
                  <w:vAlign w:val="center"/>
                </w:tcPr>
                <w:p w14:paraId="03BBC1AA">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耐火材料</w:t>
                  </w:r>
                </w:p>
              </w:tc>
              <w:tc>
                <w:tcPr>
                  <w:tcW w:w="937" w:type="dxa"/>
                  <w:tcBorders>
                    <w:tl2br w:val="nil"/>
                    <w:tr2bl w:val="nil"/>
                  </w:tcBorders>
                  <w:noWrap w:val="0"/>
                  <w:vAlign w:val="center"/>
                </w:tcPr>
                <w:p w14:paraId="7687F05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bidi="ar-SA"/>
                    </w:rPr>
                    <w:t>/</w:t>
                  </w:r>
                </w:p>
              </w:tc>
              <w:tc>
                <w:tcPr>
                  <w:tcW w:w="1055" w:type="dxa"/>
                  <w:tcBorders>
                    <w:tl2br w:val="nil"/>
                    <w:tr2bl w:val="nil"/>
                  </w:tcBorders>
                  <w:noWrap w:val="0"/>
                  <w:vAlign w:val="center"/>
                </w:tcPr>
                <w:p w14:paraId="55CD402A">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1</w:t>
                  </w:r>
                </w:p>
              </w:tc>
              <w:tc>
                <w:tcPr>
                  <w:tcW w:w="907" w:type="dxa"/>
                  <w:tcBorders>
                    <w:tl2br w:val="nil"/>
                    <w:tr2bl w:val="nil"/>
                  </w:tcBorders>
                  <w:noWrap w:val="0"/>
                  <w:vAlign w:val="center"/>
                </w:tcPr>
                <w:p w14:paraId="2875485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w:t>
                  </w:r>
                </w:p>
              </w:tc>
              <w:tc>
                <w:tcPr>
                  <w:tcW w:w="1050" w:type="dxa"/>
                  <w:tcBorders>
                    <w:tl2br w:val="nil"/>
                    <w:tr2bl w:val="nil"/>
                  </w:tcBorders>
                  <w:noWrap w:val="0"/>
                  <w:vAlign w:val="center"/>
                </w:tcPr>
                <w:p w14:paraId="2C4A5670">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3</w:t>
                  </w:r>
                </w:p>
              </w:tc>
              <w:tc>
                <w:tcPr>
                  <w:tcW w:w="753" w:type="dxa"/>
                  <w:tcBorders>
                    <w:tl2br w:val="nil"/>
                    <w:tr2bl w:val="nil"/>
                  </w:tcBorders>
                  <w:noWrap w:val="0"/>
                  <w:vAlign w:val="center"/>
                </w:tcPr>
                <w:p w14:paraId="46E0E8B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c>
                <w:tcPr>
                  <w:tcW w:w="838" w:type="dxa"/>
                  <w:tcBorders>
                    <w:tl2br w:val="nil"/>
                    <w:tr2bl w:val="nil"/>
                  </w:tcBorders>
                  <w:noWrap w:val="0"/>
                  <w:vAlign w:val="center"/>
                </w:tcPr>
                <w:p w14:paraId="573E090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c>
                <w:tcPr>
                  <w:tcW w:w="772" w:type="dxa"/>
                  <w:tcBorders>
                    <w:tl2br w:val="nil"/>
                    <w:tr2bl w:val="nil"/>
                  </w:tcBorders>
                  <w:noWrap w:val="0"/>
                  <w:vAlign w:val="center"/>
                </w:tcPr>
                <w:p w14:paraId="3CB4AE7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r>
            <w:tr w14:paraId="7627B0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tcBorders>
                    <w:tl2br w:val="nil"/>
                    <w:tr2bl w:val="nil"/>
                  </w:tcBorders>
                  <w:noWrap w:val="0"/>
                  <w:vAlign w:val="center"/>
                </w:tcPr>
                <w:p w14:paraId="2A26DC4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bidi="ar-SA"/>
                    </w:rPr>
                    <w:t>11</w:t>
                  </w:r>
                </w:p>
              </w:tc>
              <w:tc>
                <w:tcPr>
                  <w:tcW w:w="1298" w:type="dxa"/>
                  <w:tcBorders>
                    <w:tl2br w:val="nil"/>
                    <w:tr2bl w:val="nil"/>
                  </w:tcBorders>
                  <w:noWrap w:val="0"/>
                  <w:vAlign w:val="center"/>
                </w:tcPr>
                <w:p w14:paraId="6D1B473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snapToGrid w:val="0"/>
                      <w:color w:val="auto"/>
                      <w:sz w:val="22"/>
                      <w:szCs w:val="22"/>
                      <w:lang w:val="en-US" w:eastAsia="zh-CN"/>
                    </w:rPr>
                  </w:pPr>
                  <w:r>
                    <w:rPr>
                      <w:rFonts w:hint="default" w:ascii="Times New Roman" w:hAnsi="Times New Roman" w:eastAsia="宋体" w:cs="Times New Roman"/>
                      <w:bCs/>
                      <w:snapToGrid w:val="0"/>
                      <w:color w:val="auto"/>
                      <w:sz w:val="22"/>
                      <w:szCs w:val="22"/>
                      <w:lang w:val="en-US" w:eastAsia="zh-CN"/>
                    </w:rPr>
                    <w:t>液</w:t>
                  </w:r>
                  <w:r>
                    <w:rPr>
                      <w:rFonts w:hint="default" w:ascii="Times New Roman" w:hAnsi="Times New Roman" w:eastAsia="宋体" w:cs="Times New Roman"/>
                      <w:bCs/>
                      <w:snapToGrid w:val="0"/>
                      <w:color w:val="auto"/>
                      <w:sz w:val="22"/>
                      <w:szCs w:val="22"/>
                    </w:rPr>
                    <w:t>氩</w:t>
                  </w:r>
                  <w:r>
                    <w:rPr>
                      <w:rFonts w:hint="default" w:ascii="Times New Roman" w:hAnsi="Times New Roman" w:eastAsia="宋体" w:cs="Times New Roman"/>
                      <w:bCs/>
                      <w:snapToGrid w:val="0"/>
                      <w:color w:val="auto"/>
                      <w:sz w:val="22"/>
                      <w:szCs w:val="22"/>
                      <w:lang w:eastAsia="zh-CN"/>
                    </w:rPr>
                    <w:t>（</w:t>
                  </w:r>
                  <w:r>
                    <w:rPr>
                      <w:rFonts w:hint="default" w:ascii="Times New Roman" w:hAnsi="Times New Roman" w:eastAsia="宋体" w:cs="Times New Roman"/>
                      <w:snapToGrid w:val="0"/>
                      <w:color w:val="auto"/>
                      <w:kern w:val="0"/>
                      <w:sz w:val="22"/>
                      <w:szCs w:val="22"/>
                      <w:lang w:val="en-US" w:eastAsia="zh-CN"/>
                    </w:rPr>
                    <w:t>m</w:t>
                  </w:r>
                  <w:r>
                    <w:rPr>
                      <w:rFonts w:hint="default" w:ascii="Times New Roman" w:hAnsi="Times New Roman" w:eastAsia="宋体" w:cs="Times New Roman"/>
                      <w:snapToGrid w:val="0"/>
                      <w:color w:val="auto"/>
                      <w:kern w:val="0"/>
                      <w:sz w:val="22"/>
                      <w:szCs w:val="22"/>
                      <w:vertAlign w:val="superscript"/>
                      <w:lang w:val="en-US" w:eastAsia="zh-CN"/>
                    </w:rPr>
                    <w:t>3</w:t>
                  </w:r>
                  <w:r>
                    <w:rPr>
                      <w:rFonts w:hint="default" w:ascii="Times New Roman" w:hAnsi="Times New Roman" w:eastAsia="宋体" w:cs="Times New Roman"/>
                      <w:bCs/>
                      <w:snapToGrid w:val="0"/>
                      <w:color w:val="auto"/>
                      <w:sz w:val="22"/>
                      <w:szCs w:val="22"/>
                      <w:lang w:eastAsia="zh-CN"/>
                    </w:rPr>
                    <w:t>）</w:t>
                  </w:r>
                </w:p>
              </w:tc>
              <w:tc>
                <w:tcPr>
                  <w:tcW w:w="937" w:type="dxa"/>
                  <w:tcBorders>
                    <w:tl2br w:val="nil"/>
                    <w:tr2bl w:val="nil"/>
                  </w:tcBorders>
                  <w:noWrap w:val="0"/>
                  <w:vAlign w:val="center"/>
                </w:tcPr>
                <w:p w14:paraId="0F49665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bidi="ar-SA"/>
                    </w:rPr>
                    <w:t>628</w:t>
                  </w:r>
                </w:p>
              </w:tc>
              <w:tc>
                <w:tcPr>
                  <w:tcW w:w="1055" w:type="dxa"/>
                  <w:tcBorders>
                    <w:tl2br w:val="nil"/>
                    <w:tr2bl w:val="nil"/>
                  </w:tcBorders>
                  <w:noWrap w:val="0"/>
                  <w:vAlign w:val="center"/>
                </w:tcPr>
                <w:p w14:paraId="1F6FBEE1">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5733</w:t>
                  </w:r>
                </w:p>
              </w:tc>
              <w:tc>
                <w:tcPr>
                  <w:tcW w:w="907" w:type="dxa"/>
                  <w:tcBorders>
                    <w:tl2br w:val="nil"/>
                    <w:tr2bl w:val="nil"/>
                  </w:tcBorders>
                  <w:noWrap w:val="0"/>
                  <w:vAlign w:val="center"/>
                </w:tcPr>
                <w:p w14:paraId="198C4CF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3642</w:t>
                  </w:r>
                </w:p>
              </w:tc>
              <w:tc>
                <w:tcPr>
                  <w:tcW w:w="1050" w:type="dxa"/>
                  <w:tcBorders>
                    <w:tl2br w:val="nil"/>
                    <w:tr2bl w:val="nil"/>
                  </w:tcBorders>
                  <w:noWrap w:val="0"/>
                  <w:vAlign w:val="center"/>
                </w:tcPr>
                <w:p w14:paraId="4326DD2A">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9375</w:t>
                  </w:r>
                </w:p>
              </w:tc>
              <w:tc>
                <w:tcPr>
                  <w:tcW w:w="753" w:type="dxa"/>
                  <w:tcBorders>
                    <w:tl2br w:val="nil"/>
                    <w:tr2bl w:val="nil"/>
                  </w:tcBorders>
                  <w:noWrap w:val="0"/>
                  <w:vAlign w:val="center"/>
                </w:tcPr>
                <w:p w14:paraId="47159B2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罐装</w:t>
                  </w:r>
                </w:p>
              </w:tc>
              <w:tc>
                <w:tcPr>
                  <w:tcW w:w="838" w:type="dxa"/>
                  <w:tcBorders>
                    <w:tl2br w:val="nil"/>
                    <w:tr2bl w:val="nil"/>
                  </w:tcBorders>
                  <w:noWrap w:val="0"/>
                  <w:vAlign w:val="center"/>
                </w:tcPr>
                <w:p w14:paraId="23A5255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车间外北侧</w:t>
                  </w:r>
                </w:p>
              </w:tc>
              <w:tc>
                <w:tcPr>
                  <w:tcW w:w="772" w:type="dxa"/>
                  <w:tcBorders>
                    <w:tl2br w:val="nil"/>
                    <w:tr2bl w:val="nil"/>
                  </w:tcBorders>
                  <w:noWrap w:val="0"/>
                  <w:vAlign w:val="center"/>
                </w:tcPr>
                <w:p w14:paraId="4211F08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vertAlign w:val="superscript"/>
                      <w:lang w:val="en-US" w:eastAsia="zh-CN"/>
                    </w:rPr>
                  </w:pPr>
                  <w:r>
                    <w:rPr>
                      <w:rFonts w:hint="default" w:ascii="Times New Roman" w:hAnsi="Times New Roman" w:eastAsia="宋体" w:cs="Times New Roman"/>
                      <w:snapToGrid w:val="0"/>
                      <w:color w:val="auto"/>
                      <w:kern w:val="0"/>
                      <w:sz w:val="22"/>
                      <w:szCs w:val="22"/>
                      <w:lang w:val="en-US" w:eastAsia="zh-CN"/>
                    </w:rPr>
                    <w:t>15m</w:t>
                  </w:r>
                  <w:r>
                    <w:rPr>
                      <w:rFonts w:hint="default" w:ascii="Times New Roman" w:hAnsi="Times New Roman" w:eastAsia="宋体" w:cs="Times New Roman"/>
                      <w:snapToGrid w:val="0"/>
                      <w:color w:val="auto"/>
                      <w:kern w:val="0"/>
                      <w:sz w:val="22"/>
                      <w:szCs w:val="22"/>
                      <w:vertAlign w:val="superscript"/>
                      <w:lang w:val="en-US" w:eastAsia="zh-CN"/>
                    </w:rPr>
                    <w:t>3</w:t>
                  </w:r>
                </w:p>
                <w:p w14:paraId="116C743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vertAlign w:val="baseline"/>
                      <w:lang w:val="en-US" w:eastAsia="zh-CN"/>
                    </w:rPr>
                    <w:t>（液态）</w:t>
                  </w:r>
                </w:p>
              </w:tc>
            </w:tr>
            <w:tr w14:paraId="566BF4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tcBorders>
                    <w:tl2br w:val="nil"/>
                    <w:tr2bl w:val="nil"/>
                  </w:tcBorders>
                  <w:noWrap w:val="0"/>
                  <w:vAlign w:val="center"/>
                </w:tcPr>
                <w:p w14:paraId="3AEFDC6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12</w:t>
                  </w:r>
                </w:p>
              </w:tc>
              <w:tc>
                <w:tcPr>
                  <w:tcW w:w="1298" w:type="dxa"/>
                  <w:tcBorders>
                    <w:tl2br w:val="nil"/>
                    <w:tr2bl w:val="nil"/>
                  </w:tcBorders>
                  <w:noWrap w:val="0"/>
                  <w:vAlign w:val="center"/>
                </w:tcPr>
                <w:p w14:paraId="1C0716E4">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bCs/>
                      <w:snapToGrid w:val="0"/>
                      <w:color w:val="auto"/>
                      <w:sz w:val="22"/>
                      <w:szCs w:val="22"/>
                    </w:rPr>
                    <w:t>润滑油</w:t>
                  </w:r>
                </w:p>
              </w:tc>
              <w:tc>
                <w:tcPr>
                  <w:tcW w:w="937" w:type="dxa"/>
                  <w:tcBorders>
                    <w:tl2br w:val="nil"/>
                    <w:tr2bl w:val="nil"/>
                  </w:tcBorders>
                  <w:noWrap w:val="0"/>
                  <w:vAlign w:val="center"/>
                </w:tcPr>
                <w:p w14:paraId="40F61D4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0.2</w:t>
                  </w:r>
                </w:p>
              </w:tc>
              <w:tc>
                <w:tcPr>
                  <w:tcW w:w="1055" w:type="dxa"/>
                  <w:tcBorders>
                    <w:tl2br w:val="nil"/>
                    <w:tr2bl w:val="nil"/>
                  </w:tcBorders>
                  <w:noWrap w:val="0"/>
                  <w:vAlign w:val="center"/>
                </w:tcPr>
                <w:p w14:paraId="7334CE23">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5</w:t>
                  </w:r>
                </w:p>
              </w:tc>
              <w:tc>
                <w:tcPr>
                  <w:tcW w:w="907" w:type="dxa"/>
                  <w:tcBorders>
                    <w:tl2br w:val="nil"/>
                    <w:tr2bl w:val="nil"/>
                  </w:tcBorders>
                  <w:noWrap w:val="0"/>
                  <w:vAlign w:val="center"/>
                </w:tcPr>
                <w:p w14:paraId="14FEF3E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2</w:t>
                  </w:r>
                </w:p>
              </w:tc>
              <w:tc>
                <w:tcPr>
                  <w:tcW w:w="1050" w:type="dxa"/>
                  <w:tcBorders>
                    <w:tl2br w:val="nil"/>
                    <w:tr2bl w:val="nil"/>
                  </w:tcBorders>
                  <w:noWrap w:val="0"/>
                  <w:vAlign w:val="center"/>
                </w:tcPr>
                <w:p w14:paraId="2CF37316">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7</w:t>
                  </w:r>
                </w:p>
              </w:tc>
              <w:tc>
                <w:tcPr>
                  <w:tcW w:w="753" w:type="dxa"/>
                  <w:tcBorders>
                    <w:tl2br w:val="nil"/>
                    <w:tr2bl w:val="nil"/>
                  </w:tcBorders>
                  <w:noWrap w:val="0"/>
                  <w:vAlign w:val="center"/>
                </w:tcPr>
                <w:p w14:paraId="7E2B122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桶装</w:t>
                  </w:r>
                </w:p>
              </w:tc>
              <w:tc>
                <w:tcPr>
                  <w:tcW w:w="838" w:type="dxa"/>
                  <w:vMerge w:val="restart"/>
                  <w:tcBorders>
                    <w:tl2br w:val="nil"/>
                    <w:tr2bl w:val="nil"/>
                  </w:tcBorders>
                  <w:noWrap w:val="0"/>
                  <w:vAlign w:val="center"/>
                </w:tcPr>
                <w:p w14:paraId="09FA96E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油库</w:t>
                  </w:r>
                </w:p>
              </w:tc>
              <w:tc>
                <w:tcPr>
                  <w:tcW w:w="772" w:type="dxa"/>
                  <w:tcBorders>
                    <w:tl2br w:val="nil"/>
                    <w:tr2bl w:val="nil"/>
                  </w:tcBorders>
                  <w:noWrap w:val="0"/>
                  <w:vAlign w:val="center"/>
                </w:tcPr>
                <w:p w14:paraId="0C22736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0.85</w:t>
                  </w:r>
                </w:p>
              </w:tc>
            </w:tr>
            <w:tr w14:paraId="5F5FB6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tcBorders>
                    <w:tl2br w:val="nil"/>
                    <w:tr2bl w:val="nil"/>
                  </w:tcBorders>
                  <w:noWrap w:val="0"/>
                  <w:vAlign w:val="center"/>
                </w:tcPr>
                <w:p w14:paraId="4D94ED7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13</w:t>
                  </w:r>
                </w:p>
              </w:tc>
              <w:tc>
                <w:tcPr>
                  <w:tcW w:w="1298" w:type="dxa"/>
                  <w:tcBorders>
                    <w:tl2br w:val="nil"/>
                    <w:tr2bl w:val="nil"/>
                  </w:tcBorders>
                  <w:noWrap w:val="0"/>
                  <w:vAlign w:val="center"/>
                </w:tcPr>
                <w:p w14:paraId="6F90F236">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bCs/>
                      <w:snapToGrid w:val="0"/>
                      <w:color w:val="auto"/>
                      <w:sz w:val="22"/>
                      <w:szCs w:val="22"/>
                    </w:rPr>
                    <w:t>液压油</w:t>
                  </w:r>
                </w:p>
              </w:tc>
              <w:tc>
                <w:tcPr>
                  <w:tcW w:w="937" w:type="dxa"/>
                  <w:tcBorders>
                    <w:tl2br w:val="nil"/>
                    <w:tr2bl w:val="nil"/>
                  </w:tcBorders>
                  <w:noWrap w:val="0"/>
                  <w:vAlign w:val="center"/>
                </w:tcPr>
                <w:p w14:paraId="008B1A7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bidi="ar-SA"/>
                    </w:rPr>
                    <w:t>0.2</w:t>
                  </w:r>
                </w:p>
              </w:tc>
              <w:tc>
                <w:tcPr>
                  <w:tcW w:w="1055" w:type="dxa"/>
                  <w:tcBorders>
                    <w:tl2br w:val="nil"/>
                    <w:tr2bl w:val="nil"/>
                  </w:tcBorders>
                  <w:noWrap w:val="0"/>
                  <w:vAlign w:val="center"/>
                </w:tcPr>
                <w:p w14:paraId="1BE67B9E">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5</w:t>
                  </w:r>
                </w:p>
              </w:tc>
              <w:tc>
                <w:tcPr>
                  <w:tcW w:w="907" w:type="dxa"/>
                  <w:tcBorders>
                    <w:tl2br w:val="nil"/>
                    <w:tr2bl w:val="nil"/>
                  </w:tcBorders>
                  <w:noWrap w:val="0"/>
                  <w:vAlign w:val="center"/>
                </w:tcPr>
                <w:p w14:paraId="0DDDDE9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2</w:t>
                  </w:r>
                </w:p>
              </w:tc>
              <w:tc>
                <w:tcPr>
                  <w:tcW w:w="1050" w:type="dxa"/>
                  <w:tcBorders>
                    <w:tl2br w:val="nil"/>
                    <w:tr2bl w:val="nil"/>
                  </w:tcBorders>
                  <w:noWrap w:val="0"/>
                  <w:vAlign w:val="center"/>
                </w:tcPr>
                <w:p w14:paraId="1BB868B1">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7</w:t>
                  </w:r>
                </w:p>
              </w:tc>
              <w:tc>
                <w:tcPr>
                  <w:tcW w:w="753" w:type="dxa"/>
                  <w:tcBorders>
                    <w:tl2br w:val="nil"/>
                    <w:tr2bl w:val="nil"/>
                  </w:tcBorders>
                  <w:noWrap w:val="0"/>
                  <w:vAlign w:val="center"/>
                </w:tcPr>
                <w:p w14:paraId="3F502BA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桶装</w:t>
                  </w:r>
                </w:p>
              </w:tc>
              <w:tc>
                <w:tcPr>
                  <w:tcW w:w="838" w:type="dxa"/>
                  <w:vMerge w:val="continue"/>
                  <w:tcBorders>
                    <w:tl2br w:val="nil"/>
                    <w:tr2bl w:val="nil"/>
                  </w:tcBorders>
                  <w:noWrap w:val="0"/>
                  <w:vAlign w:val="center"/>
                </w:tcPr>
                <w:p w14:paraId="36EC877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72" w:type="dxa"/>
                  <w:tcBorders>
                    <w:tl2br w:val="nil"/>
                    <w:tr2bl w:val="nil"/>
                  </w:tcBorders>
                  <w:noWrap w:val="0"/>
                  <w:vAlign w:val="center"/>
                </w:tcPr>
                <w:p w14:paraId="64BF683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0.85</w:t>
                  </w:r>
                </w:p>
              </w:tc>
            </w:tr>
            <w:tr w14:paraId="53CC26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tcBorders>
                    <w:tl2br w:val="nil"/>
                    <w:tr2bl w:val="nil"/>
                  </w:tcBorders>
                  <w:noWrap w:val="0"/>
                  <w:vAlign w:val="center"/>
                </w:tcPr>
                <w:p w14:paraId="7B3BC36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14</w:t>
                  </w:r>
                </w:p>
              </w:tc>
              <w:tc>
                <w:tcPr>
                  <w:tcW w:w="1298" w:type="dxa"/>
                  <w:tcBorders>
                    <w:tl2br w:val="nil"/>
                    <w:tr2bl w:val="nil"/>
                  </w:tcBorders>
                  <w:noWrap w:val="0"/>
                  <w:vAlign w:val="center"/>
                </w:tcPr>
                <w:p w14:paraId="7B63C8FC">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bCs/>
                      <w:snapToGrid w:val="0"/>
                      <w:color w:val="auto"/>
                      <w:sz w:val="22"/>
                      <w:szCs w:val="22"/>
                    </w:rPr>
                    <w:t>柴油</w:t>
                  </w:r>
                </w:p>
              </w:tc>
              <w:tc>
                <w:tcPr>
                  <w:tcW w:w="937" w:type="dxa"/>
                  <w:tcBorders>
                    <w:tl2br w:val="nil"/>
                    <w:tr2bl w:val="nil"/>
                  </w:tcBorders>
                  <w:noWrap w:val="0"/>
                  <w:vAlign w:val="center"/>
                </w:tcPr>
                <w:p w14:paraId="1B8744A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bidi="ar-SA"/>
                    </w:rPr>
                    <w:t>20</w:t>
                  </w:r>
                </w:p>
              </w:tc>
              <w:tc>
                <w:tcPr>
                  <w:tcW w:w="1055" w:type="dxa"/>
                  <w:tcBorders>
                    <w:tl2br w:val="nil"/>
                    <w:tr2bl w:val="nil"/>
                  </w:tcBorders>
                  <w:noWrap w:val="0"/>
                  <w:vAlign w:val="center"/>
                </w:tcPr>
                <w:p w14:paraId="5F91BD81">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20</w:t>
                  </w:r>
                </w:p>
              </w:tc>
              <w:tc>
                <w:tcPr>
                  <w:tcW w:w="907" w:type="dxa"/>
                  <w:tcBorders>
                    <w:tl2br w:val="nil"/>
                    <w:tr2bl w:val="nil"/>
                  </w:tcBorders>
                  <w:noWrap w:val="0"/>
                  <w:vAlign w:val="center"/>
                </w:tcPr>
                <w:p w14:paraId="6AB2FE8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18</w:t>
                  </w:r>
                </w:p>
              </w:tc>
              <w:tc>
                <w:tcPr>
                  <w:tcW w:w="1050" w:type="dxa"/>
                  <w:tcBorders>
                    <w:tl2br w:val="nil"/>
                    <w:tr2bl w:val="nil"/>
                  </w:tcBorders>
                  <w:noWrap w:val="0"/>
                  <w:vAlign w:val="center"/>
                </w:tcPr>
                <w:p w14:paraId="64C7EA0A">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38</w:t>
                  </w:r>
                </w:p>
              </w:tc>
              <w:tc>
                <w:tcPr>
                  <w:tcW w:w="753" w:type="dxa"/>
                  <w:tcBorders>
                    <w:tl2br w:val="nil"/>
                    <w:tr2bl w:val="nil"/>
                  </w:tcBorders>
                  <w:noWrap w:val="0"/>
                  <w:vAlign w:val="center"/>
                </w:tcPr>
                <w:p w14:paraId="063EE28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桶装</w:t>
                  </w:r>
                </w:p>
              </w:tc>
              <w:tc>
                <w:tcPr>
                  <w:tcW w:w="838" w:type="dxa"/>
                  <w:vMerge w:val="continue"/>
                  <w:tcBorders>
                    <w:tl2br w:val="nil"/>
                    <w:tr2bl w:val="nil"/>
                  </w:tcBorders>
                  <w:noWrap w:val="0"/>
                  <w:vAlign w:val="center"/>
                </w:tcPr>
                <w:p w14:paraId="76AE0D9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72" w:type="dxa"/>
                  <w:tcBorders>
                    <w:tl2br w:val="nil"/>
                    <w:tr2bl w:val="nil"/>
                  </w:tcBorders>
                  <w:noWrap w:val="0"/>
                  <w:vAlign w:val="center"/>
                </w:tcPr>
                <w:p w14:paraId="1587B53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0.85</w:t>
                  </w:r>
                </w:p>
              </w:tc>
            </w:tr>
            <w:tr w14:paraId="3ECED5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tcBorders>
                    <w:tl2br w:val="nil"/>
                    <w:tr2bl w:val="nil"/>
                  </w:tcBorders>
                  <w:noWrap w:val="0"/>
                  <w:vAlign w:val="center"/>
                </w:tcPr>
                <w:p w14:paraId="6219802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15</w:t>
                  </w:r>
                </w:p>
              </w:tc>
              <w:tc>
                <w:tcPr>
                  <w:tcW w:w="1298" w:type="dxa"/>
                  <w:tcBorders>
                    <w:tl2br w:val="nil"/>
                    <w:tr2bl w:val="nil"/>
                  </w:tcBorders>
                  <w:noWrap w:val="0"/>
                  <w:vAlign w:val="center"/>
                </w:tcPr>
                <w:p w14:paraId="7639A917">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color w:val="auto"/>
                      <w:sz w:val="22"/>
                      <w:szCs w:val="22"/>
                    </w:rPr>
                    <w:t>切削液</w:t>
                  </w:r>
                </w:p>
              </w:tc>
              <w:tc>
                <w:tcPr>
                  <w:tcW w:w="937" w:type="dxa"/>
                  <w:tcBorders>
                    <w:tl2br w:val="nil"/>
                    <w:tr2bl w:val="nil"/>
                  </w:tcBorders>
                  <w:noWrap w:val="0"/>
                  <w:vAlign w:val="center"/>
                </w:tcPr>
                <w:p w14:paraId="4F0BEE7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0.3</w:t>
                  </w:r>
                </w:p>
              </w:tc>
              <w:tc>
                <w:tcPr>
                  <w:tcW w:w="1055" w:type="dxa"/>
                  <w:tcBorders>
                    <w:tl2br w:val="nil"/>
                    <w:tr2bl w:val="nil"/>
                  </w:tcBorders>
                  <w:noWrap w:val="0"/>
                  <w:vAlign w:val="center"/>
                </w:tcPr>
                <w:p w14:paraId="70C02283">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0.25</w:t>
                  </w:r>
                </w:p>
              </w:tc>
              <w:tc>
                <w:tcPr>
                  <w:tcW w:w="907" w:type="dxa"/>
                  <w:tcBorders>
                    <w:tl2br w:val="nil"/>
                    <w:tr2bl w:val="nil"/>
                  </w:tcBorders>
                  <w:noWrap w:val="0"/>
                  <w:vAlign w:val="center"/>
                </w:tcPr>
                <w:p w14:paraId="12641C8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0.25</w:t>
                  </w:r>
                </w:p>
              </w:tc>
              <w:tc>
                <w:tcPr>
                  <w:tcW w:w="1050" w:type="dxa"/>
                  <w:tcBorders>
                    <w:tl2br w:val="nil"/>
                    <w:tr2bl w:val="nil"/>
                  </w:tcBorders>
                  <w:noWrap w:val="0"/>
                  <w:vAlign w:val="center"/>
                </w:tcPr>
                <w:p w14:paraId="58B8FC66">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0.5</w:t>
                  </w:r>
                </w:p>
              </w:tc>
              <w:tc>
                <w:tcPr>
                  <w:tcW w:w="753" w:type="dxa"/>
                  <w:tcBorders>
                    <w:tl2br w:val="nil"/>
                    <w:tr2bl w:val="nil"/>
                  </w:tcBorders>
                  <w:noWrap w:val="0"/>
                  <w:vAlign w:val="center"/>
                </w:tcPr>
                <w:p w14:paraId="16CC5CC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桶装</w:t>
                  </w:r>
                </w:p>
              </w:tc>
              <w:tc>
                <w:tcPr>
                  <w:tcW w:w="838" w:type="dxa"/>
                  <w:vMerge w:val="continue"/>
                  <w:tcBorders>
                    <w:tl2br w:val="nil"/>
                    <w:tr2bl w:val="nil"/>
                  </w:tcBorders>
                  <w:noWrap w:val="0"/>
                  <w:vAlign w:val="center"/>
                </w:tcPr>
                <w:p w14:paraId="0EE0123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72" w:type="dxa"/>
                  <w:tcBorders>
                    <w:tl2br w:val="nil"/>
                    <w:tr2bl w:val="nil"/>
                  </w:tcBorders>
                  <w:noWrap w:val="0"/>
                  <w:vAlign w:val="center"/>
                </w:tcPr>
                <w:p w14:paraId="34B79C8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0.</w:t>
                  </w:r>
                  <w:r>
                    <w:rPr>
                      <w:rFonts w:hint="eastAsia" w:ascii="Times New Roman" w:hAnsi="Times New Roman" w:eastAsia="宋体" w:cs="Times New Roman"/>
                      <w:snapToGrid w:val="0"/>
                      <w:color w:val="auto"/>
                      <w:kern w:val="0"/>
                      <w:sz w:val="22"/>
                      <w:szCs w:val="22"/>
                      <w:lang w:val="en-US" w:eastAsia="zh-CN"/>
                    </w:rPr>
                    <w:t>34</w:t>
                  </w:r>
                </w:p>
              </w:tc>
            </w:tr>
            <w:tr w14:paraId="6A7B2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tcBorders>
                    <w:tl2br w:val="nil"/>
                    <w:tr2bl w:val="nil"/>
                  </w:tcBorders>
                  <w:noWrap w:val="0"/>
                  <w:vAlign w:val="center"/>
                </w:tcPr>
                <w:p w14:paraId="3187793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rPr>
                    <w:t>16</w:t>
                  </w:r>
                </w:p>
              </w:tc>
              <w:tc>
                <w:tcPr>
                  <w:tcW w:w="1298" w:type="dxa"/>
                  <w:tcBorders>
                    <w:tl2br w:val="nil"/>
                    <w:tr2bl w:val="nil"/>
                  </w:tcBorders>
                  <w:noWrap w:val="0"/>
                  <w:vAlign w:val="center"/>
                </w:tcPr>
                <w:p w14:paraId="10AABAC0">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snapToGrid w:val="0"/>
                      <w:color w:val="auto"/>
                      <w:sz w:val="22"/>
                      <w:szCs w:val="22"/>
                    </w:rPr>
                  </w:pPr>
                  <w:r>
                    <w:rPr>
                      <w:rFonts w:hint="default" w:ascii="Times New Roman" w:hAnsi="Times New Roman" w:eastAsia="宋体" w:cs="Times New Roman"/>
                      <w:bCs/>
                      <w:snapToGrid w:val="0"/>
                      <w:color w:val="auto"/>
                      <w:sz w:val="22"/>
                      <w:szCs w:val="22"/>
                    </w:rPr>
                    <w:t>天然气</w:t>
                  </w:r>
                </w:p>
                <w:p w14:paraId="6FD11E72">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bCs/>
                      <w:snapToGrid w:val="0"/>
                      <w:color w:val="auto"/>
                      <w:sz w:val="22"/>
                      <w:szCs w:val="22"/>
                      <w:lang w:eastAsia="zh-CN"/>
                    </w:rPr>
                    <w:t>（</w:t>
                  </w:r>
                  <w:r>
                    <w:rPr>
                      <w:rFonts w:hint="default" w:ascii="Times New Roman" w:hAnsi="Times New Roman" w:eastAsia="宋体" w:cs="Times New Roman"/>
                      <w:bCs/>
                      <w:snapToGrid w:val="0"/>
                      <w:color w:val="auto"/>
                      <w:sz w:val="22"/>
                      <w:szCs w:val="22"/>
                      <w:lang w:val="en-US" w:eastAsia="zh-CN"/>
                    </w:rPr>
                    <w:t>万</w:t>
                  </w:r>
                  <w:r>
                    <w:rPr>
                      <w:rFonts w:hint="default" w:ascii="Times New Roman" w:hAnsi="Times New Roman" w:eastAsia="宋体" w:cs="Times New Roman"/>
                      <w:snapToGrid w:val="0"/>
                      <w:color w:val="auto"/>
                      <w:kern w:val="0"/>
                      <w:sz w:val="22"/>
                      <w:szCs w:val="22"/>
                      <w:lang w:val="en-US" w:eastAsia="zh-CN"/>
                    </w:rPr>
                    <w:t>m</w:t>
                  </w:r>
                  <w:r>
                    <w:rPr>
                      <w:rFonts w:hint="default" w:ascii="Times New Roman" w:hAnsi="Times New Roman" w:eastAsia="宋体" w:cs="Times New Roman"/>
                      <w:snapToGrid w:val="0"/>
                      <w:color w:val="auto"/>
                      <w:kern w:val="0"/>
                      <w:sz w:val="22"/>
                      <w:szCs w:val="22"/>
                      <w:vertAlign w:val="superscript"/>
                      <w:lang w:val="en-US" w:eastAsia="zh-CN"/>
                    </w:rPr>
                    <w:t>3</w:t>
                  </w:r>
                  <w:r>
                    <w:rPr>
                      <w:rFonts w:hint="default" w:ascii="Times New Roman" w:hAnsi="Times New Roman" w:eastAsia="宋体" w:cs="Times New Roman"/>
                      <w:bCs/>
                      <w:snapToGrid w:val="0"/>
                      <w:color w:val="auto"/>
                      <w:sz w:val="22"/>
                      <w:szCs w:val="22"/>
                      <w:lang w:eastAsia="zh-CN"/>
                    </w:rPr>
                    <w:t>）</w:t>
                  </w:r>
                </w:p>
              </w:tc>
              <w:tc>
                <w:tcPr>
                  <w:tcW w:w="937" w:type="dxa"/>
                  <w:tcBorders>
                    <w:tl2br w:val="nil"/>
                    <w:tr2bl w:val="nil"/>
                  </w:tcBorders>
                  <w:noWrap w:val="0"/>
                  <w:vAlign w:val="center"/>
                </w:tcPr>
                <w:p w14:paraId="7A6C4F1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bidi="ar-SA"/>
                    </w:rPr>
                    <w:t>281.72</w:t>
                  </w:r>
                </w:p>
              </w:tc>
              <w:tc>
                <w:tcPr>
                  <w:tcW w:w="1055" w:type="dxa"/>
                  <w:tcBorders>
                    <w:tl2br w:val="nil"/>
                    <w:tr2bl w:val="nil"/>
                  </w:tcBorders>
                  <w:noWrap w:val="0"/>
                  <w:vAlign w:val="center"/>
                </w:tcPr>
                <w:p w14:paraId="0520BEED">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879.4</w:t>
                  </w:r>
                </w:p>
              </w:tc>
              <w:tc>
                <w:tcPr>
                  <w:tcW w:w="907" w:type="dxa"/>
                  <w:tcBorders>
                    <w:tl2br w:val="nil"/>
                    <w:tr2bl w:val="nil"/>
                  </w:tcBorders>
                  <w:noWrap w:val="0"/>
                  <w:vAlign w:val="center"/>
                </w:tcPr>
                <w:p w14:paraId="04880C4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610.5</w:t>
                  </w:r>
                </w:p>
              </w:tc>
              <w:tc>
                <w:tcPr>
                  <w:tcW w:w="1050" w:type="dxa"/>
                  <w:tcBorders>
                    <w:tl2br w:val="nil"/>
                    <w:tr2bl w:val="nil"/>
                  </w:tcBorders>
                  <w:noWrap w:val="0"/>
                  <w:vAlign w:val="center"/>
                </w:tcPr>
                <w:p w14:paraId="4EB9D865">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1489.9</w:t>
                  </w:r>
                </w:p>
              </w:tc>
              <w:tc>
                <w:tcPr>
                  <w:tcW w:w="753" w:type="dxa"/>
                  <w:tcBorders>
                    <w:tl2br w:val="nil"/>
                    <w:tr2bl w:val="nil"/>
                  </w:tcBorders>
                  <w:noWrap w:val="0"/>
                  <w:vAlign w:val="center"/>
                </w:tcPr>
                <w:p w14:paraId="51F7DAE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c>
                <w:tcPr>
                  <w:tcW w:w="838" w:type="dxa"/>
                  <w:vMerge w:val="restart"/>
                  <w:tcBorders>
                    <w:tl2br w:val="nil"/>
                    <w:tr2bl w:val="nil"/>
                  </w:tcBorders>
                  <w:noWrap w:val="0"/>
                  <w:vAlign w:val="center"/>
                </w:tcPr>
                <w:p w14:paraId="20B6196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不暂存</w:t>
                  </w:r>
                </w:p>
              </w:tc>
              <w:tc>
                <w:tcPr>
                  <w:tcW w:w="772" w:type="dxa"/>
                  <w:tcBorders>
                    <w:tl2br w:val="nil"/>
                    <w:tr2bl w:val="nil"/>
                  </w:tcBorders>
                  <w:noWrap w:val="0"/>
                  <w:vAlign w:val="center"/>
                </w:tcPr>
                <w:p w14:paraId="543BE05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r>
            <w:tr w14:paraId="5EEDF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tcBorders>
                    <w:tl2br w:val="nil"/>
                    <w:tr2bl w:val="nil"/>
                  </w:tcBorders>
                  <w:noWrap w:val="0"/>
                  <w:vAlign w:val="center"/>
                </w:tcPr>
                <w:p w14:paraId="74DDA36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bidi="ar-SA"/>
                    </w:rPr>
                    <w:t>17</w:t>
                  </w:r>
                </w:p>
              </w:tc>
              <w:tc>
                <w:tcPr>
                  <w:tcW w:w="1298" w:type="dxa"/>
                  <w:tcBorders>
                    <w:tl2br w:val="nil"/>
                    <w:tr2bl w:val="nil"/>
                  </w:tcBorders>
                  <w:noWrap w:val="0"/>
                  <w:vAlign w:val="center"/>
                </w:tcPr>
                <w:p w14:paraId="3DA56800">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bCs/>
                      <w:snapToGrid w:val="0"/>
                      <w:color w:val="auto"/>
                      <w:sz w:val="22"/>
                      <w:szCs w:val="22"/>
                    </w:rPr>
                    <w:t>水</w:t>
                  </w:r>
                  <w:r>
                    <w:rPr>
                      <w:rFonts w:hint="default" w:ascii="Times New Roman" w:hAnsi="Times New Roman" w:eastAsia="宋体" w:cs="Times New Roman"/>
                      <w:bCs/>
                      <w:snapToGrid w:val="0"/>
                      <w:color w:val="auto"/>
                      <w:sz w:val="22"/>
                      <w:szCs w:val="22"/>
                      <w:lang w:eastAsia="zh-CN"/>
                    </w:rPr>
                    <w:t>（</w:t>
                  </w:r>
                  <w:r>
                    <w:rPr>
                      <w:rFonts w:hint="default" w:ascii="Times New Roman" w:hAnsi="Times New Roman" w:eastAsia="宋体" w:cs="Times New Roman"/>
                      <w:bCs/>
                      <w:snapToGrid w:val="0"/>
                      <w:color w:val="auto"/>
                      <w:sz w:val="22"/>
                      <w:szCs w:val="22"/>
                      <w:lang w:val="en-US" w:eastAsia="zh-CN"/>
                    </w:rPr>
                    <w:t>万m</w:t>
                  </w:r>
                  <w:r>
                    <w:rPr>
                      <w:rFonts w:hint="default" w:ascii="Times New Roman" w:hAnsi="Times New Roman" w:eastAsia="宋体" w:cs="Times New Roman"/>
                      <w:bCs/>
                      <w:snapToGrid w:val="0"/>
                      <w:color w:val="auto"/>
                      <w:sz w:val="22"/>
                      <w:szCs w:val="22"/>
                      <w:vertAlign w:val="superscript"/>
                      <w:lang w:val="en-US" w:eastAsia="zh-CN"/>
                    </w:rPr>
                    <w:t>3</w:t>
                  </w:r>
                  <w:r>
                    <w:rPr>
                      <w:rFonts w:hint="default" w:ascii="Times New Roman" w:hAnsi="Times New Roman" w:eastAsia="宋体" w:cs="Times New Roman"/>
                      <w:bCs/>
                      <w:snapToGrid w:val="0"/>
                      <w:color w:val="auto"/>
                      <w:sz w:val="22"/>
                      <w:szCs w:val="22"/>
                      <w:vertAlign w:val="baseline"/>
                      <w:lang w:val="en-US" w:eastAsia="zh-CN"/>
                    </w:rPr>
                    <w:t>/a</w:t>
                  </w:r>
                  <w:r>
                    <w:rPr>
                      <w:rFonts w:hint="default" w:ascii="Times New Roman" w:hAnsi="Times New Roman" w:eastAsia="宋体" w:cs="Times New Roman"/>
                      <w:bCs/>
                      <w:snapToGrid w:val="0"/>
                      <w:color w:val="auto"/>
                      <w:sz w:val="22"/>
                      <w:szCs w:val="22"/>
                      <w:lang w:eastAsia="zh-CN"/>
                    </w:rPr>
                    <w:t>）</w:t>
                  </w:r>
                </w:p>
              </w:tc>
              <w:tc>
                <w:tcPr>
                  <w:tcW w:w="937" w:type="dxa"/>
                  <w:tcBorders>
                    <w:tl2br w:val="nil"/>
                    <w:tr2bl w:val="nil"/>
                  </w:tcBorders>
                  <w:noWrap w:val="0"/>
                  <w:vAlign w:val="center"/>
                </w:tcPr>
                <w:p w14:paraId="79CC56A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bidi="ar-SA"/>
                    </w:rPr>
                    <w:t>11.655</w:t>
                  </w:r>
                </w:p>
              </w:tc>
              <w:tc>
                <w:tcPr>
                  <w:tcW w:w="1055" w:type="dxa"/>
                  <w:tcBorders>
                    <w:tl2br w:val="nil"/>
                    <w:tr2bl w:val="nil"/>
                  </w:tcBorders>
                  <w:noWrap w:val="0"/>
                  <w:vAlign w:val="center"/>
                </w:tcPr>
                <w:p w14:paraId="3EF7372D">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2.575</w:t>
                  </w:r>
                </w:p>
              </w:tc>
              <w:tc>
                <w:tcPr>
                  <w:tcW w:w="907" w:type="dxa"/>
                  <w:tcBorders>
                    <w:tl2br w:val="nil"/>
                    <w:tr2bl w:val="nil"/>
                  </w:tcBorders>
                  <w:noWrap w:val="0"/>
                  <w:vAlign w:val="center"/>
                </w:tcPr>
                <w:p w14:paraId="0DD21EA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eastAsia" w:ascii="Times New Roman" w:hAnsi="Times New Roman" w:eastAsia="宋体" w:cs="Times New Roman"/>
                      <w:snapToGrid w:val="0"/>
                      <w:color w:val="auto"/>
                      <w:kern w:val="0"/>
                      <w:sz w:val="22"/>
                      <w:szCs w:val="22"/>
                      <w:lang w:val="en-US" w:eastAsia="zh-CN"/>
                    </w:rPr>
                    <w:t>2.23</w:t>
                  </w:r>
                </w:p>
              </w:tc>
              <w:tc>
                <w:tcPr>
                  <w:tcW w:w="1050" w:type="dxa"/>
                  <w:tcBorders>
                    <w:tl2br w:val="nil"/>
                    <w:tr2bl w:val="nil"/>
                  </w:tcBorders>
                  <w:noWrap w:val="0"/>
                  <w:vAlign w:val="center"/>
                </w:tcPr>
                <w:p w14:paraId="72EF710E">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4.805</w:t>
                  </w:r>
                </w:p>
              </w:tc>
              <w:tc>
                <w:tcPr>
                  <w:tcW w:w="753" w:type="dxa"/>
                  <w:tcBorders>
                    <w:tl2br w:val="nil"/>
                    <w:tr2bl w:val="nil"/>
                  </w:tcBorders>
                  <w:noWrap w:val="0"/>
                  <w:vAlign w:val="center"/>
                </w:tcPr>
                <w:p w14:paraId="6F8375C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c>
                <w:tcPr>
                  <w:tcW w:w="838" w:type="dxa"/>
                  <w:vMerge w:val="continue"/>
                  <w:tcBorders>
                    <w:tl2br w:val="nil"/>
                    <w:tr2bl w:val="nil"/>
                  </w:tcBorders>
                  <w:noWrap w:val="0"/>
                  <w:vAlign w:val="center"/>
                </w:tcPr>
                <w:p w14:paraId="0E402B0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72" w:type="dxa"/>
                  <w:tcBorders>
                    <w:tl2br w:val="nil"/>
                    <w:tr2bl w:val="nil"/>
                  </w:tcBorders>
                  <w:noWrap w:val="0"/>
                  <w:vAlign w:val="center"/>
                </w:tcPr>
                <w:p w14:paraId="75B2718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r>
            <w:tr w14:paraId="0FC214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tcBorders>
                    <w:tl2br w:val="nil"/>
                    <w:tr2bl w:val="nil"/>
                  </w:tcBorders>
                  <w:noWrap w:val="0"/>
                  <w:vAlign w:val="center"/>
                </w:tcPr>
                <w:p w14:paraId="784D495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18</w:t>
                  </w:r>
                </w:p>
              </w:tc>
              <w:tc>
                <w:tcPr>
                  <w:tcW w:w="1298" w:type="dxa"/>
                  <w:tcBorders>
                    <w:tl2br w:val="nil"/>
                    <w:tr2bl w:val="nil"/>
                  </w:tcBorders>
                  <w:noWrap w:val="0"/>
                  <w:vAlign w:val="center"/>
                </w:tcPr>
                <w:p w14:paraId="6427C6CA">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bCs/>
                      <w:snapToGrid w:val="0"/>
                      <w:color w:val="auto"/>
                      <w:sz w:val="22"/>
                      <w:szCs w:val="22"/>
                    </w:rPr>
                    <w:t>电</w:t>
                  </w:r>
                  <w:r>
                    <w:rPr>
                      <w:rFonts w:hint="default" w:ascii="Times New Roman" w:hAnsi="Times New Roman" w:eastAsia="宋体" w:cs="Times New Roman"/>
                      <w:bCs/>
                      <w:snapToGrid w:val="0"/>
                      <w:color w:val="auto"/>
                      <w:sz w:val="22"/>
                      <w:szCs w:val="22"/>
                      <w:lang w:eastAsia="zh-CN"/>
                    </w:rPr>
                    <w:t>（</w:t>
                  </w:r>
                  <w:r>
                    <w:rPr>
                      <w:rFonts w:hint="default" w:ascii="Times New Roman" w:hAnsi="Times New Roman" w:eastAsia="宋体" w:cs="Times New Roman"/>
                      <w:bCs/>
                      <w:snapToGrid w:val="0"/>
                      <w:color w:val="auto"/>
                      <w:sz w:val="22"/>
                      <w:szCs w:val="22"/>
                      <w:lang w:val="en-US" w:eastAsia="zh-CN"/>
                    </w:rPr>
                    <w:t>万度/a</w:t>
                  </w:r>
                  <w:r>
                    <w:rPr>
                      <w:rFonts w:hint="default" w:ascii="Times New Roman" w:hAnsi="Times New Roman" w:eastAsia="宋体" w:cs="Times New Roman"/>
                      <w:bCs/>
                      <w:snapToGrid w:val="0"/>
                      <w:color w:val="auto"/>
                      <w:sz w:val="22"/>
                      <w:szCs w:val="22"/>
                      <w:lang w:eastAsia="zh-CN"/>
                    </w:rPr>
                    <w:t>）</w:t>
                  </w:r>
                </w:p>
              </w:tc>
              <w:tc>
                <w:tcPr>
                  <w:tcW w:w="937" w:type="dxa"/>
                  <w:tcBorders>
                    <w:tl2br w:val="nil"/>
                    <w:tr2bl w:val="nil"/>
                  </w:tcBorders>
                  <w:noWrap w:val="0"/>
                  <w:vAlign w:val="center"/>
                </w:tcPr>
                <w:p w14:paraId="2F1D780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bidi="ar-SA"/>
                    </w:rPr>
                  </w:pPr>
                  <w:r>
                    <w:rPr>
                      <w:rFonts w:hint="default" w:ascii="Times New Roman" w:hAnsi="Times New Roman" w:eastAsia="宋体" w:cs="Times New Roman"/>
                      <w:snapToGrid w:val="0"/>
                      <w:color w:val="auto"/>
                      <w:kern w:val="0"/>
                      <w:sz w:val="22"/>
                      <w:szCs w:val="22"/>
                      <w:lang w:val="en-US" w:eastAsia="zh-CN" w:bidi="ar-SA"/>
                    </w:rPr>
                    <w:t>502</w:t>
                  </w:r>
                </w:p>
              </w:tc>
              <w:tc>
                <w:tcPr>
                  <w:tcW w:w="1055" w:type="dxa"/>
                  <w:tcBorders>
                    <w:tl2br w:val="nil"/>
                    <w:tr2bl w:val="nil"/>
                  </w:tcBorders>
                  <w:noWrap w:val="0"/>
                  <w:vAlign w:val="center"/>
                </w:tcPr>
                <w:p w14:paraId="3A2F76A8">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i w:val="0"/>
                      <w:iCs w:val="0"/>
                      <w:color w:val="auto"/>
                      <w:kern w:val="0"/>
                      <w:sz w:val="22"/>
                      <w:szCs w:val="22"/>
                      <w:u w:val="none"/>
                      <w:lang w:val="en-US" w:eastAsia="zh-CN" w:bidi="ar"/>
                    </w:rPr>
                    <w:t>579.17</w:t>
                  </w:r>
                </w:p>
              </w:tc>
              <w:tc>
                <w:tcPr>
                  <w:tcW w:w="907" w:type="dxa"/>
                  <w:tcBorders>
                    <w:tl2br w:val="nil"/>
                    <w:tr2bl w:val="nil"/>
                  </w:tcBorders>
                  <w:noWrap w:val="0"/>
                  <w:vAlign w:val="center"/>
                </w:tcPr>
                <w:p w14:paraId="7103376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853</w:t>
                  </w:r>
                </w:p>
              </w:tc>
              <w:tc>
                <w:tcPr>
                  <w:tcW w:w="1050" w:type="dxa"/>
                  <w:tcBorders>
                    <w:tl2br w:val="nil"/>
                    <w:tr2bl w:val="nil"/>
                  </w:tcBorders>
                  <w:noWrap w:val="0"/>
                  <w:vAlign w:val="center"/>
                </w:tcPr>
                <w:p w14:paraId="612B9BAE">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1432.17</w:t>
                  </w:r>
                </w:p>
              </w:tc>
              <w:tc>
                <w:tcPr>
                  <w:tcW w:w="753" w:type="dxa"/>
                  <w:tcBorders>
                    <w:tl2br w:val="nil"/>
                    <w:tr2bl w:val="nil"/>
                  </w:tcBorders>
                  <w:noWrap w:val="0"/>
                  <w:vAlign w:val="center"/>
                </w:tcPr>
                <w:p w14:paraId="5132DBC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c>
                <w:tcPr>
                  <w:tcW w:w="838" w:type="dxa"/>
                  <w:vMerge w:val="continue"/>
                  <w:tcBorders>
                    <w:tl2br w:val="nil"/>
                    <w:tr2bl w:val="nil"/>
                  </w:tcBorders>
                  <w:noWrap w:val="0"/>
                  <w:vAlign w:val="center"/>
                </w:tcPr>
                <w:p w14:paraId="62C71C0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p>
              </w:tc>
              <w:tc>
                <w:tcPr>
                  <w:tcW w:w="772" w:type="dxa"/>
                  <w:tcBorders>
                    <w:tl2br w:val="nil"/>
                    <w:tr2bl w:val="nil"/>
                  </w:tcBorders>
                  <w:noWrap w:val="0"/>
                  <w:vAlign w:val="center"/>
                </w:tcPr>
                <w:p w14:paraId="27EDA82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r>
          </w:tbl>
          <w:p w14:paraId="0961B339">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2"/>
                <w:szCs w:val="22"/>
                <w:highlight w:val="none"/>
                <w:vertAlign w:val="baseline"/>
                <w:lang w:val="en-US" w:eastAsia="zh-CN"/>
              </w:rPr>
            </w:pPr>
            <w:r>
              <w:rPr>
                <w:rFonts w:hint="default" w:ascii="Times New Roman" w:hAnsi="Times New Roman" w:eastAsia="宋体" w:cs="Times New Roman"/>
                <w:color w:val="auto"/>
                <w:sz w:val="22"/>
                <w:szCs w:val="22"/>
                <w:highlight w:val="none"/>
                <w:vertAlign w:val="baseline"/>
                <w:lang w:val="en-US" w:eastAsia="zh-CN"/>
              </w:rPr>
              <w:t>注：“</w:t>
            </w:r>
            <w:r>
              <w:rPr>
                <w:rFonts w:hint="default" w:ascii="Times New Roman" w:hAnsi="Times New Roman" w:eastAsia="宋体" w:cs="Times New Roman"/>
                <w:color w:val="auto"/>
                <w:sz w:val="22"/>
                <w:szCs w:val="22"/>
                <w:highlight w:val="none"/>
                <w:vertAlign w:val="baseline"/>
                <w:lang w:val="en-US" w:eastAsia="zh-CN"/>
              </w:rPr>
              <w:fldChar w:fldCharType="begin"/>
            </w:r>
            <w:r>
              <w:rPr>
                <w:rFonts w:hint="default" w:ascii="Times New Roman" w:hAnsi="Times New Roman" w:eastAsia="宋体" w:cs="Times New Roman"/>
                <w:color w:val="auto"/>
                <w:sz w:val="22"/>
                <w:szCs w:val="22"/>
                <w:highlight w:val="none"/>
                <w:vertAlign w:val="baseline"/>
                <w:lang w:val="en-US" w:eastAsia="zh-CN"/>
              </w:rPr>
              <w:instrText xml:space="preserve"> = 1 \* GB3 \* MERGEFORMAT </w:instrText>
            </w:r>
            <w:r>
              <w:rPr>
                <w:rFonts w:hint="default" w:ascii="Times New Roman" w:hAnsi="Times New Roman" w:eastAsia="宋体" w:cs="Times New Roman"/>
                <w:color w:val="auto"/>
                <w:sz w:val="22"/>
                <w:szCs w:val="22"/>
                <w:highlight w:val="none"/>
                <w:vertAlign w:val="baseline"/>
                <w:lang w:val="en-US" w:eastAsia="zh-CN"/>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sz w:val="22"/>
                <w:szCs w:val="22"/>
                <w:highlight w:val="none"/>
                <w:vertAlign w:val="baseline"/>
                <w:lang w:val="en-US" w:eastAsia="zh-CN"/>
              </w:rPr>
              <w:fldChar w:fldCharType="end"/>
            </w:r>
            <w:r>
              <w:rPr>
                <w:rFonts w:hint="default" w:ascii="Times New Roman" w:hAnsi="Times New Roman" w:eastAsia="宋体" w:cs="Times New Roman"/>
                <w:color w:val="auto"/>
                <w:sz w:val="22"/>
                <w:szCs w:val="22"/>
                <w:highlight w:val="none"/>
                <w:vertAlign w:val="baseline"/>
                <w:lang w:val="en-US" w:eastAsia="zh-CN"/>
              </w:rPr>
              <w:t>”厂区内不进行暂存，仅涉及高锰系列等产品进行生产时，调质小金属单质锰从其他分厂或供货商取料进行生产使用。</w:t>
            </w:r>
          </w:p>
          <w:p w14:paraId="7B60B6EB">
            <w:pPr>
              <w:keepNext w:val="0"/>
              <w:keepLines w:val="0"/>
              <w:pageBreakBefore w:val="0"/>
              <w:widowControl w:val="0"/>
              <w:kinsoku/>
              <w:wordWrap/>
              <w:overflowPunct/>
              <w:topLinePunct w:val="0"/>
              <w:autoSpaceDE/>
              <w:autoSpaceDN/>
              <w:bidi w:val="0"/>
              <w:adjustRightInd/>
              <w:snapToGrid/>
              <w:spacing w:line="460" w:lineRule="atLeast"/>
              <w:ind w:firstLine="520" w:firstLineChars="200"/>
              <w:textAlignment w:val="auto"/>
              <w:rPr>
                <w:rFonts w:hint="default" w:ascii="Times New Roman" w:hAnsi="Times New Roman" w:eastAsia="宋体" w:cs="Times New Roman"/>
                <w:color w:val="auto"/>
                <w:sz w:val="26"/>
                <w:szCs w:val="26"/>
                <w:highlight w:val="none"/>
                <w:vertAlign w:val="baseline"/>
                <w:lang w:val="en-US" w:eastAsia="zh-CN"/>
              </w:rPr>
            </w:pPr>
            <w:r>
              <w:rPr>
                <w:rFonts w:hint="eastAsia" w:ascii="Times New Roman" w:hAnsi="Times New Roman" w:eastAsia="宋体" w:cs="Times New Roman"/>
                <w:color w:val="auto"/>
                <w:sz w:val="26"/>
                <w:szCs w:val="26"/>
                <w:highlight w:val="none"/>
                <w:vertAlign w:val="baseline"/>
                <w:lang w:val="en-US" w:eastAsia="zh-CN"/>
              </w:rPr>
              <w:t>本项目涉及的主要单质金属成分详见下表。</w:t>
            </w:r>
          </w:p>
          <w:p w14:paraId="3C2B8DBC">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default" w:ascii="Times New Roman" w:hAnsi="Times New Roman" w:eastAsia="宋体" w:cs="Times New Roman"/>
                <w:b/>
                <w:bCs/>
                <w:color w:val="auto"/>
                <w:sz w:val="26"/>
                <w:szCs w:val="26"/>
                <w:highlight w:val="none"/>
                <w:vertAlign w:val="baseline"/>
                <w:lang w:val="en-US" w:eastAsia="zh-CN"/>
              </w:rPr>
            </w:pPr>
            <w:r>
              <w:rPr>
                <w:rFonts w:hint="eastAsia" w:ascii="Times New Roman" w:hAnsi="Times New Roman" w:eastAsia="宋体" w:cs="Times New Roman"/>
                <w:b/>
                <w:bCs/>
                <w:color w:val="auto"/>
                <w:sz w:val="26"/>
                <w:szCs w:val="26"/>
                <w:highlight w:val="none"/>
                <w:vertAlign w:val="baseline"/>
                <w:lang w:val="en-US" w:eastAsia="zh-CN"/>
              </w:rPr>
              <w:t>表2.6-3  铝液主要成分表</w:t>
            </w:r>
          </w:p>
          <w:tbl>
            <w:tblPr>
              <w:tblStyle w:val="26"/>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754"/>
              <w:gridCol w:w="1755"/>
              <w:gridCol w:w="1351"/>
              <w:gridCol w:w="1415"/>
            </w:tblGrid>
            <w:tr w14:paraId="5D59D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06" w:type="dxa"/>
                  <w:tcBorders>
                    <w:tl2br w:val="nil"/>
                    <w:tr2bl w:val="nil"/>
                  </w:tcBorders>
                  <w:noWrap w:val="0"/>
                  <w:vAlign w:val="center"/>
                </w:tcPr>
                <w:p w14:paraId="4A5D02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铝锭/铝液成分</w:t>
                  </w:r>
                </w:p>
              </w:tc>
              <w:tc>
                <w:tcPr>
                  <w:tcW w:w="1909" w:type="dxa"/>
                  <w:tcBorders>
                    <w:tl2br w:val="nil"/>
                    <w:tr2bl w:val="nil"/>
                  </w:tcBorders>
                  <w:noWrap w:val="0"/>
                  <w:vAlign w:val="center"/>
                </w:tcPr>
                <w:p w14:paraId="1972479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2"/>
                      <w:szCs w:val="22"/>
                      <w:vertAlign w:val="baseline"/>
                      <w:lang w:val="en-US" w:eastAsia="zh-CN"/>
                    </w:rPr>
                    <w:t>Al</w:t>
                  </w:r>
                </w:p>
              </w:tc>
              <w:tc>
                <w:tcPr>
                  <w:tcW w:w="1910" w:type="dxa"/>
                  <w:tcBorders>
                    <w:tl2br w:val="nil"/>
                    <w:tr2bl w:val="nil"/>
                  </w:tcBorders>
                  <w:noWrap w:val="0"/>
                  <w:vAlign w:val="center"/>
                </w:tcPr>
                <w:p w14:paraId="5482AA4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其他单个</w:t>
                  </w:r>
                </w:p>
              </w:tc>
              <w:tc>
                <w:tcPr>
                  <w:tcW w:w="1465" w:type="dxa"/>
                  <w:tcBorders>
                    <w:tl2br w:val="nil"/>
                    <w:tr2bl w:val="nil"/>
                  </w:tcBorders>
                  <w:noWrap w:val="0"/>
                  <w:vAlign w:val="center"/>
                </w:tcPr>
                <w:p w14:paraId="1FD853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杂质总和</w:t>
                  </w:r>
                </w:p>
              </w:tc>
              <w:tc>
                <w:tcPr>
                  <w:tcW w:w="1536" w:type="dxa"/>
                  <w:tcBorders>
                    <w:tl2br w:val="nil"/>
                    <w:tr2bl w:val="nil"/>
                  </w:tcBorders>
                  <w:noWrap w:val="0"/>
                  <w:vAlign w:val="center"/>
                </w:tcPr>
                <w:p w14:paraId="1F2E03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备注</w:t>
                  </w:r>
                </w:p>
              </w:tc>
            </w:tr>
            <w:tr w14:paraId="5F10E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06" w:type="dxa"/>
                  <w:tcBorders>
                    <w:tl2br w:val="nil"/>
                    <w:tr2bl w:val="nil"/>
                  </w:tcBorders>
                  <w:noWrap w:val="0"/>
                  <w:vAlign w:val="center"/>
                </w:tcPr>
                <w:p w14:paraId="27D681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default" w:ascii="Times New Roman" w:hAnsi="Times New Roman" w:eastAsia="宋体" w:cs="Times New Roman"/>
                      <w:color w:val="auto"/>
                      <w:sz w:val="22"/>
                      <w:szCs w:val="22"/>
                      <w:vertAlign w:val="baseline"/>
                      <w:lang w:eastAsia="zh-CN"/>
                    </w:rPr>
                    <w:t>成分含量</w:t>
                  </w:r>
                  <w:r>
                    <w:rPr>
                      <w:rFonts w:hint="eastAsia" w:ascii="Times New Roman" w:hAnsi="Times New Roman" w:eastAsia="宋体" w:cs="Times New Roman"/>
                      <w:color w:val="auto"/>
                      <w:sz w:val="22"/>
                      <w:szCs w:val="22"/>
                      <w:vertAlign w:val="baseline"/>
                      <w:lang w:val="en-US" w:eastAsia="zh-CN"/>
                    </w:rPr>
                    <w:t>%</w:t>
                  </w:r>
                </w:p>
              </w:tc>
              <w:tc>
                <w:tcPr>
                  <w:tcW w:w="1909" w:type="dxa"/>
                  <w:tcBorders>
                    <w:tl2br w:val="nil"/>
                    <w:tr2bl w:val="nil"/>
                  </w:tcBorders>
                  <w:noWrap w:val="0"/>
                  <w:vAlign w:val="center"/>
                </w:tcPr>
                <w:p w14:paraId="243787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99.77~99.79</w:t>
                  </w:r>
                </w:p>
              </w:tc>
              <w:tc>
                <w:tcPr>
                  <w:tcW w:w="1910" w:type="dxa"/>
                  <w:tcBorders>
                    <w:tl2br w:val="nil"/>
                    <w:tr2bl w:val="nil"/>
                  </w:tcBorders>
                  <w:noWrap w:val="0"/>
                  <w:vAlign w:val="center"/>
                </w:tcPr>
                <w:p w14:paraId="490A78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≤0.03</w:t>
                  </w:r>
                </w:p>
              </w:tc>
              <w:tc>
                <w:tcPr>
                  <w:tcW w:w="1465" w:type="dxa"/>
                  <w:tcBorders>
                    <w:tl2br w:val="nil"/>
                    <w:tr2bl w:val="nil"/>
                  </w:tcBorders>
                  <w:noWrap w:val="0"/>
                  <w:vAlign w:val="center"/>
                </w:tcPr>
                <w:p w14:paraId="4A85734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≤0.29</w:t>
                  </w:r>
                </w:p>
              </w:tc>
              <w:tc>
                <w:tcPr>
                  <w:tcW w:w="1536" w:type="dxa"/>
                  <w:tcBorders>
                    <w:tl2br w:val="nil"/>
                    <w:tr2bl w:val="nil"/>
                  </w:tcBorders>
                  <w:noWrap w:val="0"/>
                  <w:vAlign w:val="center"/>
                </w:tcPr>
                <w:p w14:paraId="34E386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牌号A199.70</w:t>
                  </w:r>
                </w:p>
              </w:tc>
            </w:tr>
            <w:tr w14:paraId="10E78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06" w:type="dxa"/>
                  <w:tcBorders>
                    <w:tl2br w:val="nil"/>
                    <w:tr2bl w:val="nil"/>
                  </w:tcBorders>
                  <w:noWrap w:val="0"/>
                  <w:vAlign w:val="center"/>
                </w:tcPr>
                <w:p w14:paraId="3CADC19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备注</w:t>
                  </w:r>
                </w:p>
              </w:tc>
              <w:tc>
                <w:tcPr>
                  <w:tcW w:w="6820" w:type="dxa"/>
                  <w:gridSpan w:val="4"/>
                  <w:tcBorders>
                    <w:tl2br w:val="nil"/>
                    <w:tr2bl w:val="nil"/>
                  </w:tcBorders>
                  <w:noWrap w:val="0"/>
                  <w:vAlign w:val="center"/>
                </w:tcPr>
                <w:p w14:paraId="37D100A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满足GB/T1196-2023的规定要求</w:t>
                  </w:r>
                </w:p>
              </w:tc>
            </w:tr>
          </w:tbl>
          <w:p w14:paraId="4E1ECFF1">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default" w:ascii="Times New Roman" w:hAnsi="Times New Roman" w:eastAsia="宋体" w:cs="Times New Roman"/>
                <w:b/>
                <w:bCs/>
                <w:color w:val="auto"/>
                <w:sz w:val="26"/>
                <w:szCs w:val="26"/>
                <w:highlight w:val="none"/>
                <w:vertAlign w:val="baseline"/>
                <w:lang w:val="en-US" w:eastAsia="zh-CN"/>
              </w:rPr>
            </w:pPr>
            <w:r>
              <w:rPr>
                <w:rFonts w:hint="eastAsia" w:ascii="Times New Roman" w:hAnsi="Times New Roman" w:eastAsia="宋体" w:cs="Times New Roman"/>
                <w:b/>
                <w:bCs/>
                <w:color w:val="auto"/>
                <w:sz w:val="26"/>
                <w:szCs w:val="26"/>
                <w:highlight w:val="none"/>
                <w:vertAlign w:val="baseline"/>
                <w:lang w:val="en-US" w:eastAsia="zh-CN"/>
              </w:rPr>
              <w:t>表2.6-4  锌锭主要成分表</w:t>
            </w:r>
          </w:p>
          <w:tbl>
            <w:tblPr>
              <w:tblStyle w:val="26"/>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746"/>
              <w:gridCol w:w="780"/>
              <w:gridCol w:w="765"/>
              <w:gridCol w:w="777"/>
              <w:gridCol w:w="933"/>
              <w:gridCol w:w="912"/>
              <w:gridCol w:w="881"/>
              <w:gridCol w:w="1122"/>
            </w:tblGrid>
            <w:tr w14:paraId="7772D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tcBorders>
                    <w:tl2br w:val="nil"/>
                    <w:tr2bl w:val="nil"/>
                  </w:tcBorders>
                  <w:noWrap w:val="0"/>
                  <w:vAlign w:val="center"/>
                </w:tcPr>
                <w:p w14:paraId="2527F4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锌锭成分</w:t>
                  </w:r>
                </w:p>
              </w:tc>
              <w:tc>
                <w:tcPr>
                  <w:tcW w:w="807" w:type="dxa"/>
                  <w:tcBorders>
                    <w:tl2br w:val="nil"/>
                    <w:tr2bl w:val="nil"/>
                  </w:tcBorders>
                  <w:noWrap w:val="0"/>
                  <w:vAlign w:val="center"/>
                </w:tcPr>
                <w:p w14:paraId="33CF38A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2"/>
                      <w:szCs w:val="22"/>
                      <w:vertAlign w:val="baseline"/>
                      <w:lang w:val="en-US" w:eastAsia="zh-CN"/>
                    </w:rPr>
                    <w:t>Zn</w:t>
                  </w:r>
                </w:p>
              </w:tc>
              <w:tc>
                <w:tcPr>
                  <w:tcW w:w="845" w:type="dxa"/>
                  <w:tcBorders>
                    <w:tl2br w:val="nil"/>
                    <w:tr2bl w:val="nil"/>
                  </w:tcBorders>
                  <w:noWrap w:val="0"/>
                  <w:vAlign w:val="center"/>
                </w:tcPr>
                <w:p w14:paraId="75E102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Pb</w:t>
                  </w:r>
                </w:p>
              </w:tc>
              <w:tc>
                <w:tcPr>
                  <w:tcW w:w="828" w:type="dxa"/>
                  <w:tcBorders>
                    <w:tl2br w:val="nil"/>
                    <w:tr2bl w:val="nil"/>
                  </w:tcBorders>
                  <w:noWrap w:val="0"/>
                  <w:vAlign w:val="center"/>
                </w:tcPr>
                <w:p w14:paraId="3F01B7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Cu</w:t>
                  </w:r>
                </w:p>
              </w:tc>
              <w:tc>
                <w:tcPr>
                  <w:tcW w:w="842" w:type="dxa"/>
                  <w:tcBorders>
                    <w:tl2br w:val="nil"/>
                    <w:tr2bl w:val="nil"/>
                  </w:tcBorders>
                  <w:noWrap w:val="0"/>
                  <w:vAlign w:val="center"/>
                </w:tcPr>
                <w:p w14:paraId="6CC64B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Cd</w:t>
                  </w:r>
                </w:p>
              </w:tc>
              <w:tc>
                <w:tcPr>
                  <w:tcW w:w="1016" w:type="dxa"/>
                  <w:tcBorders>
                    <w:tl2br w:val="nil"/>
                    <w:tr2bl w:val="nil"/>
                  </w:tcBorders>
                  <w:noWrap w:val="0"/>
                  <w:vAlign w:val="center"/>
                </w:tcPr>
                <w:p w14:paraId="047D637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Fe</w:t>
                  </w:r>
                </w:p>
              </w:tc>
              <w:tc>
                <w:tcPr>
                  <w:tcW w:w="992" w:type="dxa"/>
                  <w:tcBorders>
                    <w:tl2br w:val="nil"/>
                    <w:tr2bl w:val="nil"/>
                  </w:tcBorders>
                  <w:noWrap w:val="0"/>
                  <w:vAlign w:val="center"/>
                </w:tcPr>
                <w:p w14:paraId="625BEDA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Sn</w:t>
                  </w:r>
                </w:p>
              </w:tc>
              <w:tc>
                <w:tcPr>
                  <w:tcW w:w="958" w:type="dxa"/>
                  <w:tcBorders>
                    <w:tl2br w:val="nil"/>
                    <w:tr2bl w:val="nil"/>
                  </w:tcBorders>
                  <w:noWrap w:val="0"/>
                  <w:vAlign w:val="center"/>
                </w:tcPr>
                <w:p w14:paraId="004A231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Al</w:t>
                  </w:r>
                </w:p>
              </w:tc>
              <w:tc>
                <w:tcPr>
                  <w:tcW w:w="1225" w:type="dxa"/>
                  <w:tcBorders>
                    <w:tl2br w:val="nil"/>
                    <w:tr2bl w:val="nil"/>
                  </w:tcBorders>
                  <w:noWrap w:val="0"/>
                  <w:vAlign w:val="center"/>
                </w:tcPr>
                <w:p w14:paraId="08A413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备注</w:t>
                  </w:r>
                </w:p>
              </w:tc>
            </w:tr>
            <w:tr w14:paraId="6603D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tcBorders>
                    <w:tl2br w:val="nil"/>
                    <w:tr2bl w:val="nil"/>
                  </w:tcBorders>
                  <w:noWrap w:val="0"/>
                  <w:vAlign w:val="center"/>
                </w:tcPr>
                <w:p w14:paraId="26F1F02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default" w:ascii="Times New Roman" w:hAnsi="Times New Roman" w:eastAsia="宋体" w:cs="Times New Roman"/>
                      <w:color w:val="auto"/>
                      <w:sz w:val="22"/>
                      <w:szCs w:val="22"/>
                      <w:vertAlign w:val="baseline"/>
                      <w:lang w:eastAsia="zh-CN"/>
                    </w:rPr>
                    <w:t>成分含量</w:t>
                  </w:r>
                  <w:r>
                    <w:rPr>
                      <w:rFonts w:hint="eastAsia" w:ascii="Times New Roman" w:hAnsi="Times New Roman" w:eastAsia="宋体" w:cs="Times New Roman"/>
                      <w:color w:val="auto"/>
                      <w:sz w:val="22"/>
                      <w:szCs w:val="22"/>
                      <w:vertAlign w:val="baseline"/>
                      <w:lang w:val="en-US" w:eastAsia="zh-CN"/>
                    </w:rPr>
                    <w:t>%</w:t>
                  </w:r>
                </w:p>
              </w:tc>
              <w:tc>
                <w:tcPr>
                  <w:tcW w:w="807" w:type="dxa"/>
                  <w:tcBorders>
                    <w:tl2br w:val="nil"/>
                    <w:tr2bl w:val="nil"/>
                  </w:tcBorders>
                  <w:noWrap w:val="0"/>
                  <w:vAlign w:val="center"/>
                </w:tcPr>
                <w:p w14:paraId="1F961DB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99.9971</w:t>
                  </w:r>
                </w:p>
              </w:tc>
              <w:tc>
                <w:tcPr>
                  <w:tcW w:w="845" w:type="dxa"/>
                  <w:tcBorders>
                    <w:tl2br w:val="nil"/>
                    <w:tr2bl w:val="nil"/>
                  </w:tcBorders>
                  <w:noWrap w:val="0"/>
                  <w:vAlign w:val="center"/>
                </w:tcPr>
                <w:p w14:paraId="7CCB0FC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0.0017</w:t>
                  </w:r>
                </w:p>
              </w:tc>
              <w:tc>
                <w:tcPr>
                  <w:tcW w:w="828" w:type="dxa"/>
                  <w:tcBorders>
                    <w:tl2br w:val="nil"/>
                    <w:tr2bl w:val="nil"/>
                  </w:tcBorders>
                  <w:noWrap w:val="0"/>
                  <w:vAlign w:val="center"/>
                </w:tcPr>
                <w:p w14:paraId="194251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0.0002</w:t>
                  </w:r>
                </w:p>
              </w:tc>
              <w:tc>
                <w:tcPr>
                  <w:tcW w:w="842" w:type="dxa"/>
                  <w:tcBorders>
                    <w:tl2br w:val="nil"/>
                    <w:tr2bl w:val="nil"/>
                  </w:tcBorders>
                  <w:noWrap w:val="0"/>
                  <w:vAlign w:val="center"/>
                </w:tcPr>
                <w:p w14:paraId="724276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0.0004</w:t>
                  </w:r>
                </w:p>
              </w:tc>
              <w:tc>
                <w:tcPr>
                  <w:tcW w:w="1016" w:type="dxa"/>
                  <w:tcBorders>
                    <w:tl2br w:val="nil"/>
                    <w:tr2bl w:val="nil"/>
                  </w:tcBorders>
                  <w:noWrap w:val="0"/>
                  <w:vAlign w:val="center"/>
                </w:tcPr>
                <w:p w14:paraId="6AEC07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0.0004</w:t>
                  </w:r>
                </w:p>
              </w:tc>
              <w:tc>
                <w:tcPr>
                  <w:tcW w:w="992" w:type="dxa"/>
                  <w:tcBorders>
                    <w:tl2br w:val="nil"/>
                    <w:tr2bl w:val="nil"/>
                  </w:tcBorders>
                  <w:noWrap w:val="0"/>
                  <w:vAlign w:val="center"/>
                </w:tcPr>
                <w:p w14:paraId="1FDA881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0.0001</w:t>
                  </w:r>
                </w:p>
              </w:tc>
              <w:tc>
                <w:tcPr>
                  <w:tcW w:w="958" w:type="dxa"/>
                  <w:tcBorders>
                    <w:tl2br w:val="nil"/>
                    <w:tr2bl w:val="nil"/>
                  </w:tcBorders>
                  <w:noWrap w:val="0"/>
                  <w:vAlign w:val="center"/>
                </w:tcPr>
                <w:p w14:paraId="74FF91B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0.0001</w:t>
                  </w:r>
                </w:p>
              </w:tc>
              <w:tc>
                <w:tcPr>
                  <w:tcW w:w="1225" w:type="dxa"/>
                  <w:tcBorders>
                    <w:tl2br w:val="nil"/>
                    <w:tr2bl w:val="nil"/>
                  </w:tcBorders>
                  <w:noWrap w:val="0"/>
                  <w:vAlign w:val="center"/>
                </w:tcPr>
                <w:p w14:paraId="782A065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牌号Zn99.995</w:t>
                  </w:r>
                </w:p>
              </w:tc>
            </w:tr>
            <w:tr w14:paraId="3F1136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3" w:type="dxa"/>
                  <w:tcBorders>
                    <w:tl2br w:val="nil"/>
                    <w:tr2bl w:val="nil"/>
                  </w:tcBorders>
                  <w:noWrap w:val="0"/>
                  <w:vAlign w:val="center"/>
                </w:tcPr>
                <w:p w14:paraId="279AB7A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备注</w:t>
                  </w:r>
                </w:p>
              </w:tc>
              <w:tc>
                <w:tcPr>
                  <w:tcW w:w="7513" w:type="dxa"/>
                  <w:gridSpan w:val="8"/>
                  <w:tcBorders>
                    <w:tl2br w:val="nil"/>
                    <w:tr2bl w:val="nil"/>
                  </w:tcBorders>
                  <w:noWrap w:val="0"/>
                  <w:vAlign w:val="center"/>
                </w:tcPr>
                <w:p w14:paraId="4E8F3D6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满足GB/T 470-2008的规定要求</w:t>
                  </w:r>
                </w:p>
              </w:tc>
            </w:tr>
          </w:tbl>
          <w:p w14:paraId="568FAF58">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default" w:ascii="Times New Roman" w:hAnsi="Times New Roman" w:eastAsia="宋体" w:cs="Times New Roman"/>
                <w:b/>
                <w:bCs/>
                <w:color w:val="auto"/>
                <w:sz w:val="26"/>
                <w:szCs w:val="26"/>
                <w:highlight w:val="none"/>
                <w:vertAlign w:val="baseline"/>
                <w:lang w:val="en-US" w:eastAsia="zh-CN"/>
              </w:rPr>
            </w:pPr>
            <w:r>
              <w:rPr>
                <w:rFonts w:hint="eastAsia" w:ascii="Times New Roman" w:hAnsi="Times New Roman" w:eastAsia="宋体" w:cs="Times New Roman"/>
                <w:b/>
                <w:bCs/>
                <w:color w:val="auto"/>
                <w:sz w:val="26"/>
                <w:szCs w:val="26"/>
                <w:highlight w:val="none"/>
                <w:vertAlign w:val="baseline"/>
                <w:lang w:val="en-US" w:eastAsia="zh-CN"/>
              </w:rPr>
              <w:t>表2.6-5  镁锭主要成分表</w:t>
            </w:r>
          </w:p>
          <w:tbl>
            <w:tblPr>
              <w:tblStyle w:val="26"/>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1"/>
              <w:gridCol w:w="823"/>
              <w:gridCol w:w="881"/>
              <w:gridCol w:w="842"/>
              <w:gridCol w:w="949"/>
              <w:gridCol w:w="833"/>
              <w:gridCol w:w="619"/>
              <w:gridCol w:w="706"/>
              <w:gridCol w:w="735"/>
              <w:gridCol w:w="767"/>
            </w:tblGrid>
            <w:tr w14:paraId="1AF7F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0" w:type="dxa"/>
                  <w:tcBorders>
                    <w:tl2br w:val="nil"/>
                    <w:tr2bl w:val="nil"/>
                  </w:tcBorders>
                  <w:noWrap w:val="0"/>
                  <w:vAlign w:val="center"/>
                </w:tcPr>
                <w:p w14:paraId="363E26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镁锭</w:t>
                  </w:r>
                </w:p>
                <w:p w14:paraId="4252243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成分</w:t>
                  </w:r>
                </w:p>
              </w:tc>
              <w:tc>
                <w:tcPr>
                  <w:tcW w:w="840" w:type="dxa"/>
                  <w:tcBorders>
                    <w:tl2br w:val="nil"/>
                    <w:tr2bl w:val="nil"/>
                  </w:tcBorders>
                  <w:noWrap w:val="0"/>
                  <w:vAlign w:val="center"/>
                </w:tcPr>
                <w:p w14:paraId="6962DAF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2"/>
                      <w:szCs w:val="22"/>
                      <w:vertAlign w:val="baseline"/>
                      <w:lang w:val="en-US" w:eastAsia="zh-CN"/>
                    </w:rPr>
                    <w:t>Mg</w:t>
                  </w:r>
                </w:p>
              </w:tc>
              <w:tc>
                <w:tcPr>
                  <w:tcW w:w="900" w:type="dxa"/>
                  <w:tcBorders>
                    <w:tl2br w:val="nil"/>
                    <w:tr2bl w:val="nil"/>
                  </w:tcBorders>
                  <w:noWrap w:val="0"/>
                  <w:vAlign w:val="center"/>
                </w:tcPr>
                <w:p w14:paraId="01AB21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Al</w:t>
                  </w:r>
                </w:p>
              </w:tc>
              <w:tc>
                <w:tcPr>
                  <w:tcW w:w="860" w:type="dxa"/>
                  <w:tcBorders>
                    <w:tl2br w:val="nil"/>
                    <w:tr2bl w:val="nil"/>
                  </w:tcBorders>
                  <w:noWrap w:val="0"/>
                  <w:vAlign w:val="center"/>
                </w:tcPr>
                <w:p w14:paraId="56623EE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Mn</w:t>
                  </w:r>
                </w:p>
              </w:tc>
              <w:tc>
                <w:tcPr>
                  <w:tcW w:w="970" w:type="dxa"/>
                  <w:tcBorders>
                    <w:tl2br w:val="nil"/>
                    <w:tr2bl w:val="nil"/>
                  </w:tcBorders>
                  <w:noWrap w:val="0"/>
                  <w:vAlign w:val="center"/>
                </w:tcPr>
                <w:p w14:paraId="6C4C21D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Fe</w:t>
                  </w:r>
                </w:p>
              </w:tc>
              <w:tc>
                <w:tcPr>
                  <w:tcW w:w="850" w:type="dxa"/>
                  <w:tcBorders>
                    <w:tl2br w:val="nil"/>
                    <w:tr2bl w:val="nil"/>
                  </w:tcBorders>
                  <w:noWrap w:val="0"/>
                  <w:vAlign w:val="center"/>
                </w:tcPr>
                <w:p w14:paraId="1582013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Si</w:t>
                  </w:r>
                </w:p>
              </w:tc>
              <w:tc>
                <w:tcPr>
                  <w:tcW w:w="630" w:type="dxa"/>
                  <w:tcBorders>
                    <w:tl2br w:val="nil"/>
                    <w:tr2bl w:val="nil"/>
                  </w:tcBorders>
                  <w:noWrap w:val="0"/>
                  <w:vAlign w:val="center"/>
                </w:tcPr>
                <w:p w14:paraId="2DD69AB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Ni</w:t>
                  </w:r>
                </w:p>
              </w:tc>
              <w:tc>
                <w:tcPr>
                  <w:tcW w:w="720" w:type="dxa"/>
                  <w:tcBorders>
                    <w:tl2br w:val="nil"/>
                    <w:tr2bl w:val="nil"/>
                  </w:tcBorders>
                  <w:noWrap w:val="0"/>
                  <w:vAlign w:val="center"/>
                </w:tcPr>
                <w:p w14:paraId="7148F17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Cl</w:t>
                  </w:r>
                </w:p>
              </w:tc>
              <w:tc>
                <w:tcPr>
                  <w:tcW w:w="750" w:type="dxa"/>
                  <w:tcBorders>
                    <w:tl2br w:val="nil"/>
                    <w:tr2bl w:val="nil"/>
                  </w:tcBorders>
                  <w:noWrap w:val="0"/>
                  <w:vAlign w:val="center"/>
                </w:tcPr>
                <w:p w14:paraId="3ED169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Cu</w:t>
                  </w:r>
                </w:p>
              </w:tc>
              <w:tc>
                <w:tcPr>
                  <w:tcW w:w="782" w:type="dxa"/>
                  <w:tcBorders>
                    <w:tl2br w:val="nil"/>
                    <w:tr2bl w:val="nil"/>
                  </w:tcBorders>
                  <w:noWrap w:val="0"/>
                  <w:vAlign w:val="center"/>
                </w:tcPr>
                <w:p w14:paraId="50F17FB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其他单位杂质</w:t>
                  </w:r>
                </w:p>
              </w:tc>
            </w:tr>
            <w:tr w14:paraId="2685C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0" w:type="dxa"/>
                  <w:tcBorders>
                    <w:tl2br w:val="nil"/>
                    <w:tr2bl w:val="nil"/>
                  </w:tcBorders>
                  <w:noWrap w:val="0"/>
                  <w:vAlign w:val="center"/>
                </w:tcPr>
                <w:p w14:paraId="4E5CF2C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default" w:ascii="Times New Roman" w:hAnsi="Times New Roman" w:eastAsia="宋体" w:cs="Times New Roman"/>
                      <w:color w:val="auto"/>
                      <w:sz w:val="22"/>
                      <w:szCs w:val="22"/>
                      <w:vertAlign w:val="baseline"/>
                      <w:lang w:eastAsia="zh-CN"/>
                    </w:rPr>
                    <w:t>成分含量</w:t>
                  </w:r>
                  <w:r>
                    <w:rPr>
                      <w:rFonts w:hint="eastAsia" w:ascii="Times New Roman" w:hAnsi="Times New Roman" w:eastAsia="宋体" w:cs="Times New Roman"/>
                      <w:color w:val="auto"/>
                      <w:sz w:val="22"/>
                      <w:szCs w:val="22"/>
                      <w:vertAlign w:val="baseline"/>
                      <w:lang w:val="en-US" w:eastAsia="zh-CN"/>
                    </w:rPr>
                    <w:t>%</w:t>
                  </w:r>
                </w:p>
              </w:tc>
              <w:tc>
                <w:tcPr>
                  <w:tcW w:w="840" w:type="dxa"/>
                  <w:tcBorders>
                    <w:tl2br w:val="nil"/>
                    <w:tr2bl w:val="nil"/>
                  </w:tcBorders>
                  <w:noWrap w:val="0"/>
                  <w:vAlign w:val="center"/>
                </w:tcPr>
                <w:p w14:paraId="11B31DB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99.90~99.91</w:t>
                  </w:r>
                </w:p>
              </w:tc>
              <w:tc>
                <w:tcPr>
                  <w:tcW w:w="900" w:type="dxa"/>
                  <w:tcBorders>
                    <w:tl2br w:val="nil"/>
                    <w:tr2bl w:val="nil"/>
                  </w:tcBorders>
                  <w:noWrap w:val="0"/>
                  <w:vAlign w:val="center"/>
                </w:tcPr>
                <w:p w14:paraId="431EF2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0.016~0.019</w:t>
                  </w:r>
                </w:p>
              </w:tc>
              <w:tc>
                <w:tcPr>
                  <w:tcW w:w="860" w:type="dxa"/>
                  <w:tcBorders>
                    <w:tl2br w:val="nil"/>
                    <w:tr2bl w:val="nil"/>
                  </w:tcBorders>
                  <w:noWrap w:val="0"/>
                  <w:vAlign w:val="center"/>
                </w:tcPr>
                <w:p w14:paraId="779D963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0.017~0.019</w:t>
                  </w:r>
                </w:p>
              </w:tc>
              <w:tc>
                <w:tcPr>
                  <w:tcW w:w="970" w:type="dxa"/>
                  <w:tcBorders>
                    <w:tl2br w:val="nil"/>
                    <w:tr2bl w:val="nil"/>
                  </w:tcBorders>
                  <w:noWrap w:val="0"/>
                  <w:vAlign w:val="center"/>
                </w:tcPr>
                <w:p w14:paraId="2604C77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0.0021~0.0029</w:t>
                  </w:r>
                </w:p>
              </w:tc>
              <w:tc>
                <w:tcPr>
                  <w:tcW w:w="850" w:type="dxa"/>
                  <w:tcBorders>
                    <w:tl2br w:val="nil"/>
                    <w:tr2bl w:val="nil"/>
                  </w:tcBorders>
                  <w:noWrap w:val="0"/>
                  <w:vAlign w:val="center"/>
                </w:tcPr>
                <w:p w14:paraId="1DC9B80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0.017~0.018</w:t>
                  </w:r>
                </w:p>
              </w:tc>
              <w:tc>
                <w:tcPr>
                  <w:tcW w:w="630" w:type="dxa"/>
                  <w:tcBorders>
                    <w:tl2br w:val="nil"/>
                    <w:tr2bl w:val="nil"/>
                  </w:tcBorders>
                  <w:noWrap w:val="0"/>
                  <w:vAlign w:val="center"/>
                </w:tcPr>
                <w:p w14:paraId="557970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0.0002</w:t>
                  </w:r>
                </w:p>
              </w:tc>
              <w:tc>
                <w:tcPr>
                  <w:tcW w:w="720" w:type="dxa"/>
                  <w:tcBorders>
                    <w:tl2br w:val="nil"/>
                    <w:tr2bl w:val="nil"/>
                  </w:tcBorders>
                  <w:noWrap w:val="0"/>
                  <w:vAlign w:val="center"/>
                </w:tcPr>
                <w:p w14:paraId="67412D9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0.003</w:t>
                  </w:r>
                </w:p>
              </w:tc>
              <w:tc>
                <w:tcPr>
                  <w:tcW w:w="750" w:type="dxa"/>
                  <w:tcBorders>
                    <w:tl2br w:val="nil"/>
                    <w:tr2bl w:val="nil"/>
                  </w:tcBorders>
                  <w:noWrap w:val="0"/>
                  <w:vAlign w:val="center"/>
                </w:tcPr>
                <w:p w14:paraId="43303FB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0.002</w:t>
                  </w:r>
                </w:p>
              </w:tc>
              <w:tc>
                <w:tcPr>
                  <w:tcW w:w="782" w:type="dxa"/>
                  <w:tcBorders>
                    <w:tl2br w:val="nil"/>
                    <w:tr2bl w:val="nil"/>
                  </w:tcBorders>
                  <w:noWrap w:val="0"/>
                  <w:vAlign w:val="center"/>
                </w:tcPr>
                <w:p w14:paraId="6A96BCD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＜0.005</w:t>
                  </w:r>
                </w:p>
              </w:tc>
            </w:tr>
            <w:tr w14:paraId="2810B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0" w:type="dxa"/>
                  <w:tcBorders>
                    <w:tl2br w:val="nil"/>
                    <w:tr2bl w:val="nil"/>
                  </w:tcBorders>
                  <w:noWrap w:val="0"/>
                  <w:vAlign w:val="center"/>
                </w:tcPr>
                <w:p w14:paraId="326978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备注</w:t>
                  </w:r>
                </w:p>
              </w:tc>
              <w:tc>
                <w:tcPr>
                  <w:tcW w:w="7302" w:type="dxa"/>
                  <w:gridSpan w:val="9"/>
                  <w:tcBorders>
                    <w:tl2br w:val="nil"/>
                    <w:tr2bl w:val="nil"/>
                  </w:tcBorders>
                  <w:noWrap w:val="0"/>
                  <w:vAlign w:val="center"/>
                </w:tcPr>
                <w:p w14:paraId="60F680B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满足GB/T 3499-2023的规定要求</w:t>
                  </w:r>
                </w:p>
              </w:tc>
            </w:tr>
          </w:tbl>
          <w:p w14:paraId="5A3A4AC9">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default" w:ascii="Times New Roman" w:hAnsi="Times New Roman" w:eastAsia="宋体" w:cs="Times New Roman"/>
                <w:b/>
                <w:bCs/>
                <w:color w:val="auto"/>
                <w:sz w:val="26"/>
                <w:szCs w:val="26"/>
                <w:highlight w:val="none"/>
                <w:vertAlign w:val="baseline"/>
                <w:lang w:val="en-US" w:eastAsia="zh-CN"/>
              </w:rPr>
            </w:pPr>
            <w:r>
              <w:rPr>
                <w:rFonts w:hint="eastAsia" w:ascii="Times New Roman" w:hAnsi="Times New Roman" w:eastAsia="宋体" w:cs="Times New Roman"/>
                <w:b/>
                <w:bCs/>
                <w:color w:val="auto"/>
                <w:sz w:val="26"/>
                <w:szCs w:val="26"/>
                <w:highlight w:val="none"/>
                <w:vertAlign w:val="baseline"/>
                <w:lang w:val="en-US" w:eastAsia="zh-CN"/>
              </w:rPr>
              <w:t>表2.6-6  阴极铜主要成分表</w:t>
            </w:r>
          </w:p>
          <w:tbl>
            <w:tblPr>
              <w:tblStyle w:val="26"/>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1430"/>
              <w:gridCol w:w="1298"/>
              <w:gridCol w:w="1320"/>
              <w:gridCol w:w="1352"/>
              <w:gridCol w:w="1167"/>
            </w:tblGrid>
            <w:tr w14:paraId="14EF58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vMerge w:val="restart"/>
                  <w:tcBorders>
                    <w:tl2br w:val="nil"/>
                    <w:tr2bl w:val="nil"/>
                  </w:tcBorders>
                  <w:noWrap w:val="0"/>
                  <w:vAlign w:val="center"/>
                </w:tcPr>
                <w:p w14:paraId="631264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阴极铜成分</w:t>
                  </w:r>
                </w:p>
              </w:tc>
              <w:tc>
                <w:tcPr>
                  <w:tcW w:w="1556" w:type="dxa"/>
                  <w:tcBorders>
                    <w:tl2br w:val="nil"/>
                    <w:tr2bl w:val="nil"/>
                  </w:tcBorders>
                  <w:noWrap w:val="0"/>
                  <w:vAlign w:val="center"/>
                </w:tcPr>
                <w:p w14:paraId="0655D23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2"/>
                      <w:szCs w:val="22"/>
                      <w:vertAlign w:val="baseline"/>
                      <w:lang w:val="en-US" w:eastAsia="zh-CN"/>
                    </w:rPr>
                    <w:t>杂质总和</w:t>
                  </w:r>
                </w:p>
              </w:tc>
              <w:tc>
                <w:tcPr>
                  <w:tcW w:w="1410" w:type="dxa"/>
                  <w:tcBorders>
                    <w:tl2br w:val="nil"/>
                    <w:tr2bl w:val="nil"/>
                  </w:tcBorders>
                  <w:noWrap w:val="0"/>
                  <w:vAlign w:val="center"/>
                </w:tcPr>
                <w:p w14:paraId="1CDF0E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杂质总和</w:t>
                  </w:r>
                </w:p>
              </w:tc>
              <w:tc>
                <w:tcPr>
                  <w:tcW w:w="1435" w:type="dxa"/>
                  <w:tcBorders>
                    <w:tl2br w:val="nil"/>
                    <w:tr2bl w:val="nil"/>
                  </w:tcBorders>
                  <w:noWrap w:val="0"/>
                  <w:vAlign w:val="center"/>
                </w:tcPr>
                <w:p w14:paraId="643CA92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杂质总和</w:t>
                  </w:r>
                </w:p>
              </w:tc>
              <w:tc>
                <w:tcPr>
                  <w:tcW w:w="1470" w:type="dxa"/>
                  <w:tcBorders>
                    <w:tl2br w:val="nil"/>
                    <w:tr2bl w:val="nil"/>
                  </w:tcBorders>
                  <w:noWrap w:val="0"/>
                  <w:vAlign w:val="center"/>
                </w:tcPr>
                <w:p w14:paraId="15A060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杂质总和</w:t>
                  </w:r>
                </w:p>
              </w:tc>
              <w:tc>
                <w:tcPr>
                  <w:tcW w:w="1266" w:type="dxa"/>
                  <w:tcBorders>
                    <w:tl2br w:val="nil"/>
                    <w:tr2bl w:val="nil"/>
                  </w:tcBorders>
                  <w:noWrap w:val="0"/>
                  <w:vAlign w:val="center"/>
                </w:tcPr>
                <w:p w14:paraId="527C5B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杂质总和</w:t>
                  </w:r>
                </w:p>
              </w:tc>
            </w:tr>
            <w:tr w14:paraId="28484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vMerge w:val="continue"/>
                  <w:tcBorders>
                    <w:tl2br w:val="nil"/>
                    <w:tr2bl w:val="nil"/>
                  </w:tcBorders>
                  <w:noWrap w:val="0"/>
                  <w:vAlign w:val="center"/>
                </w:tcPr>
                <w:p w14:paraId="408AAB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eastAsia="zh-CN"/>
                    </w:rPr>
                  </w:pPr>
                </w:p>
              </w:tc>
              <w:tc>
                <w:tcPr>
                  <w:tcW w:w="1556" w:type="dxa"/>
                  <w:tcBorders>
                    <w:tl2br w:val="nil"/>
                    <w:tr2bl w:val="nil"/>
                  </w:tcBorders>
                  <w:noWrap w:val="0"/>
                  <w:vAlign w:val="center"/>
                </w:tcPr>
                <w:p w14:paraId="18D8419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3E231012</w:t>
                  </w:r>
                </w:p>
              </w:tc>
              <w:tc>
                <w:tcPr>
                  <w:tcW w:w="1410" w:type="dxa"/>
                  <w:tcBorders>
                    <w:tl2br w:val="nil"/>
                    <w:tr2bl w:val="nil"/>
                  </w:tcBorders>
                  <w:noWrap w:val="0"/>
                  <w:vAlign w:val="center"/>
                </w:tcPr>
                <w:p w14:paraId="15D091E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3F231012</w:t>
                  </w:r>
                </w:p>
              </w:tc>
              <w:tc>
                <w:tcPr>
                  <w:tcW w:w="1435" w:type="dxa"/>
                  <w:tcBorders>
                    <w:tl2br w:val="nil"/>
                    <w:tr2bl w:val="nil"/>
                  </w:tcBorders>
                  <w:noWrap w:val="0"/>
                  <w:vAlign w:val="center"/>
                </w:tcPr>
                <w:p w14:paraId="0D46F1D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3H231012</w:t>
                  </w:r>
                </w:p>
              </w:tc>
              <w:tc>
                <w:tcPr>
                  <w:tcW w:w="1470" w:type="dxa"/>
                  <w:tcBorders>
                    <w:tl2br w:val="nil"/>
                    <w:tr2bl w:val="nil"/>
                  </w:tcBorders>
                  <w:noWrap w:val="0"/>
                  <w:vAlign w:val="center"/>
                </w:tcPr>
                <w:p w14:paraId="10C5207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3I231012</w:t>
                  </w:r>
                </w:p>
              </w:tc>
              <w:tc>
                <w:tcPr>
                  <w:tcW w:w="1266" w:type="dxa"/>
                  <w:tcBorders>
                    <w:tl2br w:val="nil"/>
                    <w:tr2bl w:val="nil"/>
                  </w:tcBorders>
                  <w:noWrap w:val="0"/>
                  <w:vAlign w:val="center"/>
                </w:tcPr>
                <w:p w14:paraId="26F37EB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3J231012</w:t>
                  </w:r>
                </w:p>
              </w:tc>
            </w:tr>
            <w:tr w14:paraId="0F0CB8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tcBorders>
                    <w:tl2br w:val="nil"/>
                    <w:tr2bl w:val="nil"/>
                  </w:tcBorders>
                  <w:noWrap w:val="0"/>
                  <w:vAlign w:val="center"/>
                </w:tcPr>
                <w:p w14:paraId="14787C0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default" w:ascii="Times New Roman" w:hAnsi="Times New Roman" w:eastAsia="宋体" w:cs="Times New Roman"/>
                      <w:color w:val="auto"/>
                      <w:sz w:val="22"/>
                      <w:szCs w:val="22"/>
                      <w:vertAlign w:val="baseline"/>
                      <w:lang w:eastAsia="zh-CN"/>
                    </w:rPr>
                    <w:t>成分含量</w:t>
                  </w:r>
                  <w:r>
                    <w:rPr>
                      <w:rFonts w:hint="eastAsia" w:ascii="Times New Roman" w:hAnsi="Times New Roman" w:eastAsia="宋体" w:cs="Times New Roman"/>
                      <w:color w:val="auto"/>
                      <w:sz w:val="22"/>
                      <w:szCs w:val="22"/>
                      <w:vertAlign w:val="baseline"/>
                      <w:lang w:val="en-US" w:eastAsia="zh-CN"/>
                    </w:rPr>
                    <w:t>%</w:t>
                  </w:r>
                </w:p>
              </w:tc>
              <w:tc>
                <w:tcPr>
                  <w:tcW w:w="1556" w:type="dxa"/>
                  <w:tcBorders>
                    <w:tl2br w:val="nil"/>
                    <w:tr2bl w:val="nil"/>
                  </w:tcBorders>
                  <w:noWrap w:val="0"/>
                  <w:vAlign w:val="center"/>
                </w:tcPr>
                <w:p w14:paraId="34D925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＜0.00229</w:t>
                  </w:r>
                </w:p>
              </w:tc>
              <w:tc>
                <w:tcPr>
                  <w:tcW w:w="1410" w:type="dxa"/>
                  <w:tcBorders>
                    <w:tl2br w:val="nil"/>
                    <w:tr2bl w:val="nil"/>
                  </w:tcBorders>
                  <w:noWrap w:val="0"/>
                  <w:vAlign w:val="center"/>
                </w:tcPr>
                <w:p w14:paraId="4820B09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＜0.00238</w:t>
                  </w:r>
                </w:p>
              </w:tc>
              <w:tc>
                <w:tcPr>
                  <w:tcW w:w="1435" w:type="dxa"/>
                  <w:tcBorders>
                    <w:tl2br w:val="nil"/>
                    <w:tr2bl w:val="nil"/>
                  </w:tcBorders>
                  <w:noWrap w:val="0"/>
                  <w:vAlign w:val="center"/>
                </w:tcPr>
                <w:p w14:paraId="2C3BE63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＜0.00257</w:t>
                  </w:r>
                </w:p>
              </w:tc>
              <w:tc>
                <w:tcPr>
                  <w:tcW w:w="1470" w:type="dxa"/>
                  <w:tcBorders>
                    <w:tl2br w:val="nil"/>
                    <w:tr2bl w:val="nil"/>
                  </w:tcBorders>
                  <w:noWrap w:val="0"/>
                  <w:vAlign w:val="center"/>
                </w:tcPr>
                <w:p w14:paraId="06343C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＜0.00259</w:t>
                  </w:r>
                </w:p>
              </w:tc>
              <w:tc>
                <w:tcPr>
                  <w:tcW w:w="1266" w:type="dxa"/>
                  <w:tcBorders>
                    <w:tl2br w:val="nil"/>
                    <w:tr2bl w:val="nil"/>
                  </w:tcBorders>
                  <w:noWrap w:val="0"/>
                  <w:vAlign w:val="center"/>
                </w:tcPr>
                <w:p w14:paraId="3010F8F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＜0.00229</w:t>
                  </w:r>
                </w:p>
              </w:tc>
            </w:tr>
            <w:tr w14:paraId="383DB3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89" w:type="dxa"/>
                  <w:tcBorders>
                    <w:tl2br w:val="nil"/>
                    <w:tr2bl w:val="nil"/>
                  </w:tcBorders>
                  <w:noWrap w:val="0"/>
                  <w:vAlign w:val="center"/>
                </w:tcPr>
                <w:p w14:paraId="3DC7E5F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备注</w:t>
                  </w:r>
                </w:p>
              </w:tc>
              <w:tc>
                <w:tcPr>
                  <w:tcW w:w="7137" w:type="dxa"/>
                  <w:gridSpan w:val="5"/>
                  <w:tcBorders>
                    <w:tl2br w:val="nil"/>
                    <w:tr2bl w:val="nil"/>
                  </w:tcBorders>
                  <w:noWrap w:val="0"/>
                  <w:vAlign w:val="center"/>
                </w:tcPr>
                <w:p w14:paraId="74EE10D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满足GB/T 467-2010中A级铜的规定要求</w:t>
                  </w:r>
                </w:p>
              </w:tc>
            </w:tr>
          </w:tbl>
          <w:p w14:paraId="6B4B30E5">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default" w:ascii="Times New Roman" w:hAnsi="Times New Roman" w:eastAsia="宋体" w:cs="Times New Roman"/>
                <w:b/>
                <w:bCs/>
                <w:color w:val="auto"/>
                <w:sz w:val="26"/>
                <w:szCs w:val="26"/>
                <w:highlight w:val="none"/>
                <w:vertAlign w:val="baseline"/>
                <w:lang w:val="en-US" w:eastAsia="zh-CN"/>
              </w:rPr>
            </w:pPr>
            <w:r>
              <w:rPr>
                <w:rFonts w:hint="eastAsia" w:ascii="Times New Roman" w:hAnsi="Times New Roman" w:eastAsia="宋体" w:cs="Times New Roman"/>
                <w:b/>
                <w:bCs/>
                <w:color w:val="auto"/>
                <w:sz w:val="26"/>
                <w:szCs w:val="26"/>
                <w:highlight w:val="none"/>
                <w:vertAlign w:val="baseline"/>
                <w:lang w:val="en-US" w:eastAsia="zh-CN"/>
              </w:rPr>
              <w:t>表2.6-7  金属锰主要成分表</w:t>
            </w:r>
          </w:p>
          <w:tbl>
            <w:tblPr>
              <w:tblStyle w:val="26"/>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883"/>
              <w:gridCol w:w="1031"/>
              <w:gridCol w:w="1049"/>
              <w:gridCol w:w="1075"/>
              <w:gridCol w:w="928"/>
              <w:gridCol w:w="869"/>
              <w:gridCol w:w="779"/>
            </w:tblGrid>
            <w:tr w14:paraId="78097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tcBorders>
                    <w:tl2br w:val="nil"/>
                    <w:tr2bl w:val="nil"/>
                  </w:tcBorders>
                  <w:noWrap w:val="0"/>
                  <w:vAlign w:val="center"/>
                </w:tcPr>
                <w:p w14:paraId="2AD8F3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金属锰成分</w:t>
                  </w:r>
                </w:p>
              </w:tc>
              <w:tc>
                <w:tcPr>
                  <w:tcW w:w="957" w:type="dxa"/>
                  <w:tcBorders>
                    <w:tl2br w:val="nil"/>
                    <w:tr2bl w:val="nil"/>
                  </w:tcBorders>
                  <w:noWrap w:val="0"/>
                  <w:vAlign w:val="center"/>
                </w:tcPr>
                <w:p w14:paraId="16F03AD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2"/>
                      <w:szCs w:val="22"/>
                      <w:vertAlign w:val="baseline"/>
                      <w:lang w:val="en-US" w:eastAsia="zh-CN"/>
                    </w:rPr>
                    <w:t>Mn</w:t>
                  </w:r>
                </w:p>
              </w:tc>
              <w:tc>
                <w:tcPr>
                  <w:tcW w:w="1122" w:type="dxa"/>
                  <w:tcBorders>
                    <w:tl2br w:val="nil"/>
                    <w:tr2bl w:val="nil"/>
                  </w:tcBorders>
                  <w:noWrap w:val="0"/>
                  <w:vAlign w:val="center"/>
                </w:tcPr>
                <w:p w14:paraId="706DF9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C</w:t>
                  </w:r>
                </w:p>
              </w:tc>
              <w:tc>
                <w:tcPr>
                  <w:tcW w:w="1142" w:type="dxa"/>
                  <w:tcBorders>
                    <w:tl2br w:val="nil"/>
                    <w:tr2bl w:val="nil"/>
                  </w:tcBorders>
                  <w:noWrap w:val="0"/>
                  <w:vAlign w:val="center"/>
                </w:tcPr>
                <w:p w14:paraId="4A941A9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S</w:t>
                  </w:r>
                </w:p>
              </w:tc>
              <w:tc>
                <w:tcPr>
                  <w:tcW w:w="1170" w:type="dxa"/>
                  <w:tcBorders>
                    <w:tl2br w:val="nil"/>
                    <w:tr2bl w:val="nil"/>
                  </w:tcBorders>
                  <w:noWrap w:val="0"/>
                  <w:vAlign w:val="center"/>
                </w:tcPr>
                <w:p w14:paraId="6EE904A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P</w:t>
                  </w:r>
                </w:p>
              </w:tc>
              <w:tc>
                <w:tcPr>
                  <w:tcW w:w="1007" w:type="dxa"/>
                  <w:tcBorders>
                    <w:tl2br w:val="nil"/>
                    <w:tr2bl w:val="nil"/>
                  </w:tcBorders>
                  <w:noWrap w:val="0"/>
                  <w:vAlign w:val="center"/>
                </w:tcPr>
                <w:p w14:paraId="39DF712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Si</w:t>
                  </w:r>
                </w:p>
              </w:tc>
              <w:tc>
                <w:tcPr>
                  <w:tcW w:w="941" w:type="dxa"/>
                  <w:tcBorders>
                    <w:tl2br w:val="nil"/>
                    <w:tr2bl w:val="nil"/>
                  </w:tcBorders>
                  <w:noWrap w:val="0"/>
                  <w:vAlign w:val="center"/>
                </w:tcPr>
                <w:p w14:paraId="046EAB0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Se</w:t>
                  </w:r>
                </w:p>
              </w:tc>
              <w:tc>
                <w:tcPr>
                  <w:tcW w:w="841" w:type="dxa"/>
                  <w:tcBorders>
                    <w:tl2br w:val="nil"/>
                    <w:tr2bl w:val="nil"/>
                  </w:tcBorders>
                  <w:noWrap w:val="0"/>
                  <w:vAlign w:val="center"/>
                </w:tcPr>
                <w:p w14:paraId="5B40AAC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Fe</w:t>
                  </w:r>
                </w:p>
              </w:tc>
            </w:tr>
            <w:tr w14:paraId="709C30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tcBorders>
                    <w:tl2br w:val="nil"/>
                    <w:tr2bl w:val="nil"/>
                  </w:tcBorders>
                  <w:noWrap w:val="0"/>
                  <w:vAlign w:val="center"/>
                </w:tcPr>
                <w:p w14:paraId="26D230D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default" w:ascii="Times New Roman" w:hAnsi="Times New Roman" w:eastAsia="宋体" w:cs="Times New Roman"/>
                      <w:color w:val="auto"/>
                      <w:sz w:val="22"/>
                      <w:szCs w:val="22"/>
                      <w:vertAlign w:val="baseline"/>
                      <w:lang w:eastAsia="zh-CN"/>
                    </w:rPr>
                    <w:t>成分含量</w:t>
                  </w:r>
                  <w:r>
                    <w:rPr>
                      <w:rFonts w:hint="eastAsia" w:ascii="Times New Roman" w:hAnsi="Times New Roman" w:eastAsia="宋体" w:cs="Times New Roman"/>
                      <w:color w:val="auto"/>
                      <w:sz w:val="22"/>
                      <w:szCs w:val="22"/>
                      <w:vertAlign w:val="baseline"/>
                      <w:lang w:val="en-US" w:eastAsia="zh-CN"/>
                    </w:rPr>
                    <w:t>%</w:t>
                  </w:r>
                </w:p>
              </w:tc>
              <w:tc>
                <w:tcPr>
                  <w:tcW w:w="957" w:type="dxa"/>
                  <w:tcBorders>
                    <w:tl2br w:val="nil"/>
                    <w:tr2bl w:val="nil"/>
                  </w:tcBorders>
                  <w:noWrap w:val="0"/>
                  <w:vAlign w:val="center"/>
                </w:tcPr>
                <w:p w14:paraId="10751B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99.88</w:t>
                  </w:r>
                </w:p>
              </w:tc>
              <w:tc>
                <w:tcPr>
                  <w:tcW w:w="1122" w:type="dxa"/>
                  <w:tcBorders>
                    <w:tl2br w:val="nil"/>
                    <w:tr2bl w:val="nil"/>
                  </w:tcBorders>
                  <w:noWrap w:val="0"/>
                  <w:vAlign w:val="center"/>
                </w:tcPr>
                <w:p w14:paraId="5B3D65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0.018</w:t>
                  </w:r>
                </w:p>
              </w:tc>
              <w:tc>
                <w:tcPr>
                  <w:tcW w:w="1142" w:type="dxa"/>
                  <w:tcBorders>
                    <w:tl2br w:val="nil"/>
                    <w:tr2bl w:val="nil"/>
                  </w:tcBorders>
                  <w:noWrap w:val="0"/>
                  <w:vAlign w:val="center"/>
                </w:tcPr>
                <w:p w14:paraId="38A1467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0.037</w:t>
                  </w:r>
                </w:p>
              </w:tc>
              <w:tc>
                <w:tcPr>
                  <w:tcW w:w="1170" w:type="dxa"/>
                  <w:tcBorders>
                    <w:tl2br w:val="nil"/>
                    <w:tr2bl w:val="nil"/>
                  </w:tcBorders>
                  <w:noWrap w:val="0"/>
                  <w:vAlign w:val="center"/>
                </w:tcPr>
                <w:p w14:paraId="18848FB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0.0012</w:t>
                  </w:r>
                </w:p>
              </w:tc>
              <w:tc>
                <w:tcPr>
                  <w:tcW w:w="1007" w:type="dxa"/>
                  <w:tcBorders>
                    <w:tl2br w:val="nil"/>
                    <w:tr2bl w:val="nil"/>
                  </w:tcBorders>
                  <w:noWrap w:val="0"/>
                  <w:vAlign w:val="center"/>
                </w:tcPr>
                <w:p w14:paraId="2C6E0E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0.0036</w:t>
                  </w:r>
                </w:p>
              </w:tc>
              <w:tc>
                <w:tcPr>
                  <w:tcW w:w="941" w:type="dxa"/>
                  <w:tcBorders>
                    <w:tl2br w:val="nil"/>
                    <w:tr2bl w:val="nil"/>
                  </w:tcBorders>
                  <w:noWrap w:val="0"/>
                  <w:vAlign w:val="center"/>
                </w:tcPr>
                <w:p w14:paraId="2F8F1B6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0.055</w:t>
                  </w:r>
                </w:p>
              </w:tc>
              <w:tc>
                <w:tcPr>
                  <w:tcW w:w="841" w:type="dxa"/>
                  <w:tcBorders>
                    <w:tl2br w:val="nil"/>
                    <w:tr2bl w:val="nil"/>
                  </w:tcBorders>
                  <w:noWrap w:val="0"/>
                  <w:vAlign w:val="center"/>
                </w:tcPr>
                <w:p w14:paraId="7B31D74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0.0052</w:t>
                  </w:r>
                </w:p>
              </w:tc>
            </w:tr>
            <w:tr w14:paraId="1C4ED6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6" w:type="dxa"/>
                  <w:tcBorders>
                    <w:tl2br w:val="nil"/>
                    <w:tr2bl w:val="nil"/>
                  </w:tcBorders>
                  <w:noWrap w:val="0"/>
                  <w:vAlign w:val="center"/>
                </w:tcPr>
                <w:p w14:paraId="1070FC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备注</w:t>
                  </w:r>
                </w:p>
              </w:tc>
              <w:tc>
                <w:tcPr>
                  <w:tcW w:w="7180" w:type="dxa"/>
                  <w:gridSpan w:val="7"/>
                  <w:tcBorders>
                    <w:tl2br w:val="nil"/>
                    <w:tr2bl w:val="nil"/>
                  </w:tcBorders>
                  <w:noWrap w:val="0"/>
                  <w:vAlign w:val="center"/>
                </w:tcPr>
                <w:p w14:paraId="40CCF39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满足YB/T051-2015D的规定要求</w:t>
                  </w:r>
                </w:p>
              </w:tc>
            </w:tr>
          </w:tbl>
          <w:p w14:paraId="56CCBE4E">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default" w:ascii="Times New Roman" w:hAnsi="Times New Roman" w:eastAsia="宋体" w:cs="Times New Roman"/>
                <w:b/>
                <w:bCs/>
                <w:color w:val="auto"/>
                <w:sz w:val="26"/>
                <w:szCs w:val="26"/>
                <w:highlight w:val="none"/>
                <w:vertAlign w:val="baseline"/>
                <w:lang w:val="en-US" w:eastAsia="zh-CN"/>
              </w:rPr>
            </w:pPr>
            <w:r>
              <w:rPr>
                <w:rFonts w:hint="eastAsia" w:ascii="Times New Roman" w:hAnsi="Times New Roman" w:eastAsia="宋体" w:cs="Times New Roman"/>
                <w:b/>
                <w:bCs/>
                <w:color w:val="auto"/>
                <w:sz w:val="26"/>
                <w:szCs w:val="26"/>
                <w:highlight w:val="none"/>
                <w:vertAlign w:val="baseline"/>
                <w:lang w:val="en-US" w:eastAsia="zh-CN"/>
              </w:rPr>
              <w:t>表2.6-8  纯铁皮主要成分表</w:t>
            </w:r>
          </w:p>
          <w:tbl>
            <w:tblPr>
              <w:tblStyle w:val="26"/>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1464"/>
              <w:gridCol w:w="1696"/>
              <w:gridCol w:w="1287"/>
              <w:gridCol w:w="1950"/>
            </w:tblGrid>
            <w:tr w14:paraId="523AA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tcBorders>
                    <w:tl2br w:val="nil"/>
                    <w:tr2bl w:val="nil"/>
                  </w:tcBorders>
                  <w:noWrap w:val="0"/>
                  <w:vAlign w:val="center"/>
                </w:tcPr>
                <w:p w14:paraId="522363C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default" w:ascii="Times New Roman" w:hAnsi="Times New Roman" w:eastAsia="宋体" w:cs="Times New Roman"/>
                      <w:color w:val="auto"/>
                      <w:sz w:val="22"/>
                      <w:szCs w:val="22"/>
                      <w:vertAlign w:val="baseline"/>
                      <w:lang w:val="en-US" w:eastAsia="zh-CN"/>
                    </w:rPr>
                    <w:t>纯铁皮</w:t>
                  </w:r>
                </w:p>
              </w:tc>
              <w:tc>
                <w:tcPr>
                  <w:tcW w:w="1590" w:type="dxa"/>
                  <w:tcBorders>
                    <w:tl2br w:val="nil"/>
                    <w:tr2bl w:val="nil"/>
                  </w:tcBorders>
                  <w:noWrap w:val="0"/>
                  <w:vAlign w:val="center"/>
                </w:tcPr>
                <w:p w14:paraId="3140FB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杂质</w:t>
                  </w:r>
                </w:p>
              </w:tc>
              <w:tc>
                <w:tcPr>
                  <w:tcW w:w="1845" w:type="dxa"/>
                  <w:tcBorders>
                    <w:tl2br w:val="nil"/>
                    <w:tr2bl w:val="nil"/>
                  </w:tcBorders>
                  <w:noWrap w:val="0"/>
                  <w:vAlign w:val="center"/>
                </w:tcPr>
                <w:p w14:paraId="4E1F25C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default" w:ascii="Times New Roman" w:hAnsi="Times New Roman" w:eastAsia="宋体" w:cs="Times New Roman"/>
                      <w:color w:val="auto"/>
                      <w:sz w:val="22"/>
                      <w:szCs w:val="22"/>
                      <w:vertAlign w:val="baseline"/>
                      <w:lang w:val="en-US" w:eastAsia="zh-CN"/>
                    </w:rPr>
                    <w:t>油污</w:t>
                  </w:r>
                </w:p>
              </w:tc>
              <w:tc>
                <w:tcPr>
                  <w:tcW w:w="1395" w:type="dxa"/>
                  <w:tcBorders>
                    <w:tl2br w:val="nil"/>
                    <w:tr2bl w:val="nil"/>
                  </w:tcBorders>
                  <w:noWrap w:val="0"/>
                  <w:vAlign w:val="center"/>
                </w:tcPr>
                <w:p w14:paraId="56ED908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default" w:ascii="Times New Roman" w:hAnsi="Times New Roman" w:eastAsia="宋体" w:cs="Times New Roman"/>
                      <w:color w:val="auto"/>
                      <w:sz w:val="22"/>
                      <w:szCs w:val="22"/>
                      <w:vertAlign w:val="baseline"/>
                      <w:lang w:val="en-US" w:eastAsia="zh-CN"/>
                    </w:rPr>
                    <w:t>涂层</w:t>
                  </w:r>
                </w:p>
              </w:tc>
              <w:tc>
                <w:tcPr>
                  <w:tcW w:w="2125" w:type="dxa"/>
                  <w:tcBorders>
                    <w:tl2br w:val="nil"/>
                    <w:tr2bl w:val="nil"/>
                  </w:tcBorders>
                  <w:noWrap w:val="0"/>
                  <w:vAlign w:val="center"/>
                </w:tcPr>
                <w:p w14:paraId="2506A3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default" w:ascii="Times New Roman" w:hAnsi="Times New Roman" w:eastAsia="宋体" w:cs="Times New Roman"/>
                      <w:color w:val="auto"/>
                      <w:sz w:val="22"/>
                      <w:szCs w:val="22"/>
                      <w:vertAlign w:val="baseline"/>
                      <w:lang w:val="en-US" w:eastAsia="zh-CN"/>
                    </w:rPr>
                    <w:t>锈蚀</w:t>
                  </w:r>
                </w:p>
              </w:tc>
            </w:tr>
            <w:tr w14:paraId="6D299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tcBorders>
                    <w:tl2br w:val="nil"/>
                    <w:tr2bl w:val="nil"/>
                  </w:tcBorders>
                  <w:noWrap w:val="0"/>
                  <w:vAlign w:val="center"/>
                </w:tcPr>
                <w:p w14:paraId="18EB65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default" w:ascii="Times New Roman" w:hAnsi="Times New Roman" w:eastAsia="宋体" w:cs="Times New Roman"/>
                      <w:color w:val="auto"/>
                      <w:sz w:val="22"/>
                      <w:szCs w:val="22"/>
                      <w:vertAlign w:val="baseline"/>
                      <w:lang w:eastAsia="zh-CN"/>
                    </w:rPr>
                    <w:t>成分含量</w:t>
                  </w:r>
                  <w:r>
                    <w:rPr>
                      <w:rFonts w:hint="default" w:ascii="Times New Roman" w:hAnsi="Times New Roman" w:eastAsia="宋体" w:cs="Times New Roman"/>
                      <w:color w:val="auto"/>
                      <w:sz w:val="22"/>
                      <w:szCs w:val="22"/>
                      <w:vertAlign w:val="baseline"/>
                      <w:lang w:val="en-US" w:eastAsia="zh-CN"/>
                    </w:rPr>
                    <w:t>%</w:t>
                  </w:r>
                </w:p>
              </w:tc>
              <w:tc>
                <w:tcPr>
                  <w:tcW w:w="1590" w:type="dxa"/>
                  <w:tcBorders>
                    <w:tl2br w:val="nil"/>
                    <w:tr2bl w:val="nil"/>
                  </w:tcBorders>
                  <w:noWrap w:val="0"/>
                  <w:vAlign w:val="center"/>
                </w:tcPr>
                <w:p w14:paraId="3C7A46F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default" w:ascii="Times New Roman" w:hAnsi="Times New Roman" w:eastAsia="宋体" w:cs="Times New Roman"/>
                      <w:color w:val="auto"/>
                      <w:sz w:val="22"/>
                      <w:szCs w:val="22"/>
                      <w:vertAlign w:val="baseline"/>
                      <w:lang w:val="en-US" w:eastAsia="zh-CN"/>
                    </w:rPr>
                    <w:t>0</w:t>
                  </w:r>
                </w:p>
              </w:tc>
              <w:tc>
                <w:tcPr>
                  <w:tcW w:w="1845" w:type="dxa"/>
                  <w:tcBorders>
                    <w:tl2br w:val="nil"/>
                    <w:tr2bl w:val="nil"/>
                  </w:tcBorders>
                  <w:noWrap w:val="0"/>
                  <w:vAlign w:val="center"/>
                </w:tcPr>
                <w:p w14:paraId="6C3B77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default" w:ascii="Times New Roman" w:hAnsi="Times New Roman" w:eastAsia="宋体" w:cs="Times New Roman"/>
                      <w:color w:val="auto"/>
                      <w:sz w:val="22"/>
                      <w:szCs w:val="22"/>
                      <w:vertAlign w:val="baseline"/>
                      <w:lang w:val="en-US" w:eastAsia="zh-CN"/>
                    </w:rPr>
                    <w:t>0</w:t>
                  </w:r>
                </w:p>
              </w:tc>
              <w:tc>
                <w:tcPr>
                  <w:tcW w:w="1395" w:type="dxa"/>
                  <w:tcBorders>
                    <w:tl2br w:val="nil"/>
                    <w:tr2bl w:val="nil"/>
                  </w:tcBorders>
                  <w:noWrap w:val="0"/>
                  <w:vAlign w:val="center"/>
                </w:tcPr>
                <w:p w14:paraId="7BB7349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default" w:ascii="Times New Roman" w:hAnsi="Times New Roman" w:eastAsia="宋体" w:cs="Times New Roman"/>
                      <w:color w:val="auto"/>
                      <w:sz w:val="22"/>
                      <w:szCs w:val="22"/>
                      <w:vertAlign w:val="baseline"/>
                      <w:lang w:val="en-US" w:eastAsia="zh-CN"/>
                    </w:rPr>
                    <w:t>0</w:t>
                  </w:r>
                </w:p>
              </w:tc>
              <w:tc>
                <w:tcPr>
                  <w:tcW w:w="2125" w:type="dxa"/>
                  <w:tcBorders>
                    <w:tl2br w:val="nil"/>
                    <w:tr2bl w:val="nil"/>
                  </w:tcBorders>
                  <w:noWrap w:val="0"/>
                  <w:vAlign w:val="center"/>
                </w:tcPr>
                <w:p w14:paraId="32A9BF9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default" w:ascii="Times New Roman" w:hAnsi="Times New Roman" w:eastAsia="宋体" w:cs="Times New Roman"/>
                      <w:color w:val="auto"/>
                      <w:sz w:val="22"/>
                      <w:szCs w:val="22"/>
                      <w:vertAlign w:val="baseline"/>
                      <w:lang w:val="en-US" w:eastAsia="zh-CN"/>
                    </w:rPr>
                    <w:t>0</w:t>
                  </w:r>
                </w:p>
              </w:tc>
            </w:tr>
            <w:tr w14:paraId="531D49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71" w:type="dxa"/>
                  <w:tcBorders>
                    <w:tl2br w:val="nil"/>
                    <w:tr2bl w:val="nil"/>
                  </w:tcBorders>
                  <w:noWrap w:val="0"/>
                  <w:vAlign w:val="center"/>
                </w:tcPr>
                <w:p w14:paraId="668800D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default" w:ascii="Times New Roman" w:hAnsi="Times New Roman" w:eastAsia="宋体" w:cs="Times New Roman"/>
                      <w:color w:val="auto"/>
                      <w:sz w:val="22"/>
                      <w:szCs w:val="22"/>
                      <w:vertAlign w:val="baseline"/>
                      <w:lang w:val="en-US" w:eastAsia="zh-CN"/>
                    </w:rPr>
                    <w:t>备注</w:t>
                  </w:r>
                </w:p>
              </w:tc>
              <w:tc>
                <w:tcPr>
                  <w:tcW w:w="6955" w:type="dxa"/>
                  <w:gridSpan w:val="4"/>
                  <w:tcBorders>
                    <w:tl2br w:val="nil"/>
                    <w:tr2bl w:val="nil"/>
                  </w:tcBorders>
                  <w:noWrap w:val="0"/>
                  <w:vAlign w:val="center"/>
                </w:tcPr>
                <w:p w14:paraId="194952A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default" w:ascii="Times New Roman" w:hAnsi="Times New Roman" w:eastAsia="宋体" w:cs="Times New Roman"/>
                      <w:color w:val="auto"/>
                      <w:sz w:val="22"/>
                      <w:szCs w:val="22"/>
                      <w:vertAlign w:val="baseline"/>
                      <w:lang w:val="en-US" w:eastAsia="zh-CN"/>
                    </w:rPr>
                    <w:t>满足Q/JMYZ/C001-2024的规定要求</w:t>
                  </w:r>
                </w:p>
              </w:tc>
            </w:tr>
          </w:tbl>
          <w:p w14:paraId="1E41404E">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default" w:ascii="Times New Roman" w:hAnsi="Times New Roman" w:eastAsia="宋体" w:cs="Times New Roman"/>
                <w:b/>
                <w:bCs/>
                <w:color w:val="auto"/>
                <w:sz w:val="26"/>
                <w:szCs w:val="26"/>
                <w:highlight w:val="none"/>
                <w:vertAlign w:val="baseline"/>
                <w:lang w:val="en-US" w:eastAsia="zh-CN"/>
              </w:rPr>
            </w:pPr>
            <w:r>
              <w:rPr>
                <w:rFonts w:hint="eastAsia" w:ascii="Times New Roman" w:hAnsi="Times New Roman" w:eastAsia="宋体" w:cs="Times New Roman"/>
                <w:b/>
                <w:bCs/>
                <w:color w:val="auto"/>
                <w:sz w:val="26"/>
                <w:szCs w:val="26"/>
                <w:highlight w:val="none"/>
                <w:vertAlign w:val="baseline"/>
                <w:lang w:val="en-US" w:eastAsia="zh-CN"/>
              </w:rPr>
              <w:t>表2.6-9  工业硅主要成分表</w:t>
            </w:r>
          </w:p>
          <w:tbl>
            <w:tblPr>
              <w:tblStyle w:val="26"/>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408"/>
              <w:gridCol w:w="1537"/>
              <w:gridCol w:w="1844"/>
              <w:gridCol w:w="2003"/>
            </w:tblGrid>
            <w:tr w14:paraId="0229C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37" w:type="dxa"/>
                  <w:tcBorders>
                    <w:tl2br w:val="nil"/>
                    <w:tr2bl w:val="nil"/>
                  </w:tcBorders>
                  <w:noWrap w:val="0"/>
                  <w:vAlign w:val="center"/>
                </w:tcPr>
                <w:p w14:paraId="1C2E780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default" w:ascii="Times New Roman" w:hAnsi="Times New Roman" w:eastAsia="宋体" w:cs="Times New Roman"/>
                      <w:color w:val="auto"/>
                      <w:sz w:val="22"/>
                      <w:szCs w:val="22"/>
                      <w:vertAlign w:val="baseline"/>
                      <w:lang w:val="en-US" w:eastAsia="zh-CN"/>
                    </w:rPr>
                    <w:t>成分含量</w:t>
                  </w:r>
                  <w:r>
                    <w:rPr>
                      <w:rFonts w:hint="eastAsia" w:ascii="Times New Roman" w:hAnsi="Times New Roman" w:eastAsia="宋体" w:cs="Times New Roman"/>
                      <w:color w:val="auto"/>
                      <w:sz w:val="22"/>
                      <w:szCs w:val="22"/>
                      <w:vertAlign w:val="baseline"/>
                      <w:lang w:val="en-US" w:eastAsia="zh-CN"/>
                    </w:rPr>
                    <w:t>%</w:t>
                  </w:r>
                </w:p>
              </w:tc>
              <w:tc>
                <w:tcPr>
                  <w:tcW w:w="1528" w:type="dxa"/>
                  <w:tcBorders>
                    <w:tl2br w:val="nil"/>
                    <w:tr2bl w:val="nil"/>
                  </w:tcBorders>
                  <w:noWrap w:val="0"/>
                  <w:vAlign w:val="center"/>
                </w:tcPr>
                <w:p w14:paraId="302AEAC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Si</w:t>
                  </w:r>
                </w:p>
              </w:tc>
              <w:tc>
                <w:tcPr>
                  <w:tcW w:w="1670" w:type="dxa"/>
                  <w:tcBorders>
                    <w:tl2br w:val="nil"/>
                    <w:tr2bl w:val="nil"/>
                  </w:tcBorders>
                  <w:noWrap w:val="0"/>
                  <w:vAlign w:val="center"/>
                </w:tcPr>
                <w:p w14:paraId="40D5AAA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2"/>
                      <w:szCs w:val="22"/>
                      <w:vertAlign w:val="baseline"/>
                      <w:lang w:val="en-US" w:eastAsia="zh-CN" w:bidi="ar-SA"/>
                    </w:rPr>
                  </w:pPr>
                  <w:r>
                    <w:rPr>
                      <w:rFonts w:hint="eastAsia" w:ascii="Times New Roman" w:hAnsi="Times New Roman" w:eastAsia="宋体" w:cs="Times New Roman"/>
                      <w:color w:val="auto"/>
                      <w:sz w:val="22"/>
                      <w:szCs w:val="22"/>
                      <w:vertAlign w:val="baseline"/>
                      <w:lang w:val="en-US" w:eastAsia="zh-CN"/>
                    </w:rPr>
                    <w:t>Fe</w:t>
                  </w:r>
                </w:p>
              </w:tc>
              <w:tc>
                <w:tcPr>
                  <w:tcW w:w="2008" w:type="dxa"/>
                  <w:tcBorders>
                    <w:tl2br w:val="nil"/>
                    <w:tr2bl w:val="nil"/>
                  </w:tcBorders>
                  <w:noWrap w:val="0"/>
                  <w:vAlign w:val="center"/>
                </w:tcPr>
                <w:p w14:paraId="7838535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Al</w:t>
                  </w:r>
                </w:p>
              </w:tc>
              <w:tc>
                <w:tcPr>
                  <w:tcW w:w="2183" w:type="dxa"/>
                  <w:tcBorders>
                    <w:tl2br w:val="nil"/>
                    <w:tr2bl w:val="nil"/>
                  </w:tcBorders>
                  <w:noWrap w:val="0"/>
                  <w:vAlign w:val="center"/>
                </w:tcPr>
                <w:p w14:paraId="0E9AD0B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Ca</w:t>
                  </w:r>
                </w:p>
              </w:tc>
            </w:tr>
            <w:tr w14:paraId="30961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37" w:type="dxa"/>
                  <w:tcBorders>
                    <w:tl2br w:val="nil"/>
                    <w:tr2bl w:val="nil"/>
                  </w:tcBorders>
                  <w:noWrap w:val="0"/>
                  <w:vAlign w:val="center"/>
                </w:tcPr>
                <w:p w14:paraId="73E59A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工业硅</w:t>
                  </w:r>
                </w:p>
              </w:tc>
              <w:tc>
                <w:tcPr>
                  <w:tcW w:w="1528" w:type="dxa"/>
                  <w:tcBorders>
                    <w:tl2br w:val="nil"/>
                    <w:tr2bl w:val="nil"/>
                  </w:tcBorders>
                  <w:noWrap w:val="0"/>
                  <w:vAlign w:val="center"/>
                </w:tcPr>
                <w:p w14:paraId="690C8F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99.239</w:t>
                  </w:r>
                </w:p>
              </w:tc>
              <w:tc>
                <w:tcPr>
                  <w:tcW w:w="1670" w:type="dxa"/>
                  <w:tcBorders>
                    <w:tl2br w:val="nil"/>
                    <w:tr2bl w:val="nil"/>
                  </w:tcBorders>
                  <w:noWrap w:val="0"/>
                  <w:vAlign w:val="center"/>
                </w:tcPr>
                <w:p w14:paraId="35D148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2"/>
                      <w:szCs w:val="22"/>
                      <w:vertAlign w:val="baseline"/>
                      <w:lang w:val="en-US" w:eastAsia="zh-CN" w:bidi="ar-SA"/>
                    </w:rPr>
                  </w:pPr>
                  <w:r>
                    <w:rPr>
                      <w:rFonts w:hint="eastAsia" w:ascii="Times New Roman" w:hAnsi="Times New Roman" w:eastAsia="宋体" w:cs="Times New Roman"/>
                      <w:color w:val="auto"/>
                      <w:sz w:val="22"/>
                      <w:szCs w:val="22"/>
                      <w:vertAlign w:val="baseline"/>
                      <w:lang w:val="en-US" w:eastAsia="zh-CN"/>
                    </w:rPr>
                    <w:t>0.48</w:t>
                  </w:r>
                </w:p>
              </w:tc>
              <w:tc>
                <w:tcPr>
                  <w:tcW w:w="2008" w:type="dxa"/>
                  <w:tcBorders>
                    <w:tl2br w:val="nil"/>
                    <w:tr2bl w:val="nil"/>
                  </w:tcBorders>
                  <w:noWrap w:val="0"/>
                  <w:vAlign w:val="center"/>
                </w:tcPr>
                <w:p w14:paraId="42A065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0.20</w:t>
                  </w:r>
                </w:p>
              </w:tc>
              <w:tc>
                <w:tcPr>
                  <w:tcW w:w="2183" w:type="dxa"/>
                  <w:tcBorders>
                    <w:tl2br w:val="nil"/>
                    <w:tr2bl w:val="nil"/>
                  </w:tcBorders>
                  <w:noWrap w:val="0"/>
                  <w:vAlign w:val="center"/>
                </w:tcPr>
                <w:p w14:paraId="2FCE1F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0.081</w:t>
                  </w:r>
                </w:p>
              </w:tc>
            </w:tr>
            <w:tr w14:paraId="5FBBCF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37" w:type="dxa"/>
                  <w:tcBorders>
                    <w:tl2br w:val="nil"/>
                    <w:tr2bl w:val="nil"/>
                  </w:tcBorders>
                  <w:noWrap w:val="0"/>
                  <w:vAlign w:val="center"/>
                </w:tcPr>
                <w:p w14:paraId="1B5DC2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备注</w:t>
                  </w:r>
                </w:p>
              </w:tc>
              <w:tc>
                <w:tcPr>
                  <w:tcW w:w="7389" w:type="dxa"/>
                  <w:gridSpan w:val="4"/>
                  <w:tcBorders>
                    <w:tl2br w:val="nil"/>
                    <w:tr2bl w:val="nil"/>
                  </w:tcBorders>
                  <w:noWrap w:val="0"/>
                  <w:vAlign w:val="center"/>
                </w:tcPr>
                <w:p w14:paraId="0B8394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满足 GB/T 2881-2023 的规定要求</w:t>
                  </w:r>
                </w:p>
              </w:tc>
            </w:tr>
          </w:tbl>
          <w:p w14:paraId="1250664A">
            <w:pPr>
              <w:keepNext w:val="0"/>
              <w:keepLines w:val="0"/>
              <w:pageBreakBefore w:val="0"/>
              <w:widowControl w:val="0"/>
              <w:kinsoku/>
              <w:wordWrap/>
              <w:overflowPunct/>
              <w:topLinePunct w:val="0"/>
              <w:autoSpaceDE/>
              <w:autoSpaceDN/>
              <w:bidi w:val="0"/>
              <w:adjustRightInd/>
              <w:snapToGrid/>
              <w:spacing w:line="460" w:lineRule="atLeast"/>
              <w:ind w:firstLine="520" w:firstLineChars="200"/>
              <w:textAlignment w:val="auto"/>
              <w:rPr>
                <w:rFonts w:hint="eastAsia" w:ascii="Times New Roman" w:hAnsi="Times New Roman" w:eastAsia="宋体" w:cs="Times New Roman"/>
                <w:color w:val="auto"/>
                <w:sz w:val="26"/>
                <w:szCs w:val="26"/>
                <w:highlight w:val="none"/>
                <w:vertAlign w:val="baseline"/>
                <w:lang w:val="en-US" w:eastAsia="zh-CN"/>
              </w:rPr>
            </w:pPr>
          </w:p>
          <w:p w14:paraId="48D48AFF">
            <w:pPr>
              <w:keepNext w:val="0"/>
              <w:keepLines w:val="0"/>
              <w:pageBreakBefore w:val="0"/>
              <w:widowControl w:val="0"/>
              <w:kinsoku/>
              <w:wordWrap/>
              <w:overflowPunct/>
              <w:topLinePunct w:val="0"/>
              <w:autoSpaceDE/>
              <w:autoSpaceDN/>
              <w:bidi w:val="0"/>
              <w:adjustRightInd/>
              <w:snapToGrid/>
              <w:spacing w:line="460" w:lineRule="atLeast"/>
              <w:ind w:firstLine="520" w:firstLineChars="200"/>
              <w:textAlignment w:val="auto"/>
              <w:rPr>
                <w:rFonts w:hint="eastAsia" w:ascii="Times New Roman" w:hAnsi="Times New Roman" w:eastAsia="宋体" w:cs="Times New Roman"/>
                <w:color w:val="auto"/>
                <w:sz w:val="26"/>
                <w:szCs w:val="26"/>
                <w:highlight w:val="none"/>
                <w:vertAlign w:val="baseline"/>
                <w:lang w:val="en-US" w:eastAsia="zh-CN"/>
              </w:rPr>
            </w:pPr>
            <w:r>
              <w:rPr>
                <w:rFonts w:hint="eastAsia" w:ascii="Times New Roman" w:hAnsi="Times New Roman" w:eastAsia="宋体" w:cs="Times New Roman"/>
                <w:color w:val="auto"/>
                <w:sz w:val="26"/>
                <w:szCs w:val="26"/>
                <w:highlight w:val="none"/>
                <w:vertAlign w:val="baseline"/>
                <w:lang w:val="en-US" w:eastAsia="zh-CN"/>
              </w:rPr>
              <w:t>本项目涉及的精炼剂（也称除渣剂）主要成分详见下表。</w:t>
            </w:r>
          </w:p>
          <w:p w14:paraId="45821411">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default" w:ascii="Times New Roman" w:hAnsi="Times New Roman" w:eastAsia="宋体" w:cs="Times New Roman"/>
                <w:b/>
                <w:bCs/>
                <w:color w:val="auto"/>
                <w:sz w:val="26"/>
                <w:szCs w:val="26"/>
                <w:highlight w:val="none"/>
                <w:vertAlign w:val="baseline"/>
                <w:lang w:val="en-US" w:eastAsia="zh-CN"/>
              </w:rPr>
            </w:pPr>
            <w:r>
              <w:rPr>
                <w:rFonts w:hint="eastAsia" w:ascii="Times New Roman" w:hAnsi="Times New Roman" w:eastAsia="宋体" w:cs="Times New Roman"/>
                <w:b/>
                <w:bCs/>
                <w:color w:val="auto"/>
                <w:sz w:val="26"/>
                <w:szCs w:val="26"/>
                <w:highlight w:val="none"/>
                <w:vertAlign w:val="baseline"/>
                <w:lang w:val="en-US" w:eastAsia="zh-CN"/>
              </w:rPr>
              <w:t>表2.6-10  精炼剂（除渣剂）主要成分一览表</w:t>
            </w:r>
          </w:p>
          <w:tbl>
            <w:tblPr>
              <w:tblStyle w:val="26"/>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1492"/>
              <w:gridCol w:w="1493"/>
              <w:gridCol w:w="1148"/>
              <w:gridCol w:w="1202"/>
              <w:gridCol w:w="1202"/>
            </w:tblGrid>
            <w:tr w14:paraId="46E3F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69" w:type="dxa"/>
                  <w:tcBorders>
                    <w:tl2br w:val="nil"/>
                    <w:tr2bl w:val="nil"/>
                  </w:tcBorders>
                  <w:noWrap w:val="0"/>
                  <w:vAlign w:val="top"/>
                </w:tcPr>
                <w:p w14:paraId="2816801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default" w:ascii="Times New Roman" w:hAnsi="Times New Roman" w:eastAsia="宋体" w:cs="Times New Roman"/>
                      <w:color w:val="auto"/>
                      <w:sz w:val="22"/>
                      <w:szCs w:val="22"/>
                      <w:vertAlign w:val="baseline"/>
                      <w:lang w:eastAsia="zh-CN"/>
                    </w:rPr>
                    <w:t>成分含量</w:t>
                  </w:r>
                  <w:r>
                    <w:rPr>
                      <w:rFonts w:hint="eastAsia" w:ascii="Times New Roman" w:hAnsi="Times New Roman" w:eastAsia="宋体" w:cs="Times New Roman"/>
                      <w:color w:val="auto"/>
                      <w:sz w:val="22"/>
                      <w:szCs w:val="22"/>
                      <w:vertAlign w:val="baseline"/>
                      <w:lang w:val="en-US" w:eastAsia="zh-CN"/>
                    </w:rPr>
                    <w:t>%</w:t>
                  </w:r>
                </w:p>
              </w:tc>
              <w:tc>
                <w:tcPr>
                  <w:tcW w:w="1571" w:type="dxa"/>
                  <w:tcBorders>
                    <w:tl2br w:val="nil"/>
                    <w:tr2bl w:val="nil"/>
                  </w:tcBorders>
                  <w:noWrap w:val="0"/>
                  <w:vAlign w:val="top"/>
                </w:tcPr>
                <w:p w14:paraId="2CC9F5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K</w:t>
                  </w:r>
                </w:p>
              </w:tc>
              <w:tc>
                <w:tcPr>
                  <w:tcW w:w="1572" w:type="dxa"/>
                  <w:tcBorders>
                    <w:tl2br w:val="nil"/>
                    <w:tr2bl w:val="nil"/>
                  </w:tcBorders>
                  <w:noWrap w:val="0"/>
                  <w:vAlign w:val="top"/>
                </w:tcPr>
                <w:p w14:paraId="355CF8F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default" w:ascii="Times New Roman" w:hAnsi="Times New Roman" w:eastAsia="宋体" w:cs="Times New Roman"/>
                      <w:color w:val="auto"/>
                      <w:sz w:val="22"/>
                      <w:szCs w:val="22"/>
                      <w:vertAlign w:val="baseline"/>
                      <w:lang w:val="en-US" w:eastAsia="zh-CN"/>
                    </w:rPr>
                    <w:t>Na</w:t>
                  </w:r>
                </w:p>
              </w:tc>
              <w:tc>
                <w:tcPr>
                  <w:tcW w:w="1206" w:type="dxa"/>
                  <w:tcBorders>
                    <w:tl2br w:val="nil"/>
                    <w:tr2bl w:val="nil"/>
                  </w:tcBorders>
                  <w:noWrap w:val="0"/>
                  <w:vAlign w:val="top"/>
                </w:tcPr>
                <w:p w14:paraId="0F4D09C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Cl</w:t>
                  </w:r>
                </w:p>
              </w:tc>
              <w:tc>
                <w:tcPr>
                  <w:tcW w:w="1263" w:type="dxa"/>
                  <w:tcBorders>
                    <w:tl2br w:val="nil"/>
                    <w:tr2bl w:val="nil"/>
                  </w:tcBorders>
                  <w:noWrap w:val="0"/>
                  <w:vAlign w:val="top"/>
                </w:tcPr>
                <w:p w14:paraId="0853A49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F</w:t>
                  </w:r>
                </w:p>
              </w:tc>
              <w:tc>
                <w:tcPr>
                  <w:tcW w:w="1263" w:type="dxa"/>
                  <w:tcBorders>
                    <w:tl2br w:val="nil"/>
                    <w:tr2bl w:val="nil"/>
                  </w:tcBorders>
                  <w:noWrap w:val="0"/>
                  <w:vAlign w:val="top"/>
                </w:tcPr>
                <w:p w14:paraId="2A38891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水分</w:t>
                  </w:r>
                </w:p>
              </w:tc>
            </w:tr>
            <w:tr w14:paraId="2038E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69" w:type="dxa"/>
                  <w:tcBorders>
                    <w:tl2br w:val="nil"/>
                    <w:tr2bl w:val="nil"/>
                  </w:tcBorders>
                  <w:noWrap w:val="0"/>
                  <w:vAlign w:val="top"/>
                </w:tcPr>
                <w:p w14:paraId="639A07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eastAsia="zh-CN"/>
                    </w:rPr>
                  </w:pPr>
                  <w:r>
                    <w:rPr>
                      <w:rFonts w:hint="eastAsia" w:ascii="Times New Roman" w:hAnsi="Times New Roman" w:eastAsia="宋体" w:cs="Times New Roman"/>
                      <w:color w:val="auto"/>
                      <w:sz w:val="22"/>
                      <w:szCs w:val="22"/>
                      <w:vertAlign w:val="baseline"/>
                      <w:lang w:val="en-US" w:eastAsia="zh-CN"/>
                    </w:rPr>
                    <w:t>精炼剂</w:t>
                  </w:r>
                </w:p>
              </w:tc>
              <w:tc>
                <w:tcPr>
                  <w:tcW w:w="1571" w:type="dxa"/>
                  <w:tcBorders>
                    <w:tl2br w:val="nil"/>
                    <w:tr2bl w:val="nil"/>
                  </w:tcBorders>
                  <w:noWrap w:val="0"/>
                  <w:vAlign w:val="top"/>
                </w:tcPr>
                <w:p w14:paraId="5B66EA2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30~45</w:t>
                  </w:r>
                </w:p>
              </w:tc>
              <w:tc>
                <w:tcPr>
                  <w:tcW w:w="1572" w:type="dxa"/>
                  <w:tcBorders>
                    <w:tl2br w:val="nil"/>
                    <w:tr2bl w:val="nil"/>
                  </w:tcBorders>
                  <w:noWrap w:val="0"/>
                  <w:vAlign w:val="top"/>
                </w:tcPr>
                <w:p w14:paraId="454B99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w:t>
                  </w:r>
                </w:p>
              </w:tc>
              <w:tc>
                <w:tcPr>
                  <w:tcW w:w="1206" w:type="dxa"/>
                  <w:tcBorders>
                    <w:tl2br w:val="nil"/>
                    <w:tr2bl w:val="nil"/>
                  </w:tcBorders>
                  <w:noWrap w:val="0"/>
                  <w:vAlign w:val="top"/>
                </w:tcPr>
                <w:p w14:paraId="1D47CC5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15～25</w:t>
                  </w:r>
                </w:p>
              </w:tc>
              <w:tc>
                <w:tcPr>
                  <w:tcW w:w="1263" w:type="dxa"/>
                  <w:tcBorders>
                    <w:tl2br w:val="nil"/>
                    <w:tr2bl w:val="nil"/>
                  </w:tcBorders>
                  <w:noWrap w:val="0"/>
                  <w:vAlign w:val="top"/>
                </w:tcPr>
                <w:p w14:paraId="6583AF2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25～35</w:t>
                  </w:r>
                </w:p>
              </w:tc>
              <w:tc>
                <w:tcPr>
                  <w:tcW w:w="1263" w:type="dxa"/>
                  <w:tcBorders>
                    <w:tl2br w:val="nil"/>
                    <w:tr2bl w:val="nil"/>
                  </w:tcBorders>
                  <w:noWrap w:val="0"/>
                  <w:vAlign w:val="top"/>
                </w:tcPr>
                <w:p w14:paraId="3CAA98A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2"/>
                      <w:szCs w:val="22"/>
                      <w:vertAlign w:val="baseline"/>
                      <w:lang w:val="en-US" w:eastAsia="zh-CN"/>
                    </w:rPr>
                  </w:pPr>
                  <w:r>
                    <w:rPr>
                      <w:rFonts w:hint="eastAsia" w:ascii="Times New Roman" w:hAnsi="Times New Roman" w:eastAsia="宋体" w:cs="Times New Roman"/>
                      <w:color w:val="auto"/>
                      <w:sz w:val="22"/>
                      <w:szCs w:val="22"/>
                      <w:vertAlign w:val="baseline"/>
                      <w:lang w:val="en-US" w:eastAsia="zh-CN"/>
                    </w:rPr>
                    <w:t>≤0.5</w:t>
                  </w:r>
                </w:p>
              </w:tc>
            </w:tr>
          </w:tbl>
          <w:p w14:paraId="5210FC28">
            <w:pPr>
              <w:keepNext w:val="0"/>
              <w:keepLines w:val="0"/>
              <w:pageBreakBefore w:val="0"/>
              <w:widowControl w:val="0"/>
              <w:kinsoku/>
              <w:wordWrap/>
              <w:overflowPunct/>
              <w:topLinePunct w:val="0"/>
              <w:autoSpaceDE/>
              <w:autoSpaceDN/>
              <w:bidi w:val="0"/>
              <w:adjustRightInd/>
              <w:snapToGrid/>
              <w:spacing w:line="460" w:lineRule="atLeast"/>
              <w:ind w:firstLine="520" w:firstLineChars="200"/>
              <w:textAlignment w:val="auto"/>
              <w:rPr>
                <w:rFonts w:hint="eastAsia" w:ascii="Times New Roman" w:hAnsi="Times New Roman" w:eastAsia="宋体" w:cs="Times New Roman"/>
                <w:color w:val="auto"/>
                <w:sz w:val="26"/>
                <w:szCs w:val="26"/>
                <w:highlight w:val="none"/>
                <w:vertAlign w:val="baseline"/>
                <w:lang w:val="en-US" w:eastAsia="zh-CN"/>
              </w:rPr>
            </w:pPr>
          </w:p>
          <w:p w14:paraId="3C729A0E">
            <w:pPr>
              <w:keepNext w:val="0"/>
              <w:keepLines w:val="0"/>
              <w:pageBreakBefore w:val="0"/>
              <w:widowControl w:val="0"/>
              <w:kinsoku/>
              <w:wordWrap/>
              <w:overflowPunct/>
              <w:topLinePunct w:val="0"/>
              <w:autoSpaceDE/>
              <w:autoSpaceDN/>
              <w:bidi w:val="0"/>
              <w:adjustRightInd/>
              <w:snapToGrid/>
              <w:spacing w:line="460" w:lineRule="atLeast"/>
              <w:ind w:firstLine="520" w:firstLineChars="200"/>
              <w:textAlignment w:val="auto"/>
              <w:rPr>
                <w:rFonts w:hint="eastAsia" w:ascii="Times New Roman" w:hAnsi="Times New Roman" w:eastAsia="宋体" w:cs="Times New Roman"/>
                <w:color w:val="auto"/>
                <w:sz w:val="26"/>
                <w:szCs w:val="26"/>
                <w:highlight w:val="none"/>
                <w:vertAlign w:val="baseline"/>
                <w:lang w:val="en-US" w:eastAsia="zh-CN"/>
              </w:rPr>
            </w:pPr>
            <w:r>
              <w:rPr>
                <w:rFonts w:hint="eastAsia" w:ascii="Times New Roman" w:hAnsi="Times New Roman" w:eastAsia="宋体" w:cs="Times New Roman"/>
                <w:color w:val="auto"/>
                <w:sz w:val="26"/>
                <w:szCs w:val="26"/>
                <w:highlight w:val="none"/>
                <w:vertAlign w:val="baseline"/>
                <w:lang w:val="en-US" w:eastAsia="zh-CN"/>
              </w:rPr>
              <w:t>主要原辅材料理化性质详见下表。</w:t>
            </w:r>
          </w:p>
          <w:p w14:paraId="26E13C70">
            <w:pPr>
              <w:keepNext w:val="0"/>
              <w:keepLines w:val="0"/>
              <w:pageBreakBefore w:val="0"/>
              <w:widowControl w:val="0"/>
              <w:kinsoku/>
              <w:wordWrap/>
              <w:overflowPunct/>
              <w:topLinePunct w:val="0"/>
              <w:autoSpaceDE/>
              <w:autoSpaceDN/>
              <w:bidi w:val="0"/>
              <w:adjustRightInd/>
              <w:snapToGrid/>
              <w:spacing w:line="460" w:lineRule="atLeast"/>
              <w:jc w:val="center"/>
              <w:textAlignment w:val="auto"/>
              <w:rPr>
                <w:rFonts w:hint="eastAsia" w:ascii="Times New Roman" w:hAnsi="Times New Roman" w:eastAsia="宋体" w:cs="Times New Roman"/>
                <w:b/>
                <w:bCs/>
                <w:color w:val="auto"/>
                <w:sz w:val="26"/>
                <w:szCs w:val="26"/>
                <w:highlight w:val="none"/>
                <w:vertAlign w:val="baseline"/>
                <w:lang w:val="en-US" w:eastAsia="zh-CN"/>
              </w:rPr>
            </w:pPr>
            <w:r>
              <w:rPr>
                <w:rFonts w:hint="eastAsia" w:ascii="Times New Roman" w:hAnsi="Times New Roman" w:eastAsia="宋体" w:cs="Times New Roman"/>
                <w:b/>
                <w:bCs/>
                <w:color w:val="auto"/>
                <w:sz w:val="26"/>
                <w:szCs w:val="26"/>
                <w:highlight w:val="none"/>
                <w:vertAlign w:val="baseline"/>
                <w:lang w:val="en-US" w:eastAsia="zh-CN"/>
              </w:rPr>
              <w:t>表2.6-11    各原辅材料化学成分表</w:t>
            </w:r>
          </w:p>
          <w:tbl>
            <w:tblPr>
              <w:tblStyle w:val="25"/>
              <w:tblW w:w="485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92"/>
              <w:gridCol w:w="724"/>
              <w:gridCol w:w="6710"/>
            </w:tblGrid>
            <w:tr w14:paraId="115968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9" w:hRule="atLeast"/>
                <w:jc w:val="center"/>
              </w:trPr>
              <w:tc>
                <w:tcPr>
                  <w:tcW w:w="641" w:type="dxa"/>
                  <w:tcBorders>
                    <w:tl2br w:val="nil"/>
                    <w:tr2bl w:val="nil"/>
                  </w:tcBorders>
                  <w:noWrap w:val="0"/>
                  <w:tcMar>
                    <w:top w:w="15" w:type="dxa"/>
                    <w:left w:w="15" w:type="dxa"/>
                    <w:bottom w:w="15" w:type="dxa"/>
                    <w:right w:w="15" w:type="dxa"/>
                  </w:tcMar>
                  <w:vAlign w:val="center"/>
                </w:tcPr>
                <w:p w14:paraId="75932C7B">
                  <w:pPr>
                    <w:widowControl/>
                    <w:spacing w:line="300" w:lineRule="exact"/>
                    <w:jc w:val="center"/>
                    <w:textAlignment w:val="center"/>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lang w:eastAsia="zh-CN"/>
                    </w:rPr>
                    <w:t>序号</w:t>
                  </w:r>
                </w:p>
              </w:tc>
              <w:tc>
                <w:tcPr>
                  <w:tcW w:w="785" w:type="dxa"/>
                  <w:tcBorders>
                    <w:tl2br w:val="nil"/>
                    <w:tr2bl w:val="nil"/>
                  </w:tcBorders>
                  <w:noWrap w:val="0"/>
                  <w:tcMar>
                    <w:top w:w="15" w:type="dxa"/>
                    <w:left w:w="15" w:type="dxa"/>
                    <w:bottom w:w="15" w:type="dxa"/>
                    <w:right w:w="15" w:type="dxa"/>
                  </w:tcMar>
                  <w:vAlign w:val="center"/>
                </w:tcPr>
                <w:p w14:paraId="2FEE70A1">
                  <w:pPr>
                    <w:widowControl/>
                    <w:spacing w:line="300" w:lineRule="exact"/>
                    <w:jc w:val="center"/>
                    <w:textAlignment w:val="center"/>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lang w:eastAsia="zh-CN"/>
                    </w:rPr>
                    <w:t>名称</w:t>
                  </w:r>
                </w:p>
              </w:tc>
              <w:tc>
                <w:tcPr>
                  <w:tcW w:w="7300" w:type="dxa"/>
                  <w:tcBorders>
                    <w:tl2br w:val="nil"/>
                    <w:tr2bl w:val="nil"/>
                  </w:tcBorders>
                  <w:noWrap w:val="0"/>
                  <w:tcMar>
                    <w:top w:w="15" w:type="dxa"/>
                    <w:left w:w="15" w:type="dxa"/>
                    <w:bottom w:w="15" w:type="dxa"/>
                    <w:right w:w="15" w:type="dxa"/>
                  </w:tcMar>
                  <w:vAlign w:val="center"/>
                </w:tcPr>
                <w:p w14:paraId="214082CE">
                  <w:pPr>
                    <w:widowControl/>
                    <w:spacing w:line="300" w:lineRule="exact"/>
                    <w:jc w:val="center"/>
                    <w:textAlignment w:val="center"/>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lang w:eastAsia="zh-CN"/>
                    </w:rPr>
                    <w:t>主要理化性质</w:t>
                  </w:r>
                </w:p>
              </w:tc>
            </w:tr>
            <w:tr w14:paraId="4921C1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9" w:hRule="atLeast"/>
                <w:jc w:val="center"/>
              </w:trPr>
              <w:tc>
                <w:tcPr>
                  <w:tcW w:w="641" w:type="dxa"/>
                  <w:tcBorders>
                    <w:tl2br w:val="nil"/>
                    <w:tr2bl w:val="nil"/>
                  </w:tcBorders>
                  <w:noWrap w:val="0"/>
                  <w:tcMar>
                    <w:top w:w="15" w:type="dxa"/>
                    <w:left w:w="15" w:type="dxa"/>
                    <w:bottom w:w="15" w:type="dxa"/>
                    <w:right w:w="15" w:type="dxa"/>
                  </w:tcMar>
                  <w:vAlign w:val="center"/>
                </w:tcPr>
                <w:p w14:paraId="7A337669">
                  <w:pPr>
                    <w:widowControl/>
                    <w:spacing w:line="300" w:lineRule="exact"/>
                    <w:jc w:val="center"/>
                    <w:textAlignment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1</w:t>
                  </w:r>
                </w:p>
              </w:tc>
              <w:tc>
                <w:tcPr>
                  <w:tcW w:w="785" w:type="dxa"/>
                  <w:tcBorders>
                    <w:tl2br w:val="nil"/>
                    <w:tr2bl w:val="nil"/>
                  </w:tcBorders>
                  <w:noWrap w:val="0"/>
                  <w:tcMar>
                    <w:top w:w="15" w:type="dxa"/>
                    <w:left w:w="15" w:type="dxa"/>
                    <w:bottom w:w="15" w:type="dxa"/>
                    <w:right w:w="15" w:type="dxa"/>
                  </w:tcMar>
                  <w:vAlign w:val="center"/>
                </w:tcPr>
                <w:p w14:paraId="40CCAEE9">
                  <w:pPr>
                    <w:adjustRightInd w:val="0"/>
                    <w:snapToGrid w:val="0"/>
                    <w:jc w:val="center"/>
                    <w:rPr>
                      <w:rFonts w:hint="default" w:ascii="Times New Roman" w:hAnsi="Times New Roman" w:eastAsia="宋体" w:cs="Times New Roman"/>
                      <w:color w:val="auto"/>
                      <w:sz w:val="22"/>
                      <w:szCs w:val="22"/>
                      <w:highlight w:val="none"/>
                      <w:lang w:eastAsia="zh-CN"/>
                    </w:rPr>
                  </w:pPr>
                  <w:r>
                    <w:rPr>
                      <w:rFonts w:hint="default" w:ascii="Times New Roman" w:hAnsi="Times New Roman" w:eastAsia="宋体" w:cs="Times New Roman"/>
                      <w:color w:val="auto"/>
                      <w:sz w:val="22"/>
                      <w:szCs w:val="22"/>
                      <w:vertAlign w:val="baseline"/>
                      <w:lang w:eastAsia="zh-CN"/>
                    </w:rPr>
                    <w:t>铝</w:t>
                  </w:r>
                </w:p>
              </w:tc>
              <w:tc>
                <w:tcPr>
                  <w:tcW w:w="7300" w:type="dxa"/>
                  <w:tcBorders>
                    <w:tl2br w:val="nil"/>
                    <w:tr2bl w:val="nil"/>
                  </w:tcBorders>
                  <w:noWrap w:val="0"/>
                  <w:tcMar>
                    <w:top w:w="15" w:type="dxa"/>
                    <w:left w:w="15" w:type="dxa"/>
                    <w:bottom w:w="15" w:type="dxa"/>
                    <w:right w:w="15" w:type="dxa"/>
                  </w:tcMar>
                  <w:vAlign w:val="top"/>
                </w:tcPr>
                <w:p w14:paraId="05A8197E">
                  <w:pPr>
                    <w:keepNext w:val="0"/>
                    <w:keepLines w:val="0"/>
                    <w:widowControl/>
                    <w:suppressLineNumbers w:val="0"/>
                    <w:jc w:val="center"/>
                    <w:rPr>
                      <w:rFonts w:hint="default" w:ascii="Times New Roman" w:hAnsi="Times New Roman" w:eastAsia="宋体" w:cs="Times New Roman"/>
                      <w:color w:val="auto"/>
                      <w:sz w:val="22"/>
                      <w:szCs w:val="22"/>
                      <w:highlight w:val="none"/>
                      <w:lang w:eastAsia="zh-CN"/>
                    </w:rPr>
                  </w:pPr>
                  <w:r>
                    <w:rPr>
                      <w:rFonts w:hint="default" w:ascii="Times New Roman" w:hAnsi="Times New Roman" w:eastAsia="宋体" w:cs="Times New Roman"/>
                      <w:color w:val="auto"/>
                      <w:kern w:val="0"/>
                      <w:sz w:val="22"/>
                      <w:szCs w:val="22"/>
                      <w:lang w:val="en-US" w:eastAsia="zh-CN" w:bidi="ar"/>
                    </w:rPr>
                    <w:t>银白色轻金属，有延性和展性，易溶于稀硫酸、硝酸、盐酸、氢氧化钠溶液、不溶于水，密度2.70g/cm³，熔点660℃，沸点2327℃。</w:t>
                  </w:r>
                </w:p>
              </w:tc>
            </w:tr>
            <w:tr w14:paraId="3088D0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9" w:hRule="atLeast"/>
                <w:jc w:val="center"/>
              </w:trPr>
              <w:tc>
                <w:tcPr>
                  <w:tcW w:w="641" w:type="dxa"/>
                  <w:tcBorders>
                    <w:tl2br w:val="nil"/>
                    <w:tr2bl w:val="nil"/>
                  </w:tcBorders>
                  <w:noWrap w:val="0"/>
                  <w:tcMar>
                    <w:top w:w="15" w:type="dxa"/>
                    <w:left w:w="15" w:type="dxa"/>
                    <w:bottom w:w="15" w:type="dxa"/>
                    <w:right w:w="15" w:type="dxa"/>
                  </w:tcMar>
                  <w:vAlign w:val="center"/>
                </w:tcPr>
                <w:p w14:paraId="3C6957BE">
                  <w:pPr>
                    <w:widowControl/>
                    <w:spacing w:line="300" w:lineRule="exact"/>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w:t>
                  </w:r>
                </w:p>
              </w:tc>
              <w:tc>
                <w:tcPr>
                  <w:tcW w:w="785" w:type="dxa"/>
                  <w:tcBorders>
                    <w:tl2br w:val="nil"/>
                    <w:tr2bl w:val="nil"/>
                  </w:tcBorders>
                  <w:noWrap w:val="0"/>
                  <w:tcMar>
                    <w:top w:w="15" w:type="dxa"/>
                    <w:left w:w="15" w:type="dxa"/>
                    <w:bottom w:w="15" w:type="dxa"/>
                    <w:right w:w="15" w:type="dxa"/>
                  </w:tcMar>
                  <w:vAlign w:val="center"/>
                </w:tcPr>
                <w:p w14:paraId="4751BAE7">
                  <w:pPr>
                    <w:adjustRightInd w:val="0"/>
                    <w:snapToGrid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vertAlign w:val="baseline"/>
                      <w:lang w:eastAsia="zh-CN"/>
                    </w:rPr>
                    <w:t>硅</w:t>
                  </w:r>
                </w:p>
              </w:tc>
              <w:tc>
                <w:tcPr>
                  <w:tcW w:w="7300" w:type="dxa"/>
                  <w:tcBorders>
                    <w:tl2br w:val="nil"/>
                    <w:tr2bl w:val="nil"/>
                  </w:tcBorders>
                  <w:noWrap w:val="0"/>
                  <w:tcMar>
                    <w:top w:w="15" w:type="dxa"/>
                    <w:left w:w="15" w:type="dxa"/>
                    <w:bottom w:w="15" w:type="dxa"/>
                    <w:right w:w="15" w:type="dxa"/>
                  </w:tcMar>
                  <w:vAlign w:val="top"/>
                </w:tcPr>
                <w:p w14:paraId="454160DE">
                  <w:pPr>
                    <w:keepNext w:val="0"/>
                    <w:keepLines w:val="0"/>
                    <w:widowControl/>
                    <w:suppressLineNumbers w:val="0"/>
                    <w:jc w:val="center"/>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kern w:val="0"/>
                      <w:sz w:val="22"/>
                      <w:szCs w:val="22"/>
                      <w:lang w:val="en-US" w:eastAsia="zh-CN" w:bidi="ar"/>
                    </w:rPr>
                    <w:t>钢灰色金属，硬而有光泽，密度2.4g/cm³，熔点1414℃，沸点2355℃，不溶于水、硝酸和盐酸，溶于氢氟酸和碱液。</w:t>
                  </w:r>
                </w:p>
              </w:tc>
            </w:tr>
            <w:tr w14:paraId="4FAEC5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9" w:hRule="atLeast"/>
                <w:jc w:val="center"/>
              </w:trPr>
              <w:tc>
                <w:tcPr>
                  <w:tcW w:w="641" w:type="dxa"/>
                  <w:tcBorders>
                    <w:tl2br w:val="nil"/>
                    <w:tr2bl w:val="nil"/>
                  </w:tcBorders>
                  <w:noWrap w:val="0"/>
                  <w:tcMar>
                    <w:top w:w="15" w:type="dxa"/>
                    <w:left w:w="15" w:type="dxa"/>
                    <w:bottom w:w="15" w:type="dxa"/>
                    <w:right w:w="15" w:type="dxa"/>
                  </w:tcMar>
                  <w:vAlign w:val="center"/>
                </w:tcPr>
                <w:p w14:paraId="12DF7E1E">
                  <w:pPr>
                    <w:widowControl/>
                    <w:spacing w:line="300" w:lineRule="exact"/>
                    <w:jc w:val="center"/>
                    <w:textAlignment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3</w:t>
                  </w:r>
                </w:p>
              </w:tc>
              <w:tc>
                <w:tcPr>
                  <w:tcW w:w="785" w:type="dxa"/>
                  <w:tcBorders>
                    <w:tl2br w:val="nil"/>
                    <w:tr2bl w:val="nil"/>
                  </w:tcBorders>
                  <w:noWrap w:val="0"/>
                  <w:tcMar>
                    <w:top w:w="15" w:type="dxa"/>
                    <w:left w:w="15" w:type="dxa"/>
                    <w:bottom w:w="15" w:type="dxa"/>
                    <w:right w:w="15" w:type="dxa"/>
                  </w:tcMar>
                  <w:vAlign w:val="center"/>
                </w:tcPr>
                <w:p w14:paraId="2C7B915F">
                  <w:pPr>
                    <w:adjustRightInd w:val="0"/>
                    <w:snapToGrid w:val="0"/>
                    <w:jc w:val="center"/>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vertAlign w:val="baseline"/>
                      <w:lang w:val="en-US" w:eastAsia="zh-CN"/>
                    </w:rPr>
                    <w:t>铁</w:t>
                  </w:r>
                </w:p>
              </w:tc>
              <w:tc>
                <w:tcPr>
                  <w:tcW w:w="7300" w:type="dxa"/>
                  <w:tcBorders>
                    <w:tl2br w:val="nil"/>
                    <w:tr2bl w:val="nil"/>
                  </w:tcBorders>
                  <w:noWrap w:val="0"/>
                  <w:tcMar>
                    <w:top w:w="15" w:type="dxa"/>
                    <w:left w:w="15" w:type="dxa"/>
                    <w:bottom w:w="15" w:type="dxa"/>
                    <w:right w:w="15" w:type="dxa"/>
                  </w:tcMar>
                  <w:vAlign w:val="top"/>
                </w:tcPr>
                <w:p w14:paraId="6F8B9D36">
                  <w:pPr>
                    <w:keepNext w:val="0"/>
                    <w:keepLines w:val="0"/>
                    <w:widowControl/>
                    <w:suppressLineNumbers w:val="0"/>
                    <w:jc w:val="center"/>
                    <w:rPr>
                      <w:rFonts w:hint="default" w:ascii="Times New Roman" w:hAnsi="Times New Roman" w:eastAsia="宋体" w:cs="Times New Roman"/>
                      <w:b w:val="0"/>
                      <w:bCs w:val="0"/>
                      <w:color w:val="auto"/>
                      <w:kern w:val="0"/>
                      <w:sz w:val="22"/>
                      <w:szCs w:val="22"/>
                      <w:lang w:val="en-US" w:eastAsia="zh-CN" w:bidi="ar"/>
                    </w:rPr>
                  </w:pPr>
                  <w:r>
                    <w:rPr>
                      <w:rFonts w:hint="default" w:ascii="Times New Roman" w:hAnsi="Times New Roman" w:eastAsia="宋体" w:cs="Times New Roman"/>
                      <w:b w:val="0"/>
                      <w:bCs w:val="0"/>
                      <w:color w:val="auto"/>
                      <w:kern w:val="0"/>
                      <w:sz w:val="22"/>
                      <w:szCs w:val="22"/>
                      <w:lang w:val="en-US" w:eastAsia="zh-CN" w:bidi="ar"/>
                    </w:rPr>
                    <w:t>银白色有光泽的金属，</w:t>
                  </w:r>
                  <w:r>
                    <w:rPr>
                      <w:rFonts w:hint="default" w:ascii="Times New Roman" w:hAnsi="Times New Roman" w:eastAsia="宋体" w:cs="Times New Roman"/>
                      <w:b w:val="0"/>
                      <w:bCs w:val="0"/>
                      <w:i w:val="0"/>
                      <w:iCs w:val="0"/>
                      <w:caps w:val="0"/>
                      <w:color w:val="auto"/>
                      <w:spacing w:val="0"/>
                      <w:sz w:val="22"/>
                      <w:szCs w:val="22"/>
                      <w:shd w:val="clear" w:color="auto" w:fill="FFFFFF"/>
                    </w:rPr>
                    <w:t>有良好的延展性，</w:t>
                  </w:r>
                  <w:r>
                    <w:rPr>
                      <w:rFonts w:hint="default" w:ascii="Times New Roman" w:hAnsi="Times New Roman" w:eastAsia="宋体" w:cs="Times New Roman"/>
                      <w:b w:val="0"/>
                      <w:bCs w:val="0"/>
                      <w:color w:val="auto"/>
                      <w:kern w:val="0"/>
                      <w:sz w:val="22"/>
                      <w:szCs w:val="22"/>
                      <w:lang w:val="en-US" w:eastAsia="zh-CN" w:bidi="ar"/>
                    </w:rPr>
                    <w:t>密度7.86g/cm</w:t>
                  </w:r>
                  <w:r>
                    <w:rPr>
                      <w:rFonts w:hint="eastAsia" w:ascii="Times New Roman" w:hAnsi="Times New Roman" w:eastAsia="宋体" w:cs="Times New Roman"/>
                      <w:b w:val="0"/>
                      <w:bCs w:val="0"/>
                      <w:color w:val="auto"/>
                      <w:kern w:val="0"/>
                      <w:sz w:val="22"/>
                      <w:szCs w:val="22"/>
                      <w:vertAlign w:val="superscript"/>
                      <w:lang w:val="en-US" w:eastAsia="zh-CN" w:bidi="ar"/>
                    </w:rPr>
                    <w:t>3</w:t>
                  </w:r>
                  <w:r>
                    <w:rPr>
                      <w:rFonts w:hint="default" w:ascii="Times New Roman" w:hAnsi="Times New Roman" w:eastAsia="宋体" w:cs="Times New Roman"/>
                      <w:b w:val="0"/>
                      <w:bCs w:val="0"/>
                      <w:color w:val="auto"/>
                      <w:kern w:val="0"/>
                      <w:sz w:val="22"/>
                      <w:szCs w:val="22"/>
                      <w:lang w:val="en-US" w:eastAsia="zh-CN" w:bidi="ar"/>
                    </w:rPr>
                    <w:t>，熔点1539℃，沸点3000℃。</w:t>
                  </w:r>
                </w:p>
              </w:tc>
            </w:tr>
            <w:tr w14:paraId="1CDAC2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9" w:hRule="atLeast"/>
                <w:jc w:val="center"/>
              </w:trPr>
              <w:tc>
                <w:tcPr>
                  <w:tcW w:w="641" w:type="dxa"/>
                  <w:tcBorders>
                    <w:tl2br w:val="nil"/>
                    <w:tr2bl w:val="nil"/>
                  </w:tcBorders>
                  <w:noWrap w:val="0"/>
                  <w:tcMar>
                    <w:top w:w="15" w:type="dxa"/>
                    <w:left w:w="15" w:type="dxa"/>
                    <w:bottom w:w="15" w:type="dxa"/>
                    <w:right w:w="15" w:type="dxa"/>
                  </w:tcMar>
                  <w:vAlign w:val="center"/>
                </w:tcPr>
                <w:p w14:paraId="3CECD430">
                  <w:pPr>
                    <w:widowControl/>
                    <w:spacing w:line="300" w:lineRule="exact"/>
                    <w:jc w:val="center"/>
                    <w:textAlignment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4</w:t>
                  </w:r>
                </w:p>
              </w:tc>
              <w:tc>
                <w:tcPr>
                  <w:tcW w:w="785" w:type="dxa"/>
                  <w:tcBorders>
                    <w:tl2br w:val="nil"/>
                    <w:tr2bl w:val="nil"/>
                  </w:tcBorders>
                  <w:noWrap w:val="0"/>
                  <w:tcMar>
                    <w:top w:w="15" w:type="dxa"/>
                    <w:left w:w="15" w:type="dxa"/>
                    <w:bottom w:w="15" w:type="dxa"/>
                    <w:right w:w="15" w:type="dxa"/>
                  </w:tcMar>
                  <w:vAlign w:val="center"/>
                </w:tcPr>
                <w:p w14:paraId="4B8A290C">
                  <w:pPr>
                    <w:adjustRightInd w:val="0"/>
                    <w:snapToGrid w:val="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铜</w:t>
                  </w:r>
                </w:p>
              </w:tc>
              <w:tc>
                <w:tcPr>
                  <w:tcW w:w="7300" w:type="dxa"/>
                  <w:tcBorders>
                    <w:tl2br w:val="nil"/>
                    <w:tr2bl w:val="nil"/>
                  </w:tcBorders>
                  <w:noWrap w:val="0"/>
                  <w:tcMar>
                    <w:top w:w="15" w:type="dxa"/>
                    <w:left w:w="15" w:type="dxa"/>
                    <w:bottom w:w="15" w:type="dxa"/>
                    <w:right w:w="15" w:type="dxa"/>
                  </w:tcMar>
                  <w:vAlign w:val="top"/>
                </w:tcPr>
                <w:p w14:paraId="2C40CEE2">
                  <w:pPr>
                    <w:keepNext w:val="0"/>
                    <w:keepLines w:val="0"/>
                    <w:widowControl/>
                    <w:suppressLineNumbers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eastAsia="zh-CN"/>
                    </w:rPr>
                    <w:t>紫红色</w:t>
                  </w:r>
                  <w:r>
                    <w:rPr>
                      <w:rFonts w:hint="eastAsia" w:ascii="Times New Roman" w:hAnsi="Times New Roman" w:eastAsia="宋体" w:cs="Times New Roman"/>
                      <w:color w:val="auto"/>
                      <w:sz w:val="22"/>
                      <w:szCs w:val="22"/>
                      <w:lang w:val="en-US" w:eastAsia="zh-CN"/>
                    </w:rPr>
                    <w:t>金属，密度8.96g/cm³，熔点1539℃，沸点3000℃。</w:t>
                  </w:r>
                </w:p>
              </w:tc>
            </w:tr>
            <w:tr w14:paraId="4E840F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9" w:hRule="atLeast"/>
                <w:jc w:val="center"/>
              </w:trPr>
              <w:tc>
                <w:tcPr>
                  <w:tcW w:w="641" w:type="dxa"/>
                  <w:tcBorders>
                    <w:tl2br w:val="nil"/>
                    <w:tr2bl w:val="nil"/>
                  </w:tcBorders>
                  <w:noWrap w:val="0"/>
                  <w:tcMar>
                    <w:top w:w="15" w:type="dxa"/>
                    <w:left w:w="15" w:type="dxa"/>
                    <w:bottom w:w="15" w:type="dxa"/>
                    <w:right w:w="15" w:type="dxa"/>
                  </w:tcMar>
                  <w:vAlign w:val="center"/>
                </w:tcPr>
                <w:p w14:paraId="2ECB28E5">
                  <w:pPr>
                    <w:widowControl/>
                    <w:spacing w:line="300" w:lineRule="exact"/>
                    <w:jc w:val="center"/>
                    <w:textAlignment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5</w:t>
                  </w:r>
                </w:p>
              </w:tc>
              <w:tc>
                <w:tcPr>
                  <w:tcW w:w="785" w:type="dxa"/>
                  <w:tcBorders>
                    <w:tl2br w:val="nil"/>
                    <w:tr2bl w:val="nil"/>
                  </w:tcBorders>
                  <w:noWrap w:val="0"/>
                  <w:tcMar>
                    <w:top w:w="15" w:type="dxa"/>
                    <w:left w:w="15" w:type="dxa"/>
                    <w:bottom w:w="15" w:type="dxa"/>
                    <w:right w:w="15" w:type="dxa"/>
                  </w:tcMar>
                  <w:vAlign w:val="center"/>
                </w:tcPr>
                <w:p w14:paraId="35D22D50">
                  <w:pPr>
                    <w:adjustRightInd w:val="0"/>
                    <w:snapToGrid w:val="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vertAlign w:val="baseline"/>
                      <w:lang w:eastAsia="zh-CN"/>
                    </w:rPr>
                    <w:t>锰</w:t>
                  </w:r>
                </w:p>
              </w:tc>
              <w:tc>
                <w:tcPr>
                  <w:tcW w:w="7300" w:type="dxa"/>
                  <w:tcBorders>
                    <w:tl2br w:val="nil"/>
                    <w:tr2bl w:val="nil"/>
                  </w:tcBorders>
                  <w:noWrap w:val="0"/>
                  <w:tcMar>
                    <w:top w:w="15" w:type="dxa"/>
                    <w:left w:w="15" w:type="dxa"/>
                    <w:bottom w:w="15" w:type="dxa"/>
                    <w:right w:w="15" w:type="dxa"/>
                  </w:tcMar>
                  <w:vAlign w:val="top"/>
                </w:tcPr>
                <w:p w14:paraId="36BBD418">
                  <w:pPr>
                    <w:keepNext w:val="0"/>
                    <w:keepLines w:val="0"/>
                    <w:widowControl/>
                    <w:suppressLineNumbers w:val="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0"/>
                      <w:sz w:val="22"/>
                      <w:szCs w:val="22"/>
                      <w:lang w:val="en-US" w:eastAsia="zh-CN" w:bidi="ar"/>
                    </w:rPr>
                    <w:t>银白色金属，质坚而脆。密度7.44g/cm³，熔点1244℃，沸点1962℃。</w:t>
                  </w:r>
                </w:p>
              </w:tc>
            </w:tr>
            <w:tr w14:paraId="3A11AE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9" w:hRule="atLeast"/>
                <w:jc w:val="center"/>
              </w:trPr>
              <w:tc>
                <w:tcPr>
                  <w:tcW w:w="641" w:type="dxa"/>
                  <w:tcBorders>
                    <w:tl2br w:val="nil"/>
                    <w:tr2bl w:val="nil"/>
                  </w:tcBorders>
                  <w:noWrap w:val="0"/>
                  <w:tcMar>
                    <w:top w:w="15" w:type="dxa"/>
                    <w:left w:w="15" w:type="dxa"/>
                    <w:bottom w:w="15" w:type="dxa"/>
                    <w:right w:w="15" w:type="dxa"/>
                  </w:tcMar>
                  <w:vAlign w:val="center"/>
                </w:tcPr>
                <w:p w14:paraId="1B1F658C">
                  <w:pPr>
                    <w:widowControl/>
                    <w:spacing w:line="300" w:lineRule="exact"/>
                    <w:jc w:val="center"/>
                    <w:textAlignment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6</w:t>
                  </w:r>
                </w:p>
              </w:tc>
              <w:tc>
                <w:tcPr>
                  <w:tcW w:w="785" w:type="dxa"/>
                  <w:tcBorders>
                    <w:tl2br w:val="nil"/>
                    <w:tr2bl w:val="nil"/>
                  </w:tcBorders>
                  <w:noWrap w:val="0"/>
                  <w:tcMar>
                    <w:top w:w="15" w:type="dxa"/>
                    <w:left w:w="15" w:type="dxa"/>
                    <w:bottom w:w="15" w:type="dxa"/>
                    <w:right w:w="15" w:type="dxa"/>
                  </w:tcMar>
                  <w:vAlign w:val="center"/>
                </w:tcPr>
                <w:p w14:paraId="276B1F4D">
                  <w:pPr>
                    <w:adjustRightInd w:val="0"/>
                    <w:snapToGrid w:val="0"/>
                    <w:jc w:val="center"/>
                    <w:rPr>
                      <w:rFonts w:hint="default" w:ascii="Times New Roman" w:hAnsi="Times New Roman" w:eastAsia="宋体" w:cs="Times New Roman"/>
                      <w:color w:val="auto"/>
                      <w:kern w:val="2"/>
                      <w:sz w:val="22"/>
                      <w:szCs w:val="22"/>
                      <w:vertAlign w:val="baseline"/>
                      <w:lang w:val="en-US" w:eastAsia="zh-CN" w:bidi="ar-SA"/>
                    </w:rPr>
                  </w:pPr>
                  <w:r>
                    <w:rPr>
                      <w:rFonts w:hint="default" w:ascii="Times New Roman" w:hAnsi="Times New Roman" w:eastAsia="宋体" w:cs="Times New Roman"/>
                      <w:color w:val="auto"/>
                      <w:sz w:val="22"/>
                      <w:szCs w:val="22"/>
                      <w:vertAlign w:val="baseline"/>
                      <w:lang w:val="en-US" w:eastAsia="zh-CN"/>
                    </w:rPr>
                    <w:t>镁</w:t>
                  </w:r>
                </w:p>
              </w:tc>
              <w:tc>
                <w:tcPr>
                  <w:tcW w:w="7300" w:type="dxa"/>
                  <w:tcBorders>
                    <w:tl2br w:val="nil"/>
                    <w:tr2bl w:val="nil"/>
                  </w:tcBorders>
                  <w:noWrap w:val="0"/>
                  <w:tcMar>
                    <w:top w:w="15" w:type="dxa"/>
                    <w:left w:w="15" w:type="dxa"/>
                    <w:bottom w:w="15" w:type="dxa"/>
                    <w:right w:w="15" w:type="dxa"/>
                  </w:tcMar>
                  <w:vAlign w:val="top"/>
                </w:tcPr>
                <w:p w14:paraId="3C9ABB91">
                  <w:pPr>
                    <w:keepNext w:val="0"/>
                    <w:keepLines w:val="0"/>
                    <w:widowControl/>
                    <w:suppressLineNumbers w:val="0"/>
                    <w:jc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0"/>
                      <w:sz w:val="22"/>
                      <w:szCs w:val="22"/>
                      <w:lang w:val="en-US" w:eastAsia="zh-CN" w:bidi="ar"/>
                    </w:rPr>
                    <w:t>银白色的轻质</w:t>
                  </w:r>
                  <w:r>
                    <w:rPr>
                      <w:rFonts w:hint="default" w:ascii="Times New Roman" w:hAnsi="Times New Roman" w:eastAsia="宋体" w:cs="Times New Roman"/>
                      <w:color w:val="auto"/>
                      <w:kern w:val="0"/>
                      <w:sz w:val="22"/>
                      <w:szCs w:val="22"/>
                      <w:lang w:val="en-US" w:eastAsia="zh-CN" w:bidi="ar"/>
                    </w:rPr>
                    <w:fldChar w:fldCharType="begin"/>
                  </w:r>
                  <w:r>
                    <w:rPr>
                      <w:rFonts w:hint="default" w:ascii="Times New Roman" w:hAnsi="Times New Roman" w:eastAsia="宋体" w:cs="Times New Roman"/>
                      <w:color w:val="auto"/>
                      <w:kern w:val="0"/>
                      <w:sz w:val="22"/>
                      <w:szCs w:val="22"/>
                      <w:lang w:val="en-US" w:eastAsia="zh-CN" w:bidi="ar"/>
                    </w:rPr>
                    <w:instrText xml:space="preserve"> HYPERLINK "https://baike.baidu.com/item/%E7%A2%B1%E5%9C%9F%E9%87%91%E5%B1%9E/1690271?fromModule=lemma_inlink" \t "https://baike.baidu.com/item/%E9%95%81/_blank" </w:instrText>
                  </w:r>
                  <w:r>
                    <w:rPr>
                      <w:rFonts w:hint="default" w:ascii="Times New Roman" w:hAnsi="Times New Roman" w:eastAsia="宋体" w:cs="Times New Roman"/>
                      <w:color w:val="auto"/>
                      <w:kern w:val="0"/>
                      <w:sz w:val="22"/>
                      <w:szCs w:val="22"/>
                      <w:lang w:val="en-US" w:eastAsia="zh-CN" w:bidi="ar"/>
                    </w:rPr>
                    <w:fldChar w:fldCharType="separate"/>
                  </w:r>
                  <w:r>
                    <w:rPr>
                      <w:rFonts w:hint="default" w:ascii="Times New Roman" w:hAnsi="Times New Roman" w:eastAsia="宋体" w:cs="Times New Roman"/>
                      <w:color w:val="auto"/>
                      <w:kern w:val="0"/>
                      <w:sz w:val="22"/>
                      <w:szCs w:val="22"/>
                      <w:lang w:val="en-US" w:eastAsia="zh-CN" w:bidi="ar"/>
                    </w:rPr>
                    <w:t>碱土金属</w:t>
                  </w:r>
                  <w:r>
                    <w:rPr>
                      <w:rFonts w:hint="default" w:ascii="Times New Roman" w:hAnsi="Times New Roman" w:eastAsia="宋体" w:cs="Times New Roman"/>
                      <w:color w:val="auto"/>
                      <w:kern w:val="0"/>
                      <w:sz w:val="22"/>
                      <w:szCs w:val="22"/>
                      <w:lang w:val="en-US" w:eastAsia="zh-CN" w:bidi="ar"/>
                    </w:rPr>
                    <w:fldChar w:fldCharType="end"/>
                  </w:r>
                  <w:r>
                    <w:rPr>
                      <w:rFonts w:hint="default" w:ascii="Times New Roman" w:hAnsi="Times New Roman" w:eastAsia="宋体" w:cs="Times New Roman"/>
                      <w:color w:val="auto"/>
                      <w:kern w:val="0"/>
                      <w:sz w:val="22"/>
                      <w:szCs w:val="22"/>
                      <w:lang w:val="en-US" w:eastAsia="zh-CN" w:bidi="ar"/>
                    </w:rPr>
                    <w:t>，化学性质活泼，能与</w:t>
                  </w:r>
                  <w:r>
                    <w:rPr>
                      <w:rFonts w:hint="default" w:ascii="Times New Roman" w:hAnsi="Times New Roman" w:eastAsia="宋体" w:cs="Times New Roman"/>
                      <w:color w:val="auto"/>
                      <w:kern w:val="0"/>
                      <w:sz w:val="22"/>
                      <w:szCs w:val="22"/>
                      <w:lang w:val="en-US" w:eastAsia="zh-CN" w:bidi="ar"/>
                    </w:rPr>
                    <w:fldChar w:fldCharType="begin"/>
                  </w:r>
                  <w:r>
                    <w:rPr>
                      <w:rFonts w:hint="default" w:ascii="Times New Roman" w:hAnsi="Times New Roman" w:eastAsia="宋体" w:cs="Times New Roman"/>
                      <w:color w:val="auto"/>
                      <w:kern w:val="0"/>
                      <w:sz w:val="22"/>
                      <w:szCs w:val="22"/>
                      <w:lang w:val="en-US" w:eastAsia="zh-CN" w:bidi="ar"/>
                    </w:rPr>
                    <w:instrText xml:space="preserve"> HYPERLINK "https://baike.baidu.com/item/%E9%85%B8/15981853?fromModule=lemma_inlink" \t "https://baike.baidu.com/item/%E9%95%81/_blank" </w:instrText>
                  </w:r>
                  <w:r>
                    <w:rPr>
                      <w:rFonts w:hint="default" w:ascii="Times New Roman" w:hAnsi="Times New Roman" w:eastAsia="宋体" w:cs="Times New Roman"/>
                      <w:color w:val="auto"/>
                      <w:kern w:val="0"/>
                      <w:sz w:val="22"/>
                      <w:szCs w:val="22"/>
                      <w:lang w:val="en-US" w:eastAsia="zh-CN" w:bidi="ar"/>
                    </w:rPr>
                    <w:fldChar w:fldCharType="separate"/>
                  </w:r>
                  <w:r>
                    <w:rPr>
                      <w:rFonts w:hint="default" w:ascii="Times New Roman" w:hAnsi="Times New Roman" w:eastAsia="宋体" w:cs="Times New Roman"/>
                      <w:color w:val="auto"/>
                      <w:kern w:val="0"/>
                      <w:sz w:val="22"/>
                      <w:szCs w:val="22"/>
                      <w:lang w:val="en-US" w:eastAsia="zh-CN" w:bidi="ar"/>
                    </w:rPr>
                    <w:t>酸</w:t>
                  </w:r>
                  <w:r>
                    <w:rPr>
                      <w:rFonts w:hint="default" w:ascii="Times New Roman" w:hAnsi="Times New Roman" w:eastAsia="宋体" w:cs="Times New Roman"/>
                      <w:color w:val="auto"/>
                      <w:kern w:val="0"/>
                      <w:sz w:val="22"/>
                      <w:szCs w:val="22"/>
                      <w:lang w:val="en-US" w:eastAsia="zh-CN" w:bidi="ar"/>
                    </w:rPr>
                    <w:fldChar w:fldCharType="end"/>
                  </w:r>
                  <w:r>
                    <w:rPr>
                      <w:rFonts w:hint="default" w:ascii="Times New Roman" w:hAnsi="Times New Roman" w:eastAsia="宋体" w:cs="Times New Roman"/>
                      <w:color w:val="auto"/>
                      <w:kern w:val="0"/>
                      <w:sz w:val="22"/>
                      <w:szCs w:val="22"/>
                      <w:lang w:val="en-US" w:eastAsia="zh-CN" w:bidi="ar"/>
                    </w:rPr>
                    <w:t>反应生成</w:t>
                  </w:r>
                  <w:r>
                    <w:rPr>
                      <w:rFonts w:hint="default" w:ascii="Times New Roman" w:hAnsi="Times New Roman" w:eastAsia="宋体" w:cs="Times New Roman"/>
                      <w:color w:val="auto"/>
                      <w:kern w:val="0"/>
                      <w:sz w:val="22"/>
                      <w:szCs w:val="22"/>
                      <w:lang w:val="en-US" w:eastAsia="zh-CN" w:bidi="ar"/>
                    </w:rPr>
                    <w:fldChar w:fldCharType="begin"/>
                  </w:r>
                  <w:r>
                    <w:rPr>
                      <w:rFonts w:hint="default" w:ascii="Times New Roman" w:hAnsi="Times New Roman" w:eastAsia="宋体" w:cs="Times New Roman"/>
                      <w:color w:val="auto"/>
                      <w:kern w:val="0"/>
                      <w:sz w:val="22"/>
                      <w:szCs w:val="22"/>
                      <w:lang w:val="en-US" w:eastAsia="zh-CN" w:bidi="ar"/>
                    </w:rPr>
                    <w:instrText xml:space="preserve"> HYPERLINK "https://baike.baidu.com/item/%E6%B0%A2%E6%B0%94/1760269?fromModule=lemma_inlink" \t "https://baike.baidu.com/item/%E9%95%81/_blank" </w:instrText>
                  </w:r>
                  <w:r>
                    <w:rPr>
                      <w:rFonts w:hint="default" w:ascii="Times New Roman" w:hAnsi="Times New Roman" w:eastAsia="宋体" w:cs="Times New Roman"/>
                      <w:color w:val="auto"/>
                      <w:kern w:val="0"/>
                      <w:sz w:val="22"/>
                      <w:szCs w:val="22"/>
                      <w:lang w:val="en-US" w:eastAsia="zh-CN" w:bidi="ar"/>
                    </w:rPr>
                    <w:fldChar w:fldCharType="separate"/>
                  </w:r>
                  <w:r>
                    <w:rPr>
                      <w:rFonts w:hint="default" w:ascii="Times New Roman" w:hAnsi="Times New Roman" w:eastAsia="宋体" w:cs="Times New Roman"/>
                      <w:color w:val="auto"/>
                      <w:kern w:val="0"/>
                      <w:sz w:val="22"/>
                      <w:szCs w:val="22"/>
                      <w:lang w:val="en-US" w:eastAsia="zh-CN" w:bidi="ar"/>
                    </w:rPr>
                    <w:t>氢气</w:t>
                  </w:r>
                  <w:r>
                    <w:rPr>
                      <w:rFonts w:hint="default" w:ascii="Times New Roman" w:hAnsi="Times New Roman" w:eastAsia="宋体" w:cs="Times New Roman"/>
                      <w:color w:val="auto"/>
                      <w:kern w:val="0"/>
                      <w:sz w:val="22"/>
                      <w:szCs w:val="22"/>
                      <w:lang w:val="en-US" w:eastAsia="zh-CN" w:bidi="ar"/>
                    </w:rPr>
                    <w:fldChar w:fldCharType="end"/>
                  </w:r>
                  <w:r>
                    <w:rPr>
                      <w:rFonts w:hint="default" w:ascii="Times New Roman" w:hAnsi="Times New Roman" w:eastAsia="宋体" w:cs="Times New Roman"/>
                      <w:color w:val="auto"/>
                      <w:kern w:val="0"/>
                      <w:sz w:val="22"/>
                      <w:szCs w:val="22"/>
                      <w:lang w:val="en-US" w:eastAsia="zh-CN" w:bidi="ar"/>
                    </w:rPr>
                    <w:t>，具有一定的</w:t>
                  </w:r>
                  <w:r>
                    <w:rPr>
                      <w:rFonts w:hint="default" w:ascii="Times New Roman" w:hAnsi="Times New Roman" w:eastAsia="宋体" w:cs="Times New Roman"/>
                      <w:color w:val="auto"/>
                      <w:kern w:val="0"/>
                      <w:sz w:val="22"/>
                      <w:szCs w:val="22"/>
                      <w:lang w:val="en-US" w:eastAsia="zh-CN" w:bidi="ar"/>
                    </w:rPr>
                    <w:fldChar w:fldCharType="begin"/>
                  </w:r>
                  <w:r>
                    <w:rPr>
                      <w:rFonts w:hint="default" w:ascii="Times New Roman" w:hAnsi="Times New Roman" w:eastAsia="宋体" w:cs="Times New Roman"/>
                      <w:color w:val="auto"/>
                      <w:kern w:val="0"/>
                      <w:sz w:val="22"/>
                      <w:szCs w:val="22"/>
                      <w:lang w:val="en-US" w:eastAsia="zh-CN" w:bidi="ar"/>
                    </w:rPr>
                    <w:instrText xml:space="preserve"> HYPERLINK "https://baike.baidu.com/item/%E5%BB%B6%E5%B1%95%E6%80%A7/3636540?fromModule=lemma_inlink" \t "https://baike.baidu.com/item/%E9%95%81/_blank" </w:instrText>
                  </w:r>
                  <w:r>
                    <w:rPr>
                      <w:rFonts w:hint="default" w:ascii="Times New Roman" w:hAnsi="Times New Roman" w:eastAsia="宋体" w:cs="Times New Roman"/>
                      <w:color w:val="auto"/>
                      <w:kern w:val="0"/>
                      <w:sz w:val="22"/>
                      <w:szCs w:val="22"/>
                      <w:lang w:val="en-US" w:eastAsia="zh-CN" w:bidi="ar"/>
                    </w:rPr>
                    <w:fldChar w:fldCharType="separate"/>
                  </w:r>
                  <w:r>
                    <w:rPr>
                      <w:rFonts w:hint="default" w:ascii="Times New Roman" w:hAnsi="Times New Roman" w:eastAsia="宋体" w:cs="Times New Roman"/>
                      <w:color w:val="auto"/>
                      <w:kern w:val="0"/>
                      <w:sz w:val="22"/>
                      <w:szCs w:val="22"/>
                      <w:lang w:val="en-US" w:eastAsia="zh-CN" w:bidi="ar"/>
                    </w:rPr>
                    <w:t>延展性</w:t>
                  </w:r>
                  <w:r>
                    <w:rPr>
                      <w:rFonts w:hint="default" w:ascii="Times New Roman" w:hAnsi="Times New Roman" w:eastAsia="宋体" w:cs="Times New Roman"/>
                      <w:color w:val="auto"/>
                      <w:kern w:val="0"/>
                      <w:sz w:val="22"/>
                      <w:szCs w:val="22"/>
                      <w:lang w:val="en-US" w:eastAsia="zh-CN" w:bidi="ar"/>
                    </w:rPr>
                    <w:fldChar w:fldCharType="end"/>
                  </w:r>
                  <w:r>
                    <w:rPr>
                      <w:rFonts w:hint="default" w:ascii="Times New Roman" w:hAnsi="Times New Roman" w:eastAsia="宋体" w:cs="Times New Roman"/>
                      <w:color w:val="auto"/>
                      <w:kern w:val="0"/>
                      <w:sz w:val="22"/>
                      <w:szCs w:val="22"/>
                      <w:lang w:val="en-US" w:eastAsia="zh-CN" w:bidi="ar"/>
                    </w:rPr>
                    <w:t>和热消散性。密度1.74gcm</w:t>
                  </w:r>
                  <w:r>
                    <w:rPr>
                      <w:rFonts w:hint="default" w:ascii="Times New Roman" w:hAnsi="Times New Roman" w:eastAsia="宋体" w:cs="Times New Roman"/>
                      <w:color w:val="auto"/>
                      <w:kern w:val="0"/>
                      <w:sz w:val="22"/>
                      <w:szCs w:val="22"/>
                      <w:vertAlign w:val="superscript"/>
                      <w:lang w:val="en-US" w:eastAsia="zh-CN" w:bidi="ar"/>
                    </w:rPr>
                    <w:t>3</w:t>
                  </w:r>
                  <w:r>
                    <w:rPr>
                      <w:rFonts w:hint="default" w:ascii="Times New Roman" w:hAnsi="Times New Roman" w:eastAsia="宋体" w:cs="Times New Roman"/>
                      <w:color w:val="auto"/>
                      <w:kern w:val="0"/>
                      <w:sz w:val="22"/>
                      <w:szCs w:val="22"/>
                      <w:lang w:val="en-US" w:eastAsia="zh-CN" w:bidi="ar"/>
                    </w:rPr>
                    <w:t>，熔点651℃、沸点1107℃。不溶于水、碱液，溶于酸。</w:t>
                  </w:r>
                </w:p>
              </w:tc>
            </w:tr>
            <w:tr w14:paraId="25E92D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9" w:hRule="atLeast"/>
                <w:jc w:val="center"/>
              </w:trPr>
              <w:tc>
                <w:tcPr>
                  <w:tcW w:w="641" w:type="dxa"/>
                  <w:tcBorders>
                    <w:tl2br w:val="nil"/>
                    <w:tr2bl w:val="nil"/>
                  </w:tcBorders>
                  <w:noWrap w:val="0"/>
                  <w:tcMar>
                    <w:top w:w="15" w:type="dxa"/>
                    <w:left w:w="15" w:type="dxa"/>
                    <w:bottom w:w="15" w:type="dxa"/>
                    <w:right w:w="15" w:type="dxa"/>
                  </w:tcMar>
                  <w:vAlign w:val="center"/>
                </w:tcPr>
                <w:p w14:paraId="27D467AA">
                  <w:pPr>
                    <w:widowControl/>
                    <w:spacing w:line="300" w:lineRule="exact"/>
                    <w:jc w:val="center"/>
                    <w:textAlignment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7</w:t>
                  </w:r>
                </w:p>
              </w:tc>
              <w:tc>
                <w:tcPr>
                  <w:tcW w:w="785" w:type="dxa"/>
                  <w:tcBorders>
                    <w:tl2br w:val="nil"/>
                    <w:tr2bl w:val="nil"/>
                  </w:tcBorders>
                  <w:noWrap w:val="0"/>
                  <w:tcMar>
                    <w:top w:w="15" w:type="dxa"/>
                    <w:left w:w="15" w:type="dxa"/>
                    <w:bottom w:w="15" w:type="dxa"/>
                    <w:right w:w="15" w:type="dxa"/>
                  </w:tcMar>
                  <w:vAlign w:val="center"/>
                </w:tcPr>
                <w:p w14:paraId="4171B91C">
                  <w:pPr>
                    <w:adjustRightInd w:val="0"/>
                    <w:snapToGrid w:val="0"/>
                    <w:jc w:val="center"/>
                    <w:rPr>
                      <w:rFonts w:hint="default" w:ascii="Times New Roman" w:hAnsi="Times New Roman" w:eastAsia="宋体" w:cs="Times New Roman"/>
                      <w:color w:val="auto"/>
                      <w:kern w:val="2"/>
                      <w:sz w:val="22"/>
                      <w:szCs w:val="22"/>
                      <w:vertAlign w:val="baseline"/>
                      <w:lang w:val="en-US" w:eastAsia="zh-CN" w:bidi="ar-SA"/>
                    </w:rPr>
                  </w:pPr>
                  <w:r>
                    <w:rPr>
                      <w:rFonts w:hint="eastAsia" w:ascii="Times New Roman" w:hAnsi="Times New Roman" w:eastAsia="宋体" w:cs="Times New Roman"/>
                      <w:color w:val="auto"/>
                      <w:sz w:val="22"/>
                      <w:szCs w:val="22"/>
                      <w:vertAlign w:val="baseline"/>
                      <w:lang w:val="en-US" w:eastAsia="zh-CN"/>
                    </w:rPr>
                    <w:t>锌</w:t>
                  </w:r>
                </w:p>
              </w:tc>
              <w:tc>
                <w:tcPr>
                  <w:tcW w:w="7300" w:type="dxa"/>
                  <w:tcBorders>
                    <w:tl2br w:val="nil"/>
                    <w:tr2bl w:val="nil"/>
                  </w:tcBorders>
                  <w:noWrap w:val="0"/>
                  <w:tcMar>
                    <w:top w:w="15" w:type="dxa"/>
                    <w:left w:w="15" w:type="dxa"/>
                    <w:bottom w:w="15" w:type="dxa"/>
                    <w:right w:w="15" w:type="dxa"/>
                  </w:tcMar>
                  <w:vAlign w:val="top"/>
                </w:tcPr>
                <w:p w14:paraId="60759A30">
                  <w:pPr>
                    <w:keepNext w:val="0"/>
                    <w:keepLines w:val="0"/>
                    <w:widowControl/>
                    <w:suppressLineNumbers w:val="0"/>
                    <w:jc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color w:val="auto"/>
                      <w:kern w:val="0"/>
                      <w:sz w:val="22"/>
                      <w:szCs w:val="22"/>
                      <w:lang w:val="en-US" w:eastAsia="zh-CN" w:bidi="ar"/>
                    </w:rPr>
                    <w:t>银白色略带淡蓝色金属，密度为7.14g/cm</w:t>
                  </w:r>
                  <w:r>
                    <w:rPr>
                      <w:rFonts w:hint="default" w:ascii="Times New Roman" w:hAnsi="Times New Roman" w:eastAsia="宋体" w:cs="Times New Roman"/>
                      <w:color w:val="auto"/>
                      <w:kern w:val="0"/>
                      <w:sz w:val="22"/>
                      <w:szCs w:val="22"/>
                      <w:vertAlign w:val="superscript"/>
                      <w:lang w:val="en-US" w:eastAsia="zh-CN" w:bidi="ar"/>
                    </w:rPr>
                    <w:t>3</w:t>
                  </w:r>
                  <w:r>
                    <w:rPr>
                      <w:rFonts w:hint="default" w:ascii="Times New Roman" w:hAnsi="Times New Roman" w:eastAsia="宋体" w:cs="Times New Roman"/>
                      <w:color w:val="auto"/>
                      <w:kern w:val="0"/>
                      <w:sz w:val="22"/>
                      <w:szCs w:val="22"/>
                      <w:lang w:val="en-US" w:eastAsia="zh-CN" w:bidi="ar"/>
                    </w:rPr>
                    <w:t>，熔点为419.5℃。在室温下，性较脆；100～150℃时，变软；超过200℃后，又变干。锌的化学性质活泼，在常温下的空气中，表面生成一层薄而致密的碱式碳酸锌膜，可阻止进一步氧化。当温度达到225℃后，锌剧烈氧化。</w:t>
                  </w:r>
                </w:p>
              </w:tc>
            </w:tr>
            <w:tr w14:paraId="572FA3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9" w:hRule="atLeast"/>
                <w:jc w:val="center"/>
              </w:trPr>
              <w:tc>
                <w:tcPr>
                  <w:tcW w:w="641" w:type="dxa"/>
                  <w:tcBorders>
                    <w:tl2br w:val="nil"/>
                    <w:tr2bl w:val="nil"/>
                  </w:tcBorders>
                  <w:noWrap w:val="0"/>
                  <w:tcMar>
                    <w:top w:w="15" w:type="dxa"/>
                    <w:left w:w="15" w:type="dxa"/>
                    <w:bottom w:w="15" w:type="dxa"/>
                    <w:right w:w="15" w:type="dxa"/>
                  </w:tcMar>
                  <w:vAlign w:val="center"/>
                </w:tcPr>
                <w:p w14:paraId="3ADE90EE">
                  <w:pPr>
                    <w:widowControl/>
                    <w:spacing w:line="300" w:lineRule="exact"/>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z w:val="22"/>
                      <w:szCs w:val="22"/>
                      <w:lang w:val="en-US" w:eastAsia="zh-CN"/>
                    </w:rPr>
                    <w:t>8</w:t>
                  </w:r>
                </w:p>
              </w:tc>
              <w:tc>
                <w:tcPr>
                  <w:tcW w:w="785" w:type="dxa"/>
                  <w:tcBorders>
                    <w:tl2br w:val="nil"/>
                    <w:tr2bl w:val="nil"/>
                  </w:tcBorders>
                  <w:noWrap w:val="0"/>
                  <w:tcMar>
                    <w:top w:w="15" w:type="dxa"/>
                    <w:left w:w="15" w:type="dxa"/>
                    <w:bottom w:w="15" w:type="dxa"/>
                    <w:right w:w="15" w:type="dxa"/>
                  </w:tcMar>
                  <w:vAlign w:val="center"/>
                </w:tcPr>
                <w:p w14:paraId="21075196">
                  <w:pPr>
                    <w:adjustRightInd w:val="0"/>
                    <w:snapToGrid w:val="0"/>
                    <w:jc w:val="center"/>
                    <w:rPr>
                      <w:rFonts w:hint="default" w:ascii="Times New Roman" w:hAnsi="Times New Roman" w:eastAsia="宋体" w:cs="Times New Roman"/>
                      <w:color w:val="auto"/>
                      <w:kern w:val="2"/>
                      <w:sz w:val="22"/>
                      <w:szCs w:val="22"/>
                      <w:vertAlign w:val="baseline"/>
                      <w:lang w:val="en-US" w:eastAsia="zh-CN" w:bidi="ar-SA"/>
                    </w:rPr>
                  </w:pPr>
                  <w:r>
                    <w:rPr>
                      <w:rFonts w:hint="eastAsia" w:ascii="Times New Roman" w:hAnsi="Times New Roman" w:eastAsia="宋体" w:cs="Times New Roman"/>
                      <w:color w:val="auto"/>
                      <w:sz w:val="22"/>
                      <w:szCs w:val="22"/>
                      <w:vertAlign w:val="baseline"/>
                      <w:lang w:val="en-US" w:eastAsia="zh-CN"/>
                    </w:rPr>
                    <w:t>锶</w:t>
                  </w:r>
                </w:p>
              </w:tc>
              <w:tc>
                <w:tcPr>
                  <w:tcW w:w="7300" w:type="dxa"/>
                  <w:tcBorders>
                    <w:tl2br w:val="nil"/>
                    <w:tr2bl w:val="nil"/>
                  </w:tcBorders>
                  <w:noWrap w:val="0"/>
                  <w:tcMar>
                    <w:top w:w="15" w:type="dxa"/>
                    <w:left w:w="15" w:type="dxa"/>
                    <w:bottom w:w="15" w:type="dxa"/>
                    <w:right w:w="15" w:type="dxa"/>
                  </w:tcMar>
                  <w:vAlign w:val="top"/>
                </w:tcPr>
                <w:p w14:paraId="7CCB5B08">
                  <w:pPr>
                    <w:keepNext w:val="0"/>
                    <w:keepLines w:val="0"/>
                    <w:widowControl/>
                    <w:suppressLineNumbers w:val="0"/>
                    <w:jc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color w:val="auto"/>
                      <w:kern w:val="0"/>
                      <w:sz w:val="22"/>
                      <w:szCs w:val="22"/>
                      <w:lang w:val="en-US" w:eastAsia="zh-CN" w:bidi="ar"/>
                    </w:rPr>
                    <w:t>银白色的，有光泽的金属，属立方晶系</w:t>
                  </w:r>
                  <w:r>
                    <w:rPr>
                      <w:rFonts w:hint="eastAsia" w:ascii="Times New Roman" w:hAnsi="Times New Roman" w:eastAsia="宋体" w:cs="Times New Roman"/>
                      <w:color w:val="auto"/>
                      <w:kern w:val="0"/>
                      <w:sz w:val="22"/>
                      <w:szCs w:val="22"/>
                      <w:lang w:val="en-US" w:eastAsia="zh-CN" w:bidi="ar"/>
                    </w:rPr>
                    <w:t>。质软，密度2.54g/cm</w:t>
                  </w:r>
                  <w:r>
                    <w:rPr>
                      <w:rFonts w:hint="eastAsia" w:ascii="Times New Roman" w:hAnsi="Times New Roman" w:eastAsia="宋体" w:cs="Times New Roman"/>
                      <w:color w:val="auto"/>
                      <w:kern w:val="0"/>
                      <w:sz w:val="22"/>
                      <w:szCs w:val="22"/>
                      <w:vertAlign w:val="superscript"/>
                      <w:lang w:val="en-US" w:eastAsia="zh-CN" w:bidi="ar"/>
                    </w:rPr>
                    <w:t>3</w:t>
                  </w:r>
                  <w:r>
                    <w:rPr>
                      <w:rFonts w:hint="eastAsia" w:ascii="Times New Roman" w:hAnsi="Times New Roman" w:eastAsia="宋体" w:cs="Times New Roman"/>
                      <w:color w:val="auto"/>
                      <w:kern w:val="0"/>
                      <w:sz w:val="22"/>
                      <w:szCs w:val="22"/>
                      <w:lang w:val="en-US" w:eastAsia="zh-CN" w:bidi="ar"/>
                    </w:rPr>
                    <w:t>，熔点769℃，沸点1384℃。锶的化学性质活泼，加热到熔点（769℃）时可以燃烧生成</w:t>
                  </w:r>
                  <w:r>
                    <w:rPr>
                      <w:rFonts w:hint="eastAsia" w:ascii="Times New Roman" w:hAnsi="Times New Roman" w:eastAsia="宋体" w:cs="Times New Roman"/>
                      <w:color w:val="auto"/>
                      <w:kern w:val="0"/>
                      <w:sz w:val="22"/>
                      <w:szCs w:val="22"/>
                      <w:lang w:val="en-US" w:eastAsia="zh-CN" w:bidi="ar"/>
                    </w:rPr>
                    <w:fldChar w:fldCharType="begin"/>
                  </w:r>
                  <w:r>
                    <w:rPr>
                      <w:rFonts w:hint="eastAsia" w:ascii="Times New Roman" w:hAnsi="Times New Roman" w:eastAsia="宋体" w:cs="Times New Roman"/>
                      <w:color w:val="auto"/>
                      <w:kern w:val="0"/>
                      <w:sz w:val="22"/>
                      <w:szCs w:val="22"/>
                      <w:lang w:val="en-US" w:eastAsia="zh-CN" w:bidi="ar"/>
                    </w:rPr>
                    <w:instrText xml:space="preserve"> HYPERLINK "https://baike.baidu.com/item/%E6%B0%A7%E5%8C%96%E9%94%B6/1849055?fromModule=lemma_inlink" \t "https://baike.baidu.com/item/%E9%94%B6/_blank" </w:instrText>
                  </w:r>
                  <w:r>
                    <w:rPr>
                      <w:rFonts w:hint="eastAsia" w:ascii="Times New Roman" w:hAnsi="Times New Roman" w:eastAsia="宋体" w:cs="Times New Roman"/>
                      <w:color w:val="auto"/>
                      <w:kern w:val="0"/>
                      <w:sz w:val="22"/>
                      <w:szCs w:val="22"/>
                      <w:lang w:val="en-US" w:eastAsia="zh-CN" w:bidi="ar"/>
                    </w:rPr>
                    <w:fldChar w:fldCharType="separate"/>
                  </w:r>
                  <w:r>
                    <w:rPr>
                      <w:rFonts w:hint="eastAsia" w:ascii="Times New Roman" w:hAnsi="Times New Roman" w:eastAsia="宋体" w:cs="Times New Roman"/>
                      <w:color w:val="auto"/>
                      <w:kern w:val="0"/>
                      <w:sz w:val="22"/>
                      <w:szCs w:val="22"/>
                      <w:lang w:val="en-US" w:eastAsia="zh-CN" w:bidi="ar"/>
                    </w:rPr>
                    <w:t>氧化锶</w:t>
                  </w:r>
                  <w:r>
                    <w:rPr>
                      <w:rFonts w:hint="eastAsia" w:ascii="Times New Roman" w:hAnsi="Times New Roman" w:eastAsia="宋体" w:cs="Times New Roman"/>
                      <w:color w:val="auto"/>
                      <w:kern w:val="0"/>
                      <w:sz w:val="22"/>
                      <w:szCs w:val="22"/>
                      <w:lang w:val="en-US" w:eastAsia="zh-CN" w:bidi="ar"/>
                    </w:rPr>
                    <w:fldChar w:fldCharType="end"/>
                  </w:r>
                  <w:r>
                    <w:rPr>
                      <w:rFonts w:hint="eastAsia" w:ascii="Times New Roman" w:hAnsi="Times New Roman" w:eastAsia="宋体" w:cs="Times New Roman"/>
                      <w:color w:val="auto"/>
                      <w:kern w:val="0"/>
                      <w:sz w:val="22"/>
                      <w:szCs w:val="22"/>
                      <w:lang w:val="en-US" w:eastAsia="zh-CN" w:bidi="ar"/>
                    </w:rPr>
                    <w:t>（SrO），在加压条件下跟氧气化合生成</w:t>
                  </w:r>
                  <w:r>
                    <w:rPr>
                      <w:rFonts w:hint="eastAsia" w:ascii="Times New Roman" w:hAnsi="Times New Roman" w:eastAsia="宋体" w:cs="Times New Roman"/>
                      <w:color w:val="auto"/>
                      <w:kern w:val="0"/>
                      <w:sz w:val="22"/>
                      <w:szCs w:val="22"/>
                      <w:lang w:val="en-US" w:eastAsia="zh-CN" w:bidi="ar"/>
                    </w:rPr>
                    <w:fldChar w:fldCharType="begin"/>
                  </w:r>
                  <w:r>
                    <w:rPr>
                      <w:rFonts w:hint="eastAsia" w:ascii="Times New Roman" w:hAnsi="Times New Roman" w:eastAsia="宋体" w:cs="Times New Roman"/>
                      <w:color w:val="auto"/>
                      <w:kern w:val="0"/>
                      <w:sz w:val="22"/>
                      <w:szCs w:val="22"/>
                      <w:lang w:val="en-US" w:eastAsia="zh-CN" w:bidi="ar"/>
                    </w:rPr>
                    <w:instrText xml:space="preserve"> HYPERLINK "https://baike.baidu.com/item/%E8%BF%87%E6%B0%A7%E5%8C%96%E9%94%B6/2232365?fromModule=lemma_inlink" \t "https://baike.baidu.com/item/%E9%94%B6/_blank" </w:instrText>
                  </w:r>
                  <w:r>
                    <w:rPr>
                      <w:rFonts w:hint="eastAsia" w:ascii="Times New Roman" w:hAnsi="Times New Roman" w:eastAsia="宋体" w:cs="Times New Roman"/>
                      <w:color w:val="auto"/>
                      <w:kern w:val="0"/>
                      <w:sz w:val="22"/>
                      <w:szCs w:val="22"/>
                      <w:lang w:val="en-US" w:eastAsia="zh-CN" w:bidi="ar"/>
                    </w:rPr>
                    <w:fldChar w:fldCharType="separate"/>
                  </w:r>
                  <w:r>
                    <w:rPr>
                      <w:rFonts w:hint="eastAsia" w:ascii="Times New Roman" w:hAnsi="Times New Roman" w:eastAsia="宋体" w:cs="Times New Roman"/>
                      <w:color w:val="auto"/>
                      <w:kern w:val="0"/>
                      <w:sz w:val="22"/>
                      <w:szCs w:val="22"/>
                      <w:lang w:val="en-US" w:eastAsia="zh-CN" w:bidi="ar"/>
                    </w:rPr>
                    <w:t>过氧化锶</w:t>
                  </w:r>
                  <w:r>
                    <w:rPr>
                      <w:rFonts w:hint="eastAsia" w:ascii="Times New Roman" w:hAnsi="Times New Roman" w:eastAsia="宋体" w:cs="Times New Roman"/>
                      <w:color w:val="auto"/>
                      <w:kern w:val="0"/>
                      <w:sz w:val="22"/>
                      <w:szCs w:val="22"/>
                      <w:lang w:val="en-US" w:eastAsia="zh-CN" w:bidi="ar"/>
                    </w:rPr>
                    <w:fldChar w:fldCharType="end"/>
                  </w:r>
                  <w:r>
                    <w:rPr>
                      <w:rFonts w:hint="eastAsia" w:ascii="Times New Roman" w:hAnsi="Times New Roman" w:eastAsia="宋体" w:cs="Times New Roman"/>
                      <w:color w:val="auto"/>
                      <w:kern w:val="0"/>
                      <w:sz w:val="22"/>
                      <w:szCs w:val="22"/>
                      <w:lang w:val="en-US" w:eastAsia="zh-CN" w:bidi="ar"/>
                    </w:rPr>
                    <w:t>（SrO</w:t>
                  </w:r>
                  <w:r>
                    <w:rPr>
                      <w:rFonts w:hint="eastAsia" w:ascii="Times New Roman" w:hAnsi="Times New Roman" w:eastAsia="宋体" w:cs="Times New Roman"/>
                      <w:color w:val="auto"/>
                      <w:kern w:val="0"/>
                      <w:sz w:val="22"/>
                      <w:szCs w:val="22"/>
                      <w:vertAlign w:val="subscript"/>
                      <w:lang w:val="en-US" w:eastAsia="zh-CN" w:bidi="ar"/>
                    </w:rPr>
                    <w:t>2</w:t>
                  </w:r>
                  <w:r>
                    <w:rPr>
                      <w:rFonts w:hint="eastAsia" w:ascii="Times New Roman" w:hAnsi="Times New Roman" w:eastAsia="宋体" w:cs="Times New Roman"/>
                      <w:color w:val="auto"/>
                      <w:kern w:val="0"/>
                      <w:sz w:val="22"/>
                      <w:szCs w:val="22"/>
                      <w:lang w:val="en-US" w:eastAsia="zh-CN" w:bidi="ar"/>
                    </w:rPr>
                    <w:t>）。</w:t>
                  </w:r>
                </w:p>
              </w:tc>
            </w:tr>
            <w:tr w14:paraId="4FE406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9" w:hRule="atLeast"/>
                <w:jc w:val="center"/>
              </w:trPr>
              <w:tc>
                <w:tcPr>
                  <w:tcW w:w="641" w:type="dxa"/>
                  <w:tcBorders>
                    <w:tl2br w:val="nil"/>
                    <w:tr2bl w:val="nil"/>
                  </w:tcBorders>
                  <w:noWrap w:val="0"/>
                  <w:tcMar>
                    <w:top w:w="15" w:type="dxa"/>
                    <w:left w:w="15" w:type="dxa"/>
                    <w:bottom w:w="15" w:type="dxa"/>
                    <w:right w:w="15" w:type="dxa"/>
                  </w:tcMar>
                  <w:vAlign w:val="center"/>
                </w:tcPr>
                <w:p w14:paraId="0FBC1AF8">
                  <w:pPr>
                    <w:widowControl/>
                    <w:spacing w:line="300" w:lineRule="exact"/>
                    <w:jc w:val="center"/>
                    <w:textAlignment w:val="center"/>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z w:val="22"/>
                      <w:szCs w:val="22"/>
                      <w:lang w:val="en-US" w:eastAsia="zh-CN"/>
                    </w:rPr>
                    <w:t>9</w:t>
                  </w:r>
                </w:p>
              </w:tc>
              <w:tc>
                <w:tcPr>
                  <w:tcW w:w="785" w:type="dxa"/>
                  <w:tcBorders>
                    <w:tl2br w:val="nil"/>
                    <w:tr2bl w:val="nil"/>
                  </w:tcBorders>
                  <w:noWrap w:val="0"/>
                  <w:tcMar>
                    <w:top w:w="15" w:type="dxa"/>
                    <w:left w:w="15" w:type="dxa"/>
                    <w:bottom w:w="15" w:type="dxa"/>
                    <w:right w:w="15" w:type="dxa"/>
                  </w:tcMar>
                  <w:vAlign w:val="center"/>
                </w:tcPr>
                <w:p w14:paraId="26A328CF">
                  <w:pPr>
                    <w:adjustRightInd w:val="0"/>
                    <w:snapToGrid w:val="0"/>
                    <w:jc w:val="center"/>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氩</w:t>
                  </w:r>
                </w:p>
              </w:tc>
              <w:tc>
                <w:tcPr>
                  <w:tcW w:w="7300" w:type="dxa"/>
                  <w:tcBorders>
                    <w:tl2br w:val="nil"/>
                    <w:tr2bl w:val="nil"/>
                  </w:tcBorders>
                  <w:noWrap w:val="0"/>
                  <w:tcMar>
                    <w:top w:w="15" w:type="dxa"/>
                    <w:left w:w="15" w:type="dxa"/>
                    <w:bottom w:w="15" w:type="dxa"/>
                    <w:right w:w="15" w:type="dxa"/>
                  </w:tcMar>
                  <w:vAlign w:val="top"/>
                </w:tcPr>
                <w:p w14:paraId="632ABD70">
                  <w:pPr>
                    <w:keepNext w:val="0"/>
                    <w:keepLines w:val="0"/>
                    <w:widowControl/>
                    <w:suppressLineNumbers w:val="0"/>
                    <w:jc w:val="center"/>
                    <w:rPr>
                      <w:rFonts w:hint="default" w:ascii="Times New Roman" w:hAnsi="Times New Roman" w:eastAsia="宋体" w:cs="Times New Roman"/>
                      <w:b w:val="0"/>
                      <w:bCs w:val="0"/>
                      <w:color w:val="auto"/>
                      <w:kern w:val="0"/>
                      <w:sz w:val="22"/>
                      <w:szCs w:val="22"/>
                      <w:lang w:val="en-US" w:eastAsia="zh-CN" w:bidi="ar"/>
                    </w:rPr>
                  </w:pPr>
                  <w:r>
                    <w:rPr>
                      <w:rFonts w:hint="default" w:ascii="Times New Roman" w:hAnsi="Times New Roman" w:eastAsia="宋体" w:cs="Times New Roman"/>
                      <w:b w:val="0"/>
                      <w:bCs w:val="0"/>
                      <w:color w:val="auto"/>
                      <w:kern w:val="0"/>
                      <w:sz w:val="22"/>
                      <w:szCs w:val="22"/>
                      <w:lang w:val="en-US" w:eastAsia="zh-CN" w:bidi="ar"/>
                    </w:rPr>
                    <w:t>无色无臭气体。低温液化成无色液体。</w:t>
                  </w:r>
                  <w:r>
                    <w:rPr>
                      <w:rFonts w:hint="default" w:ascii="Times New Roman" w:hAnsi="Times New Roman" w:eastAsia="宋体" w:cs="Times New Roman"/>
                      <w:b w:val="0"/>
                      <w:bCs w:val="0"/>
                      <w:color w:val="auto"/>
                      <w:sz w:val="22"/>
                      <w:szCs w:val="22"/>
                    </w:rPr>
                    <w:t>熔点</w:t>
                  </w:r>
                  <w:r>
                    <w:rPr>
                      <w:rFonts w:hint="default" w:ascii="Times New Roman" w:hAnsi="Times New Roman" w:eastAsia="宋体" w:cs="Times New Roman"/>
                      <w:b w:val="0"/>
                      <w:bCs w:val="0"/>
                      <w:color w:val="auto"/>
                      <w:kern w:val="0"/>
                      <w:sz w:val="22"/>
                      <w:szCs w:val="22"/>
                    </w:rPr>
                    <w:t>-189.2</w:t>
                  </w:r>
                  <w:r>
                    <w:rPr>
                      <w:rFonts w:hint="default" w:ascii="Times New Roman" w:hAnsi="Times New Roman" w:eastAsia="宋体" w:cs="Times New Roman"/>
                      <w:b w:val="0"/>
                      <w:bCs w:val="0"/>
                      <w:color w:val="auto"/>
                      <w:sz w:val="22"/>
                      <w:szCs w:val="22"/>
                    </w:rPr>
                    <w:t>℃</w:t>
                  </w:r>
                  <w:r>
                    <w:rPr>
                      <w:rFonts w:hint="default" w:ascii="Times New Roman" w:hAnsi="Times New Roman" w:eastAsia="宋体" w:cs="Times New Roman"/>
                      <w:b w:val="0"/>
                      <w:bCs w:val="0"/>
                      <w:color w:val="auto"/>
                      <w:sz w:val="22"/>
                      <w:szCs w:val="22"/>
                      <w:lang w:eastAsia="zh-CN"/>
                    </w:rPr>
                    <w:t>，</w:t>
                  </w:r>
                  <w:r>
                    <w:rPr>
                      <w:rFonts w:hint="default" w:ascii="Times New Roman" w:hAnsi="Times New Roman" w:eastAsia="宋体" w:cs="Times New Roman"/>
                      <w:b w:val="0"/>
                      <w:bCs w:val="0"/>
                      <w:color w:val="auto"/>
                      <w:sz w:val="22"/>
                      <w:szCs w:val="22"/>
                    </w:rPr>
                    <w:t>沸点</w:t>
                  </w:r>
                  <w:r>
                    <w:rPr>
                      <w:rFonts w:hint="default" w:ascii="Times New Roman" w:hAnsi="Times New Roman" w:eastAsia="宋体" w:cs="Times New Roman"/>
                      <w:b w:val="0"/>
                      <w:bCs w:val="0"/>
                      <w:color w:val="auto"/>
                      <w:kern w:val="0"/>
                      <w:sz w:val="22"/>
                      <w:szCs w:val="22"/>
                    </w:rPr>
                    <w:t>-185.7</w:t>
                  </w:r>
                  <w:r>
                    <w:rPr>
                      <w:rFonts w:hint="default" w:ascii="Times New Roman" w:hAnsi="Times New Roman" w:eastAsia="宋体" w:cs="Times New Roman"/>
                      <w:b w:val="0"/>
                      <w:bCs w:val="0"/>
                      <w:color w:val="auto"/>
                      <w:sz w:val="22"/>
                      <w:szCs w:val="22"/>
                    </w:rPr>
                    <w:t>℃</w:t>
                  </w:r>
                  <w:r>
                    <w:rPr>
                      <w:rFonts w:hint="default" w:ascii="Times New Roman" w:hAnsi="Times New Roman" w:eastAsia="宋体" w:cs="Times New Roman"/>
                      <w:b w:val="0"/>
                      <w:bCs w:val="0"/>
                      <w:color w:val="auto"/>
                      <w:sz w:val="22"/>
                      <w:szCs w:val="22"/>
                      <w:lang w:eastAsia="zh-CN"/>
                    </w:rPr>
                    <w:t>，</w:t>
                  </w:r>
                  <w:r>
                    <w:rPr>
                      <w:rFonts w:hint="default" w:ascii="Times New Roman" w:hAnsi="Times New Roman" w:eastAsia="宋体" w:cs="Times New Roman"/>
                      <w:b w:val="0"/>
                      <w:bCs w:val="0"/>
                      <w:color w:val="auto"/>
                      <w:sz w:val="22"/>
                      <w:szCs w:val="22"/>
                    </w:rPr>
                    <w:t>相对密度</w:t>
                  </w:r>
                  <w:r>
                    <w:rPr>
                      <w:rFonts w:hint="eastAsia" w:ascii="Times New Roman" w:hAnsi="Times New Roman" w:eastAsia="宋体" w:cs="Times New Roman"/>
                      <w:b w:val="0"/>
                      <w:bCs w:val="0"/>
                      <w:color w:val="auto"/>
                      <w:sz w:val="22"/>
                      <w:szCs w:val="22"/>
                      <w:lang w:eastAsia="zh-CN"/>
                    </w:rPr>
                    <w:t>（</w:t>
                  </w:r>
                  <w:r>
                    <w:rPr>
                      <w:rFonts w:hint="default" w:ascii="Times New Roman" w:hAnsi="Times New Roman" w:eastAsia="宋体" w:cs="Times New Roman"/>
                      <w:b w:val="0"/>
                      <w:bCs w:val="0"/>
                      <w:color w:val="auto"/>
                      <w:sz w:val="22"/>
                      <w:szCs w:val="22"/>
                    </w:rPr>
                    <w:t>水=1</w:t>
                  </w:r>
                  <w:r>
                    <w:rPr>
                      <w:rFonts w:hint="eastAsia" w:ascii="Times New Roman" w:hAnsi="Times New Roman" w:eastAsia="宋体" w:cs="Times New Roman"/>
                      <w:b w:val="0"/>
                      <w:bCs w:val="0"/>
                      <w:color w:val="auto"/>
                      <w:sz w:val="22"/>
                      <w:szCs w:val="22"/>
                      <w:lang w:eastAsia="zh-CN"/>
                    </w:rPr>
                    <w:t>）</w:t>
                  </w:r>
                  <w:r>
                    <w:rPr>
                      <w:rFonts w:hint="default" w:ascii="Times New Roman" w:hAnsi="Times New Roman" w:eastAsia="宋体" w:cs="Times New Roman"/>
                      <w:b w:val="0"/>
                      <w:bCs w:val="0"/>
                      <w:color w:val="auto"/>
                      <w:kern w:val="0"/>
                      <w:sz w:val="22"/>
                      <w:szCs w:val="22"/>
                    </w:rPr>
                    <w:t>1.40</w:t>
                  </w:r>
                  <w:r>
                    <w:rPr>
                      <w:rFonts w:hint="default" w:ascii="Times New Roman" w:hAnsi="Times New Roman" w:eastAsia="宋体" w:cs="Times New Roman"/>
                      <w:b w:val="0"/>
                      <w:bCs w:val="0"/>
                      <w:color w:val="auto"/>
                      <w:kern w:val="0"/>
                      <w:sz w:val="22"/>
                      <w:szCs w:val="22"/>
                      <w:lang w:eastAsia="zh-CN"/>
                    </w:rPr>
                    <w:t>，</w:t>
                  </w:r>
                  <w:r>
                    <w:rPr>
                      <w:rFonts w:hint="default" w:ascii="Times New Roman" w:hAnsi="Times New Roman" w:eastAsia="宋体" w:cs="Times New Roman"/>
                      <w:b w:val="0"/>
                      <w:bCs w:val="0"/>
                      <w:color w:val="auto"/>
                      <w:kern w:val="0"/>
                      <w:sz w:val="22"/>
                      <w:szCs w:val="22"/>
                    </w:rPr>
                    <w:t>微溶于水和乙醇</w:t>
                  </w:r>
                  <w:r>
                    <w:rPr>
                      <w:rFonts w:hint="default" w:ascii="Times New Roman" w:hAnsi="Times New Roman" w:eastAsia="宋体" w:cs="Times New Roman"/>
                      <w:b w:val="0"/>
                      <w:bCs w:val="0"/>
                      <w:color w:val="auto"/>
                      <w:kern w:val="0"/>
                      <w:sz w:val="22"/>
                      <w:szCs w:val="22"/>
                      <w:lang w:eastAsia="zh-CN"/>
                    </w:rPr>
                    <w:t>。</w:t>
                  </w:r>
                </w:p>
              </w:tc>
            </w:tr>
          </w:tbl>
          <w:p w14:paraId="569F26CA">
            <w:pPr>
              <w:adjustRightInd w:val="0"/>
              <w:snapToGrid w:val="0"/>
              <w:spacing w:line="460" w:lineRule="exact"/>
              <w:ind w:firstLine="522" w:firstLineChars="200"/>
              <w:rPr>
                <w:rFonts w:ascii="Times New Roman" w:hAnsi="Times New Roman" w:eastAsia="宋体" w:cs="Times New Roman"/>
                <w:b/>
                <w:color w:val="auto"/>
                <w:sz w:val="26"/>
                <w:szCs w:val="26"/>
              </w:rPr>
            </w:pPr>
          </w:p>
          <w:p w14:paraId="54D4577E">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ascii="Times New Roman" w:hAnsi="Times New Roman" w:eastAsia="宋体" w:cs="Times New Roman"/>
                <w:b/>
                <w:color w:val="auto"/>
                <w:sz w:val="26"/>
                <w:szCs w:val="26"/>
              </w:rPr>
            </w:pPr>
            <w:r>
              <w:rPr>
                <w:rFonts w:ascii="Times New Roman" w:hAnsi="Times New Roman" w:eastAsia="宋体" w:cs="Times New Roman"/>
                <w:b/>
                <w:color w:val="auto"/>
                <w:sz w:val="26"/>
                <w:szCs w:val="26"/>
              </w:rPr>
              <w:t>2.</w:t>
            </w:r>
            <w:r>
              <w:rPr>
                <w:rFonts w:hint="eastAsia" w:ascii="Times New Roman" w:hAnsi="Times New Roman" w:eastAsia="宋体" w:cs="Times New Roman"/>
                <w:b/>
                <w:color w:val="auto"/>
                <w:sz w:val="26"/>
                <w:szCs w:val="26"/>
                <w:lang w:val="en-US" w:eastAsia="zh-CN"/>
              </w:rPr>
              <w:t>7 物料</w:t>
            </w:r>
            <w:r>
              <w:rPr>
                <w:rFonts w:ascii="Times New Roman" w:hAnsi="Times New Roman" w:eastAsia="宋体" w:cs="Times New Roman"/>
                <w:b/>
                <w:color w:val="auto"/>
                <w:sz w:val="26"/>
                <w:szCs w:val="26"/>
              </w:rPr>
              <w:t>平衡</w:t>
            </w:r>
          </w:p>
          <w:p w14:paraId="078FA54D">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textAlignment w:val="auto"/>
              <w:rPr>
                <w:rFonts w:hint="default" w:ascii="Times New Roman" w:hAnsi="Times New Roman" w:eastAsia="宋体" w:cs="Times New Roman"/>
                <w:b/>
                <w:bCs/>
                <w:color w:val="auto"/>
                <w:sz w:val="26"/>
                <w:szCs w:val="26"/>
                <w:highlight w:val="none"/>
                <w:lang w:val="en-US" w:eastAsia="zh-CN"/>
              </w:rPr>
            </w:pPr>
            <w:r>
              <w:rPr>
                <w:rFonts w:hint="eastAsia" w:ascii="Times New Roman" w:hAnsi="Times New Roman" w:eastAsia="宋体" w:cs="Times New Roman"/>
                <w:b/>
                <w:bCs/>
                <w:color w:val="auto"/>
                <w:sz w:val="26"/>
                <w:szCs w:val="26"/>
                <w:highlight w:val="none"/>
                <w:lang w:val="en-US" w:eastAsia="zh-CN"/>
              </w:rPr>
              <w:t>2.7.1 水平衡</w:t>
            </w:r>
          </w:p>
          <w:p w14:paraId="2A8FD408">
            <w:pPr>
              <w:adjustRightInd w:val="0"/>
              <w:snapToGrid w:val="0"/>
              <w:spacing w:line="460" w:lineRule="exact"/>
              <w:ind w:firstLine="520" w:firstLineChars="200"/>
              <w:rPr>
                <w:rFonts w:hint="eastAsia"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本项目不新增劳动定员，主要有切削液用水及冷却循环用水等。</w:t>
            </w:r>
          </w:p>
          <w:p w14:paraId="62E042C6">
            <w:pPr>
              <w:adjustRightInd w:val="0"/>
              <w:snapToGrid w:val="0"/>
              <w:spacing w:line="460" w:lineRule="exact"/>
              <w:ind w:firstLine="520" w:firstLineChars="200"/>
              <w:rPr>
                <w:rFonts w:hint="eastAsia"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①循环冷却系统补充水：根据业主提供资料，循环冷却系统补充水量主要为蒸发水量及排水量。项目设置有1座250m</w:t>
            </w:r>
            <w:r>
              <w:rPr>
                <w:rFonts w:hint="eastAsia" w:ascii="Times New Roman" w:hAnsi="Times New Roman" w:eastAsia="宋体" w:cs="Times New Roman"/>
                <w:color w:val="auto"/>
                <w:sz w:val="26"/>
                <w:szCs w:val="26"/>
                <w:highlight w:val="none"/>
                <w:vertAlign w:val="superscript"/>
                <w:lang w:val="en-US" w:eastAsia="zh-CN"/>
              </w:rPr>
              <w:t>3</w:t>
            </w:r>
            <w:r>
              <w:rPr>
                <w:rFonts w:hint="eastAsia" w:ascii="Times New Roman" w:hAnsi="Times New Roman" w:eastAsia="宋体" w:cs="Times New Roman"/>
                <w:color w:val="auto"/>
                <w:sz w:val="26"/>
                <w:szCs w:val="26"/>
                <w:highlight w:val="none"/>
                <w:lang w:val="en-US" w:eastAsia="zh-CN"/>
              </w:rPr>
              <w:t>/h的冷却塔和1座450m</w:t>
            </w:r>
            <w:r>
              <w:rPr>
                <w:rFonts w:hint="eastAsia" w:ascii="Times New Roman" w:hAnsi="Times New Roman" w:eastAsia="宋体" w:cs="Times New Roman"/>
                <w:color w:val="auto"/>
                <w:sz w:val="26"/>
                <w:szCs w:val="26"/>
                <w:highlight w:val="none"/>
                <w:vertAlign w:val="superscript"/>
                <w:lang w:val="en-US" w:eastAsia="zh-CN"/>
              </w:rPr>
              <w:t>3</w:t>
            </w:r>
            <w:r>
              <w:rPr>
                <w:rFonts w:hint="eastAsia" w:ascii="Times New Roman" w:hAnsi="Times New Roman" w:eastAsia="宋体" w:cs="Times New Roman"/>
                <w:color w:val="auto"/>
                <w:sz w:val="26"/>
                <w:szCs w:val="26"/>
                <w:highlight w:val="none"/>
                <w:lang w:val="en-US" w:eastAsia="zh-CN"/>
              </w:rPr>
              <w:t>/h的冷却塔，冷却塔蒸发水量约为日循环水量的0.5%，则蒸发水量为84m</w:t>
            </w:r>
            <w:r>
              <w:rPr>
                <w:rFonts w:hint="eastAsia" w:ascii="Times New Roman" w:hAnsi="Times New Roman" w:eastAsia="宋体" w:cs="Times New Roman"/>
                <w:color w:val="auto"/>
                <w:sz w:val="26"/>
                <w:szCs w:val="26"/>
                <w:highlight w:val="none"/>
                <w:vertAlign w:val="superscript"/>
                <w:lang w:val="en-US" w:eastAsia="zh-CN"/>
              </w:rPr>
              <w:t>3</w:t>
            </w:r>
            <w:r>
              <w:rPr>
                <w:rFonts w:hint="eastAsia" w:ascii="Times New Roman" w:hAnsi="Times New Roman" w:eastAsia="宋体" w:cs="Times New Roman"/>
                <w:color w:val="auto"/>
                <w:sz w:val="26"/>
                <w:szCs w:val="26"/>
                <w:highlight w:val="none"/>
                <w:vertAlign w:val="baseline"/>
                <w:lang w:val="en-US" w:eastAsia="zh-CN"/>
              </w:rPr>
              <w:t>/d</w:t>
            </w:r>
            <w:r>
              <w:rPr>
                <w:rFonts w:hint="eastAsia" w:ascii="Times New Roman" w:hAnsi="Times New Roman" w:eastAsia="宋体" w:cs="Times New Roman"/>
                <w:color w:val="auto"/>
                <w:sz w:val="26"/>
                <w:szCs w:val="26"/>
                <w:highlight w:val="none"/>
                <w:lang w:val="en-US" w:eastAsia="zh-CN"/>
              </w:rPr>
              <w:t>。根据业主提供的资料，循环冷却水池一年清洁一次，每次将产生约1m</w:t>
            </w:r>
            <w:r>
              <w:rPr>
                <w:rFonts w:hint="eastAsia" w:ascii="Times New Roman" w:hAnsi="Times New Roman" w:eastAsia="宋体" w:cs="Times New Roman"/>
                <w:color w:val="auto"/>
                <w:sz w:val="26"/>
                <w:szCs w:val="26"/>
                <w:highlight w:val="none"/>
                <w:vertAlign w:val="superscript"/>
                <w:lang w:val="en-US" w:eastAsia="zh-CN"/>
              </w:rPr>
              <w:t>3</w:t>
            </w:r>
            <w:r>
              <w:rPr>
                <w:rFonts w:hint="eastAsia" w:ascii="Times New Roman" w:hAnsi="Times New Roman" w:eastAsia="宋体" w:cs="Times New Roman"/>
                <w:color w:val="auto"/>
                <w:sz w:val="26"/>
                <w:szCs w:val="26"/>
                <w:highlight w:val="none"/>
                <w:lang w:val="en-US" w:eastAsia="zh-CN"/>
              </w:rPr>
              <w:t xml:space="preserve">的含SS的废水，进入雨水管网。 </w:t>
            </w:r>
          </w:p>
          <w:p w14:paraId="2079CA6B">
            <w:pPr>
              <w:adjustRightInd w:val="0"/>
              <w:snapToGrid w:val="0"/>
              <w:spacing w:line="460" w:lineRule="exact"/>
              <w:ind w:firstLine="520" w:firstLineChars="200"/>
              <w:rPr>
                <w:rFonts w:hint="eastAsia"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szCs w:val="26"/>
                <w:highlight w:val="none"/>
                <w:lang w:val="en-US" w:eastAsia="zh-CN"/>
              </w:rPr>
              <w:fldChar w:fldCharType="begin"/>
            </w:r>
            <w:r>
              <w:rPr>
                <w:rFonts w:hint="default" w:ascii="Times New Roman" w:hAnsi="Times New Roman" w:eastAsia="宋体" w:cs="Times New Roman"/>
                <w:color w:val="auto"/>
                <w:sz w:val="26"/>
                <w:szCs w:val="26"/>
                <w:highlight w:val="none"/>
                <w:lang w:val="en-US" w:eastAsia="zh-CN"/>
              </w:rPr>
              <w:instrText xml:space="preserve"> = 2 \* GB3 \* MERGEFORMAT </w:instrText>
            </w:r>
            <w:r>
              <w:rPr>
                <w:rFonts w:hint="default" w:ascii="Times New Roman" w:hAnsi="Times New Roman" w:eastAsia="宋体" w:cs="Times New Roman"/>
                <w:color w:val="auto"/>
                <w:sz w:val="26"/>
                <w:szCs w:val="26"/>
                <w:highlight w:val="none"/>
                <w:lang w:val="en-US" w:eastAsia="zh-CN"/>
              </w:rPr>
              <w:fldChar w:fldCharType="separate"/>
            </w:r>
            <w:r>
              <w:rPr>
                <w:rFonts w:hint="default" w:ascii="Times New Roman" w:hAnsi="Times New Roman" w:eastAsia="宋体" w:cs="Times New Roman"/>
                <w:color w:val="auto"/>
                <w:sz w:val="26"/>
                <w:szCs w:val="26"/>
              </w:rPr>
              <w:t>②</w:t>
            </w:r>
            <w:r>
              <w:rPr>
                <w:rFonts w:hint="default" w:ascii="Times New Roman" w:hAnsi="Times New Roman" w:eastAsia="宋体" w:cs="Times New Roman"/>
                <w:color w:val="auto"/>
                <w:sz w:val="26"/>
                <w:szCs w:val="26"/>
                <w:highlight w:val="none"/>
                <w:lang w:val="en-US" w:eastAsia="zh-CN"/>
              </w:rPr>
              <w:fldChar w:fldCharType="end"/>
            </w:r>
            <w:r>
              <w:rPr>
                <w:rFonts w:hint="default" w:ascii="Times New Roman" w:hAnsi="Times New Roman" w:eastAsia="宋体" w:cs="Times New Roman"/>
                <w:color w:val="auto"/>
                <w:sz w:val="26"/>
                <w:szCs w:val="26"/>
                <w:highlight w:val="none"/>
                <w:lang w:val="en-US" w:eastAsia="zh-CN"/>
              </w:rPr>
              <w:t>切削液用水</w:t>
            </w:r>
            <w:r>
              <w:rPr>
                <w:rFonts w:hint="eastAsia" w:ascii="Times New Roman" w:hAnsi="Times New Roman" w:eastAsia="宋体" w:cs="Times New Roman"/>
                <w:color w:val="auto"/>
                <w:sz w:val="26"/>
                <w:szCs w:val="26"/>
                <w:highlight w:val="none"/>
                <w:lang w:val="en-US" w:eastAsia="zh-CN"/>
              </w:rPr>
              <w:t>：在对铝棒锯切过程中需要使用切削液，切削液与水的比例为1：9，本项目切削液使用量为250kg/a，则用水量折算约为2.25m</w:t>
            </w:r>
            <w:r>
              <w:rPr>
                <w:rFonts w:hint="eastAsia" w:ascii="Times New Roman" w:hAnsi="Times New Roman" w:eastAsia="宋体" w:cs="Times New Roman"/>
                <w:color w:val="auto"/>
                <w:sz w:val="26"/>
                <w:szCs w:val="26"/>
                <w:highlight w:val="none"/>
                <w:vertAlign w:val="superscript"/>
                <w:lang w:val="en-US" w:eastAsia="zh-CN"/>
              </w:rPr>
              <w:t>3</w:t>
            </w:r>
            <w:r>
              <w:rPr>
                <w:rFonts w:hint="eastAsia" w:ascii="Times New Roman" w:hAnsi="Times New Roman" w:eastAsia="宋体" w:cs="Times New Roman"/>
                <w:color w:val="auto"/>
                <w:sz w:val="26"/>
                <w:szCs w:val="26"/>
                <w:highlight w:val="none"/>
                <w:vertAlign w:val="baseline"/>
                <w:lang w:val="en-US" w:eastAsia="zh-CN"/>
              </w:rPr>
              <w:t>/a（0.0082m</w:t>
            </w:r>
            <w:r>
              <w:rPr>
                <w:rFonts w:hint="eastAsia" w:ascii="Times New Roman" w:hAnsi="Times New Roman" w:eastAsia="宋体" w:cs="Times New Roman"/>
                <w:color w:val="auto"/>
                <w:sz w:val="26"/>
                <w:szCs w:val="26"/>
                <w:highlight w:val="none"/>
                <w:vertAlign w:val="superscript"/>
                <w:lang w:val="en-US" w:eastAsia="zh-CN"/>
              </w:rPr>
              <w:t>3</w:t>
            </w:r>
            <w:r>
              <w:rPr>
                <w:rFonts w:hint="eastAsia" w:ascii="Times New Roman" w:hAnsi="Times New Roman" w:eastAsia="宋体" w:cs="Times New Roman"/>
                <w:color w:val="auto"/>
                <w:sz w:val="26"/>
                <w:szCs w:val="26"/>
                <w:highlight w:val="none"/>
                <w:vertAlign w:val="baseline"/>
                <w:lang w:val="en-US" w:eastAsia="zh-CN"/>
              </w:rPr>
              <w:t>/d）</w:t>
            </w:r>
            <w:r>
              <w:rPr>
                <w:rFonts w:hint="eastAsia" w:ascii="Times New Roman" w:hAnsi="Times New Roman" w:eastAsia="宋体" w:cs="Times New Roman"/>
                <w:color w:val="auto"/>
                <w:sz w:val="26"/>
                <w:szCs w:val="26"/>
                <w:highlight w:val="none"/>
                <w:lang w:val="en-US" w:eastAsia="zh-CN"/>
              </w:rPr>
              <w:t xml:space="preserve">。切削液循环使用不外排，定期添加。 </w:t>
            </w:r>
          </w:p>
          <w:p w14:paraId="3121E6B1">
            <w:pPr>
              <w:adjustRightInd w:val="0"/>
              <w:snapToGrid w:val="0"/>
              <w:spacing w:line="460" w:lineRule="exact"/>
              <w:ind w:firstLine="520" w:firstLineChars="200"/>
              <w:rPr>
                <w:rFonts w:hint="default"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本项目用排水情况详见下表。</w:t>
            </w:r>
          </w:p>
          <w:p w14:paraId="556DE8A6">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eastAsia" w:ascii="Times New Roman" w:hAnsi="Times New Roman" w:eastAsia="宋体" w:cs="Times New Roman"/>
                <w:b/>
                <w:bCs/>
                <w:color w:val="auto"/>
                <w:sz w:val="26"/>
                <w:szCs w:val="26"/>
                <w:lang w:val="en-US" w:eastAsia="zh-CN"/>
              </w:rPr>
            </w:pPr>
          </w:p>
          <w:p w14:paraId="39A99A78">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eastAsia"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表2.7-1  本项目用排水情况一览表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39"/>
              <w:gridCol w:w="1526"/>
              <w:gridCol w:w="1489"/>
              <w:gridCol w:w="1466"/>
              <w:gridCol w:w="1506"/>
            </w:tblGrid>
            <w:tr w14:paraId="628CF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0" w:hRule="atLeast"/>
                <w:jc w:val="center"/>
              </w:trPr>
              <w:tc>
                <w:tcPr>
                  <w:tcW w:w="1520" w:type="dxa"/>
                  <w:tcBorders>
                    <w:tl2br w:val="nil"/>
                    <w:tr2bl w:val="nil"/>
                  </w:tcBorders>
                  <w:noWrap w:val="0"/>
                  <w:vAlign w:val="center"/>
                </w:tcPr>
                <w:p w14:paraId="2F7F6B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用水类别</w:t>
                  </w:r>
                </w:p>
              </w:tc>
              <w:tc>
                <w:tcPr>
                  <w:tcW w:w="1138" w:type="dxa"/>
                  <w:tcBorders>
                    <w:tl2br w:val="nil"/>
                    <w:tr2bl w:val="nil"/>
                  </w:tcBorders>
                  <w:noWrap w:val="0"/>
                  <w:vAlign w:val="center"/>
                </w:tcPr>
                <w:p w14:paraId="7891BB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最大日</w:t>
                  </w:r>
                </w:p>
                <w:p w14:paraId="236603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用水量（m</w:t>
                  </w:r>
                  <w:r>
                    <w:rPr>
                      <w:rFonts w:hint="default" w:ascii="Times New Roman" w:hAnsi="Times New Roman" w:eastAsia="宋体" w:cs="Times New Roman"/>
                      <w:color w:val="auto"/>
                      <w:kern w:val="0"/>
                      <w:sz w:val="22"/>
                      <w:szCs w:val="22"/>
                      <w:vertAlign w:val="superscript"/>
                      <w:lang w:val="en-US" w:eastAsia="zh-CN"/>
                    </w:rPr>
                    <w:t>3</w:t>
                  </w:r>
                  <w:r>
                    <w:rPr>
                      <w:rFonts w:hint="default" w:ascii="Times New Roman" w:hAnsi="Times New Roman" w:eastAsia="宋体" w:cs="Times New Roman"/>
                      <w:color w:val="auto"/>
                      <w:kern w:val="0"/>
                      <w:sz w:val="22"/>
                      <w:szCs w:val="22"/>
                      <w:lang w:val="en-US" w:eastAsia="zh-CN"/>
                    </w:rPr>
                    <w:t>/d）</w:t>
                  </w:r>
                </w:p>
              </w:tc>
              <w:tc>
                <w:tcPr>
                  <w:tcW w:w="1110" w:type="dxa"/>
                  <w:tcBorders>
                    <w:tl2br w:val="nil"/>
                    <w:tr2bl w:val="nil"/>
                  </w:tcBorders>
                  <w:noWrap w:val="0"/>
                  <w:vAlign w:val="center"/>
                </w:tcPr>
                <w:p w14:paraId="0A107E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用水量（m</w:t>
                  </w:r>
                  <w:r>
                    <w:rPr>
                      <w:rFonts w:hint="default" w:ascii="Times New Roman" w:hAnsi="Times New Roman" w:eastAsia="宋体" w:cs="Times New Roman"/>
                      <w:color w:val="auto"/>
                      <w:kern w:val="0"/>
                      <w:sz w:val="22"/>
                      <w:szCs w:val="22"/>
                      <w:vertAlign w:val="superscript"/>
                      <w:lang w:val="en-US" w:eastAsia="zh-CN"/>
                    </w:rPr>
                    <w:t>3</w:t>
                  </w:r>
                  <w:r>
                    <w:rPr>
                      <w:rFonts w:hint="default" w:ascii="Times New Roman" w:hAnsi="Times New Roman" w:eastAsia="宋体" w:cs="Times New Roman"/>
                      <w:color w:val="auto"/>
                      <w:kern w:val="0"/>
                      <w:sz w:val="22"/>
                      <w:szCs w:val="22"/>
                      <w:lang w:val="en-US" w:eastAsia="zh-CN"/>
                    </w:rPr>
                    <w:t>/a）</w:t>
                  </w:r>
                </w:p>
              </w:tc>
              <w:tc>
                <w:tcPr>
                  <w:tcW w:w="1093" w:type="dxa"/>
                  <w:tcBorders>
                    <w:tl2br w:val="nil"/>
                    <w:tr2bl w:val="nil"/>
                  </w:tcBorders>
                  <w:noWrap w:val="0"/>
                  <w:vAlign w:val="center"/>
                </w:tcPr>
                <w:p w14:paraId="0806AB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最大日</w:t>
                  </w:r>
                </w:p>
                <w:p w14:paraId="642AFB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排水量（m</w:t>
                  </w:r>
                  <w:r>
                    <w:rPr>
                      <w:rFonts w:hint="default" w:ascii="Times New Roman" w:hAnsi="Times New Roman" w:eastAsia="宋体" w:cs="Times New Roman"/>
                      <w:color w:val="auto"/>
                      <w:kern w:val="0"/>
                      <w:sz w:val="22"/>
                      <w:szCs w:val="22"/>
                      <w:vertAlign w:val="superscript"/>
                      <w:lang w:val="en-US" w:eastAsia="zh-CN"/>
                    </w:rPr>
                    <w:t>3</w:t>
                  </w:r>
                  <w:r>
                    <w:rPr>
                      <w:rFonts w:hint="default" w:ascii="Times New Roman" w:hAnsi="Times New Roman" w:eastAsia="宋体" w:cs="Times New Roman"/>
                      <w:color w:val="auto"/>
                      <w:kern w:val="0"/>
                      <w:sz w:val="22"/>
                      <w:szCs w:val="22"/>
                      <w:lang w:val="en-US" w:eastAsia="zh-CN"/>
                    </w:rPr>
                    <w:t>/d）</w:t>
                  </w:r>
                </w:p>
              </w:tc>
              <w:tc>
                <w:tcPr>
                  <w:tcW w:w="1123" w:type="dxa"/>
                  <w:tcBorders>
                    <w:tl2br w:val="nil"/>
                    <w:tr2bl w:val="nil"/>
                  </w:tcBorders>
                  <w:noWrap w:val="0"/>
                  <w:vAlign w:val="center"/>
                </w:tcPr>
                <w:p w14:paraId="3E5FD3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排水量（m</w:t>
                  </w:r>
                  <w:r>
                    <w:rPr>
                      <w:rFonts w:hint="default" w:ascii="Times New Roman" w:hAnsi="Times New Roman" w:eastAsia="宋体" w:cs="Times New Roman"/>
                      <w:color w:val="auto"/>
                      <w:kern w:val="0"/>
                      <w:sz w:val="22"/>
                      <w:szCs w:val="22"/>
                      <w:vertAlign w:val="superscript"/>
                      <w:lang w:val="en-US" w:eastAsia="zh-CN"/>
                    </w:rPr>
                    <w:t>3</w:t>
                  </w:r>
                  <w:r>
                    <w:rPr>
                      <w:rFonts w:hint="default" w:ascii="Times New Roman" w:hAnsi="Times New Roman" w:eastAsia="宋体" w:cs="Times New Roman"/>
                      <w:color w:val="auto"/>
                      <w:kern w:val="0"/>
                      <w:sz w:val="22"/>
                      <w:szCs w:val="22"/>
                      <w:lang w:val="en-US" w:eastAsia="zh-CN"/>
                    </w:rPr>
                    <w:t>/a）</w:t>
                  </w:r>
                </w:p>
              </w:tc>
            </w:tr>
            <w:tr w14:paraId="381320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20" w:type="dxa"/>
                  <w:tcBorders>
                    <w:tl2br w:val="nil"/>
                    <w:tr2bl w:val="nil"/>
                  </w:tcBorders>
                  <w:noWrap w:val="0"/>
                  <w:vAlign w:val="center"/>
                </w:tcPr>
                <w:p w14:paraId="779B2B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切削液用水</w:t>
                  </w:r>
                </w:p>
              </w:tc>
              <w:tc>
                <w:tcPr>
                  <w:tcW w:w="1138" w:type="dxa"/>
                  <w:tcBorders>
                    <w:tl2br w:val="nil"/>
                    <w:tr2bl w:val="nil"/>
                  </w:tcBorders>
                  <w:noWrap w:val="0"/>
                  <w:vAlign w:val="center"/>
                </w:tcPr>
                <w:p w14:paraId="60AD8B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0.00</w:t>
                  </w:r>
                  <w:r>
                    <w:rPr>
                      <w:rFonts w:hint="eastAsia" w:ascii="Times New Roman" w:hAnsi="Times New Roman" w:eastAsia="宋体" w:cs="Times New Roman"/>
                      <w:color w:val="auto"/>
                      <w:kern w:val="0"/>
                      <w:sz w:val="22"/>
                      <w:szCs w:val="22"/>
                      <w:lang w:val="en-US" w:eastAsia="zh-CN"/>
                    </w:rPr>
                    <w:t>76</w:t>
                  </w:r>
                </w:p>
              </w:tc>
              <w:tc>
                <w:tcPr>
                  <w:tcW w:w="1110" w:type="dxa"/>
                  <w:tcBorders>
                    <w:tl2br w:val="nil"/>
                    <w:tr2bl w:val="nil"/>
                  </w:tcBorders>
                  <w:noWrap w:val="0"/>
                  <w:vAlign w:val="center"/>
                </w:tcPr>
                <w:p w14:paraId="02BDA3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2.25</w:t>
                  </w:r>
                </w:p>
              </w:tc>
              <w:tc>
                <w:tcPr>
                  <w:tcW w:w="1093" w:type="dxa"/>
                  <w:tcBorders>
                    <w:tl2br w:val="nil"/>
                    <w:tr2bl w:val="nil"/>
                  </w:tcBorders>
                  <w:noWrap w:val="0"/>
                  <w:vAlign w:val="center"/>
                </w:tcPr>
                <w:p w14:paraId="7EEBEB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0</w:t>
                  </w:r>
                </w:p>
              </w:tc>
              <w:tc>
                <w:tcPr>
                  <w:tcW w:w="1123" w:type="dxa"/>
                  <w:tcBorders>
                    <w:tl2br w:val="nil"/>
                    <w:tr2bl w:val="nil"/>
                  </w:tcBorders>
                  <w:noWrap w:val="0"/>
                  <w:vAlign w:val="center"/>
                </w:tcPr>
                <w:p w14:paraId="718F8E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0</w:t>
                  </w:r>
                </w:p>
              </w:tc>
            </w:tr>
            <w:tr w14:paraId="637A3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20" w:type="dxa"/>
                  <w:tcBorders>
                    <w:tl2br w:val="nil"/>
                    <w:tr2bl w:val="nil"/>
                  </w:tcBorders>
                  <w:noWrap w:val="0"/>
                  <w:vAlign w:val="center"/>
                </w:tcPr>
                <w:p w14:paraId="044A83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循环用水</w:t>
                  </w:r>
                  <w:r>
                    <w:rPr>
                      <w:rFonts w:hint="default" w:ascii="Times New Roman" w:hAnsi="Times New Roman" w:eastAsia="宋体" w:cs="Times New Roman"/>
                      <w:color w:val="auto"/>
                      <w:kern w:val="0"/>
                      <w:sz w:val="22"/>
                      <w:szCs w:val="22"/>
                      <w:vertAlign w:val="superscript"/>
                      <w:lang w:val="en-US" w:eastAsia="zh-CN"/>
                    </w:rPr>
                    <w:t>①</w:t>
                  </w:r>
                </w:p>
              </w:tc>
              <w:tc>
                <w:tcPr>
                  <w:tcW w:w="1138" w:type="dxa"/>
                  <w:tcBorders>
                    <w:tl2br w:val="nil"/>
                    <w:tr2bl w:val="nil"/>
                  </w:tcBorders>
                  <w:noWrap w:val="0"/>
                  <w:vAlign w:val="center"/>
                </w:tcPr>
                <w:p w14:paraId="529132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85</w:t>
                  </w:r>
                </w:p>
              </w:tc>
              <w:tc>
                <w:tcPr>
                  <w:tcW w:w="1110" w:type="dxa"/>
                  <w:tcBorders>
                    <w:tl2br w:val="nil"/>
                    <w:tr2bl w:val="nil"/>
                  </w:tcBorders>
                  <w:noWrap w:val="0"/>
                  <w:vAlign w:val="center"/>
                </w:tcPr>
                <w:p w14:paraId="1FE605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24781</w:t>
                  </w:r>
                </w:p>
              </w:tc>
              <w:tc>
                <w:tcPr>
                  <w:tcW w:w="1093" w:type="dxa"/>
                  <w:tcBorders>
                    <w:tl2br w:val="nil"/>
                    <w:tr2bl w:val="nil"/>
                  </w:tcBorders>
                  <w:noWrap w:val="0"/>
                  <w:vAlign w:val="center"/>
                </w:tcPr>
                <w:p w14:paraId="6036D6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1</w:t>
                  </w:r>
                </w:p>
              </w:tc>
              <w:tc>
                <w:tcPr>
                  <w:tcW w:w="1123" w:type="dxa"/>
                  <w:tcBorders>
                    <w:tl2br w:val="nil"/>
                    <w:tr2bl w:val="nil"/>
                  </w:tcBorders>
                  <w:noWrap w:val="0"/>
                  <w:vAlign w:val="center"/>
                </w:tcPr>
                <w:p w14:paraId="3ED99C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1</w:t>
                  </w:r>
                </w:p>
              </w:tc>
            </w:tr>
            <w:tr w14:paraId="26A8CF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20" w:type="dxa"/>
                  <w:tcBorders>
                    <w:tl2br w:val="nil"/>
                    <w:tr2bl w:val="nil"/>
                  </w:tcBorders>
                  <w:noWrap w:val="0"/>
                  <w:vAlign w:val="center"/>
                </w:tcPr>
                <w:p w14:paraId="4431DD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合计</w:t>
                  </w:r>
                </w:p>
              </w:tc>
              <w:tc>
                <w:tcPr>
                  <w:tcW w:w="1138" w:type="dxa"/>
                  <w:tcBorders>
                    <w:tl2br w:val="nil"/>
                    <w:tr2bl w:val="nil"/>
                  </w:tcBorders>
                  <w:noWrap w:val="0"/>
                  <w:vAlign w:val="center"/>
                </w:tcPr>
                <w:p w14:paraId="5F6AB1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85.00</w:t>
                  </w:r>
                  <w:r>
                    <w:rPr>
                      <w:rFonts w:hint="eastAsia" w:ascii="Times New Roman" w:hAnsi="Times New Roman" w:eastAsia="宋体" w:cs="Times New Roman"/>
                      <w:color w:val="auto"/>
                      <w:kern w:val="0"/>
                      <w:sz w:val="22"/>
                      <w:szCs w:val="22"/>
                      <w:lang w:val="en-US" w:eastAsia="zh-CN"/>
                    </w:rPr>
                    <w:t>76</w:t>
                  </w:r>
                </w:p>
              </w:tc>
              <w:tc>
                <w:tcPr>
                  <w:tcW w:w="1110" w:type="dxa"/>
                  <w:tcBorders>
                    <w:tl2br w:val="nil"/>
                    <w:tr2bl w:val="nil"/>
                  </w:tcBorders>
                  <w:noWrap w:val="0"/>
                  <w:vAlign w:val="center"/>
                </w:tcPr>
                <w:p w14:paraId="3FC6F4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24783.25</w:t>
                  </w:r>
                </w:p>
              </w:tc>
              <w:tc>
                <w:tcPr>
                  <w:tcW w:w="1093" w:type="dxa"/>
                  <w:tcBorders>
                    <w:tl2br w:val="nil"/>
                    <w:tr2bl w:val="nil"/>
                  </w:tcBorders>
                  <w:noWrap w:val="0"/>
                  <w:vAlign w:val="center"/>
                </w:tcPr>
                <w:p w14:paraId="3AC92E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1</w:t>
                  </w:r>
                </w:p>
              </w:tc>
              <w:tc>
                <w:tcPr>
                  <w:tcW w:w="1123" w:type="dxa"/>
                  <w:tcBorders>
                    <w:tl2br w:val="nil"/>
                    <w:tr2bl w:val="nil"/>
                  </w:tcBorders>
                  <w:noWrap w:val="0"/>
                  <w:vAlign w:val="center"/>
                </w:tcPr>
                <w:p w14:paraId="32E579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1</w:t>
                  </w:r>
                </w:p>
              </w:tc>
            </w:tr>
          </w:tbl>
          <w:p w14:paraId="242CBEE5">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left"/>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bCs/>
                <w:color w:val="auto"/>
                <w:sz w:val="22"/>
                <w:szCs w:val="22"/>
                <w:lang w:eastAsia="zh-CN"/>
              </w:rPr>
              <w:t>注：“</w:t>
            </w:r>
            <w:r>
              <w:rPr>
                <w:rFonts w:hint="default" w:ascii="Times New Roman" w:hAnsi="Times New Roman" w:eastAsia="宋体" w:cs="Times New Roman"/>
                <w:bCs/>
                <w:color w:val="auto"/>
                <w:sz w:val="22"/>
                <w:szCs w:val="22"/>
                <w:lang w:eastAsia="zh-CN"/>
              </w:rPr>
              <w:fldChar w:fldCharType="begin"/>
            </w:r>
            <w:r>
              <w:rPr>
                <w:rFonts w:hint="default" w:ascii="Times New Roman" w:hAnsi="Times New Roman" w:eastAsia="宋体" w:cs="Times New Roman"/>
                <w:bCs/>
                <w:color w:val="auto"/>
                <w:sz w:val="22"/>
                <w:szCs w:val="22"/>
                <w:lang w:eastAsia="zh-CN"/>
              </w:rPr>
              <w:instrText xml:space="preserve"> = 1 \* GB3 \* MERGEFORMAT </w:instrText>
            </w:r>
            <w:r>
              <w:rPr>
                <w:rFonts w:hint="default" w:ascii="Times New Roman" w:hAnsi="Times New Roman" w:eastAsia="宋体" w:cs="Times New Roman"/>
                <w:bCs/>
                <w:color w:val="auto"/>
                <w:sz w:val="22"/>
                <w:szCs w:val="22"/>
                <w:lang w:eastAsia="zh-CN"/>
              </w:rPr>
              <w:fldChar w:fldCharType="separate"/>
            </w:r>
            <w:r>
              <w:rPr>
                <w:rFonts w:hint="default" w:ascii="Times New Roman" w:hAnsi="Times New Roman" w:eastAsia="宋体" w:cs="Times New Roman"/>
                <w:color w:val="auto"/>
                <w:sz w:val="22"/>
                <w:szCs w:val="22"/>
              </w:rPr>
              <w:t>①</w:t>
            </w:r>
            <w:r>
              <w:rPr>
                <w:rFonts w:hint="default" w:ascii="Times New Roman" w:hAnsi="Times New Roman" w:eastAsia="宋体" w:cs="Times New Roman"/>
                <w:bCs/>
                <w:color w:val="auto"/>
                <w:sz w:val="22"/>
                <w:szCs w:val="22"/>
                <w:lang w:eastAsia="zh-CN"/>
              </w:rPr>
              <w:fldChar w:fldCharType="end"/>
            </w:r>
            <w:r>
              <w:rPr>
                <w:rFonts w:hint="default" w:ascii="Times New Roman" w:hAnsi="Times New Roman" w:eastAsia="宋体" w:cs="Times New Roman"/>
                <w:bCs/>
                <w:color w:val="auto"/>
                <w:sz w:val="22"/>
                <w:szCs w:val="22"/>
                <w:lang w:eastAsia="zh-CN"/>
              </w:rPr>
              <w:t>”</w:t>
            </w:r>
            <w:r>
              <w:rPr>
                <w:rFonts w:hint="default" w:ascii="Times New Roman" w:hAnsi="Times New Roman" w:eastAsia="宋体" w:cs="Times New Roman"/>
                <w:color w:val="auto"/>
                <w:kern w:val="0"/>
                <w:sz w:val="22"/>
                <w:szCs w:val="22"/>
                <w:lang w:val="en-US" w:eastAsia="zh-CN"/>
              </w:rPr>
              <w:t>循环用水按熔炼设备最长天数</w:t>
            </w:r>
            <w:r>
              <w:rPr>
                <w:rFonts w:hint="eastAsia" w:ascii="Times New Roman" w:hAnsi="Times New Roman" w:eastAsia="宋体" w:cs="Times New Roman"/>
                <w:color w:val="auto"/>
                <w:kern w:val="0"/>
                <w:sz w:val="22"/>
                <w:szCs w:val="22"/>
                <w:lang w:val="en-US" w:eastAsia="zh-CN"/>
              </w:rPr>
              <w:t>295</w:t>
            </w:r>
            <w:r>
              <w:rPr>
                <w:rFonts w:hint="default" w:ascii="Times New Roman" w:hAnsi="Times New Roman" w:eastAsia="宋体" w:cs="Times New Roman"/>
                <w:color w:val="auto"/>
                <w:kern w:val="0"/>
                <w:sz w:val="22"/>
                <w:szCs w:val="22"/>
                <w:lang w:val="en-US" w:eastAsia="zh-CN"/>
              </w:rPr>
              <w:t>d计，并统计一年一次清洁用排水量，作为最大日排水量</w:t>
            </w:r>
          </w:p>
          <w:p w14:paraId="5E686982">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left"/>
              <w:textAlignment w:val="auto"/>
              <w:rPr>
                <w:rFonts w:hint="default" w:ascii="Times New Roman" w:hAnsi="Times New Roman" w:eastAsia="宋体" w:cs="Times New Roman"/>
                <w:color w:val="auto"/>
                <w:kern w:val="0"/>
                <w:sz w:val="22"/>
                <w:szCs w:val="22"/>
                <w:lang w:val="en-US" w:eastAsia="zh-CN"/>
              </w:rPr>
            </w:pPr>
          </w:p>
          <w:p w14:paraId="7F5441C3">
            <w:pPr>
              <w:keepNext w:val="0"/>
              <w:keepLines w:val="0"/>
              <w:pageBreakBefore w:val="0"/>
              <w:widowControl w:val="0"/>
              <w:kinsoku/>
              <w:wordWrap/>
              <w:overflowPunct/>
              <w:topLinePunct w:val="0"/>
              <w:autoSpaceDE/>
              <w:autoSpaceDN/>
              <w:bidi w:val="0"/>
              <w:adjustRightInd/>
              <w:snapToGrid/>
              <w:spacing w:line="240" w:lineRule="auto"/>
              <w:ind w:firstLine="440" w:firstLineChars="200"/>
              <w:jc w:val="left"/>
              <w:textAlignment w:val="auto"/>
              <w:rPr>
                <w:rFonts w:hint="default" w:ascii="Times New Roman" w:hAnsi="Times New Roman" w:eastAsia="宋体" w:cs="Times New Roman"/>
                <w:color w:val="auto"/>
                <w:kern w:val="0"/>
                <w:sz w:val="22"/>
                <w:szCs w:val="22"/>
                <w:lang w:val="en-US" w:eastAsia="zh-CN"/>
              </w:rPr>
            </w:pPr>
          </w:p>
          <w:p w14:paraId="414B6850">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eastAsia" w:ascii="Times New Roman" w:hAnsi="Times New Roman" w:eastAsia="宋体" w:cs="Times New Roman"/>
                <w:b/>
                <w:bCs/>
                <w:color w:val="auto"/>
                <w:sz w:val="26"/>
                <w:szCs w:val="26"/>
                <w:lang w:val="en-US" w:eastAsia="zh-CN"/>
              </w:rPr>
            </w:pPr>
          </w:p>
          <w:p w14:paraId="5A8611B5">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eastAsia" w:ascii="Times New Roman" w:hAnsi="Times New Roman" w:eastAsia="宋体" w:cs="Times New Roman"/>
                <w:b/>
                <w:bCs/>
                <w:color w:val="auto"/>
                <w:sz w:val="26"/>
                <w:szCs w:val="26"/>
                <w:lang w:val="en-US" w:eastAsia="zh-CN"/>
              </w:rPr>
            </w:pPr>
          </w:p>
          <w:p w14:paraId="3D791AA5">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eastAsia" w:ascii="Times New Roman" w:hAnsi="Times New Roman" w:eastAsia="宋体" w:cs="Times New Roman"/>
                <w:b/>
                <w:bCs/>
                <w:color w:val="auto"/>
                <w:sz w:val="26"/>
                <w:szCs w:val="26"/>
                <w:lang w:val="en-US" w:eastAsia="zh-CN"/>
              </w:rPr>
            </w:pPr>
          </w:p>
          <w:p w14:paraId="6F8C3566">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eastAsia"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pict>
                <v:shape id="Object 166" o:spid="_x0000_s2214" o:spt="75" type="#_x0000_t75" style="position:absolute;left:0pt;margin-left:1.15pt;margin-top:19.45pt;height:249.75pt;width:414.75pt;z-index:251660288;mso-width-relative:page;mso-height-relative:page;" o:ole="t" filled="f" o:preferrelative="t" stroked="f" coordsize="21600,21600">
                  <v:path/>
                  <v:fill on="f" focussize="0,0"/>
                  <v:stroke on="f"/>
                  <v:imagedata r:id="rId11" o:title=""/>
                  <o:lock v:ext="edit" aspectratio="f"/>
                </v:shape>
                <o:OLEObject Type="Embed" ProgID="Visio.Drawing.15" ShapeID="Object 166" DrawAspect="Content" ObjectID="_1468075725" r:id="rId10">
                  <o:LockedField>false</o:LockedField>
                </o:OLEObject>
              </w:pict>
            </w:r>
          </w:p>
          <w:p w14:paraId="4F1744B6">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eastAsia" w:ascii="Times New Roman" w:hAnsi="Times New Roman" w:eastAsia="宋体" w:cs="Times New Roman"/>
                <w:b/>
                <w:bCs/>
                <w:color w:val="auto"/>
                <w:sz w:val="26"/>
                <w:szCs w:val="26"/>
                <w:lang w:val="en-US" w:eastAsia="zh-CN"/>
              </w:rPr>
            </w:pPr>
          </w:p>
          <w:p w14:paraId="240AAC4E">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eastAsia" w:ascii="Times New Roman" w:hAnsi="Times New Roman" w:eastAsia="宋体" w:cs="Times New Roman"/>
                <w:b/>
                <w:bCs/>
                <w:color w:val="auto"/>
                <w:sz w:val="26"/>
                <w:szCs w:val="26"/>
                <w:lang w:val="en-US" w:eastAsia="zh-CN"/>
              </w:rPr>
            </w:pPr>
          </w:p>
          <w:p w14:paraId="486CB427">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eastAsia" w:ascii="Times New Roman" w:hAnsi="Times New Roman" w:eastAsia="宋体" w:cs="Times New Roman"/>
                <w:b/>
                <w:bCs/>
                <w:color w:val="auto"/>
                <w:sz w:val="26"/>
                <w:szCs w:val="26"/>
                <w:lang w:val="en-US" w:eastAsia="zh-CN"/>
              </w:rPr>
            </w:pPr>
          </w:p>
          <w:p w14:paraId="7C45FCCF">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eastAsia" w:ascii="Times New Roman" w:hAnsi="Times New Roman" w:eastAsia="宋体" w:cs="Times New Roman"/>
                <w:b/>
                <w:bCs/>
                <w:color w:val="auto"/>
                <w:sz w:val="26"/>
                <w:szCs w:val="26"/>
                <w:lang w:val="en-US" w:eastAsia="zh-CN"/>
              </w:rPr>
            </w:pPr>
          </w:p>
          <w:p w14:paraId="6F13758F">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eastAsia" w:ascii="Times New Roman" w:hAnsi="Times New Roman" w:eastAsia="宋体" w:cs="Times New Roman"/>
                <w:b/>
                <w:bCs/>
                <w:color w:val="auto"/>
                <w:sz w:val="26"/>
                <w:szCs w:val="26"/>
                <w:lang w:val="en-US" w:eastAsia="zh-CN"/>
              </w:rPr>
            </w:pPr>
          </w:p>
          <w:p w14:paraId="7ACA8203">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eastAsia" w:ascii="Times New Roman" w:hAnsi="Times New Roman" w:eastAsia="宋体" w:cs="Times New Roman"/>
                <w:b/>
                <w:bCs/>
                <w:color w:val="auto"/>
                <w:sz w:val="26"/>
                <w:szCs w:val="26"/>
                <w:lang w:val="en-US" w:eastAsia="zh-CN"/>
              </w:rPr>
            </w:pPr>
          </w:p>
          <w:p w14:paraId="52CFA250">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eastAsia" w:ascii="Times New Roman" w:hAnsi="Times New Roman" w:eastAsia="宋体" w:cs="Times New Roman"/>
                <w:b/>
                <w:bCs/>
                <w:color w:val="auto"/>
                <w:sz w:val="26"/>
                <w:szCs w:val="26"/>
                <w:lang w:val="en-US" w:eastAsia="zh-CN"/>
              </w:rPr>
            </w:pPr>
          </w:p>
          <w:p w14:paraId="06706AB3">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eastAsia" w:ascii="Times New Roman" w:hAnsi="Times New Roman" w:eastAsia="宋体" w:cs="Times New Roman"/>
                <w:b/>
                <w:bCs/>
                <w:color w:val="auto"/>
                <w:sz w:val="26"/>
                <w:szCs w:val="26"/>
                <w:lang w:val="en-US" w:eastAsia="zh-CN"/>
              </w:rPr>
            </w:pPr>
          </w:p>
          <w:p w14:paraId="3506B5B4">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eastAsia" w:ascii="Times New Roman" w:hAnsi="Times New Roman" w:eastAsia="宋体" w:cs="Times New Roman"/>
                <w:b/>
                <w:bCs/>
                <w:color w:val="auto"/>
                <w:sz w:val="26"/>
                <w:szCs w:val="26"/>
                <w:lang w:val="en-US" w:eastAsia="zh-CN"/>
              </w:rPr>
            </w:pPr>
          </w:p>
          <w:p w14:paraId="118C0A28">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eastAsia" w:ascii="Times New Roman" w:hAnsi="Times New Roman" w:eastAsia="宋体" w:cs="Times New Roman"/>
                <w:b/>
                <w:bCs/>
                <w:color w:val="auto"/>
                <w:sz w:val="26"/>
                <w:szCs w:val="26"/>
                <w:u w:val="single"/>
                <w:lang w:val="en-US" w:eastAsia="zh-CN"/>
              </w:rPr>
            </w:pPr>
          </w:p>
          <w:p w14:paraId="053CC4C2">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eastAsia" w:ascii="Times New Roman" w:hAnsi="Times New Roman" w:eastAsia="宋体" w:cs="Times New Roman"/>
                <w:b/>
                <w:bCs/>
                <w:color w:val="auto"/>
                <w:sz w:val="26"/>
                <w:szCs w:val="26"/>
                <w:u w:val="single"/>
                <w:lang w:val="en-US" w:eastAsia="zh-CN"/>
              </w:rPr>
            </w:pPr>
          </w:p>
          <w:p w14:paraId="68C62ED6">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eastAsia" w:ascii="Times New Roman" w:hAnsi="Times New Roman" w:eastAsia="宋体" w:cs="Times New Roman"/>
                <w:b/>
                <w:bCs/>
                <w:color w:val="auto"/>
                <w:sz w:val="26"/>
                <w:szCs w:val="26"/>
                <w:u w:val="single"/>
                <w:lang w:val="en-US" w:eastAsia="zh-CN"/>
              </w:rPr>
            </w:pPr>
            <w:r>
              <w:rPr>
                <w:rFonts w:hint="eastAsia" w:ascii="Times New Roman" w:hAnsi="Times New Roman" w:eastAsia="宋体" w:cs="Times New Roman"/>
                <w:b/>
                <w:bCs/>
                <w:color w:val="auto"/>
                <w:sz w:val="26"/>
                <w:szCs w:val="26"/>
                <w:u w:val="single"/>
                <w:lang w:val="en-US" w:eastAsia="zh-CN"/>
              </w:rPr>
              <w:t>图2.7-1  本项目最大日水平衡图（m</w:t>
            </w:r>
            <w:r>
              <w:rPr>
                <w:rFonts w:hint="eastAsia" w:ascii="Times New Roman" w:hAnsi="Times New Roman" w:eastAsia="宋体" w:cs="Times New Roman"/>
                <w:b/>
                <w:bCs/>
                <w:color w:val="auto"/>
                <w:sz w:val="26"/>
                <w:szCs w:val="26"/>
                <w:u w:val="single"/>
                <w:vertAlign w:val="superscript"/>
                <w:lang w:val="en-US" w:eastAsia="zh-CN"/>
              </w:rPr>
              <w:t>3</w:t>
            </w:r>
            <w:r>
              <w:rPr>
                <w:rFonts w:hint="eastAsia" w:ascii="Times New Roman" w:hAnsi="Times New Roman" w:eastAsia="宋体" w:cs="Times New Roman"/>
                <w:b/>
                <w:bCs/>
                <w:color w:val="auto"/>
                <w:sz w:val="26"/>
                <w:szCs w:val="26"/>
                <w:u w:val="single"/>
                <w:lang w:val="en-US" w:eastAsia="zh-CN"/>
              </w:rPr>
              <w:t>/d）</w:t>
            </w:r>
          </w:p>
          <w:p w14:paraId="473CF7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lang w:val="en-US" w:eastAsia="zh-CN"/>
              </w:rPr>
            </w:pPr>
          </w:p>
          <w:p w14:paraId="7B940FCA">
            <w:pPr>
              <w:keepNext w:val="0"/>
              <w:keepLines w:val="0"/>
              <w:pageBreakBefore w:val="0"/>
              <w:widowControl w:val="0"/>
              <w:kinsoku/>
              <w:wordWrap/>
              <w:overflowPunct/>
              <w:topLinePunct w:val="0"/>
              <w:autoSpaceDE w:val="0"/>
              <w:autoSpaceDN w:val="0"/>
              <w:bidi w:val="0"/>
              <w:adjustRightInd w:val="0"/>
              <w:snapToGrid/>
              <w:spacing w:line="460" w:lineRule="exact"/>
              <w:ind w:firstLine="0" w:firstLineChars="0"/>
              <w:textAlignment w:val="auto"/>
              <w:rPr>
                <w:rFonts w:hint="default" w:ascii="Times New Roman" w:hAnsi="Times New Roman" w:eastAsia="宋体" w:cs="Times New Roman"/>
                <w:b/>
                <w:bCs/>
                <w:color w:val="auto"/>
                <w:kern w:val="0"/>
                <w:sz w:val="26"/>
                <w:szCs w:val="26"/>
                <w:highlight w:val="none"/>
                <w:lang w:val="en-US" w:eastAsia="zh-CN"/>
              </w:rPr>
            </w:pPr>
            <w:r>
              <w:rPr>
                <w:rFonts w:hint="eastAsia" w:ascii="Times New Roman" w:hAnsi="Times New Roman" w:eastAsia="宋体" w:cs="Times New Roman"/>
                <w:b/>
                <w:bCs/>
                <w:color w:val="auto"/>
                <w:kern w:val="0"/>
                <w:sz w:val="26"/>
                <w:szCs w:val="26"/>
                <w:highlight w:val="none"/>
                <w:lang w:val="en-US" w:eastAsia="zh-CN"/>
              </w:rPr>
              <w:t>2.7.2 物料平衡</w:t>
            </w:r>
          </w:p>
          <w:p w14:paraId="4930DA77">
            <w:pPr>
              <w:keepNext w:val="0"/>
              <w:keepLines w:val="0"/>
              <w:pageBreakBefore w:val="0"/>
              <w:widowControl w:val="0"/>
              <w:kinsoku/>
              <w:wordWrap/>
              <w:overflowPunct/>
              <w:topLinePunct w:val="0"/>
              <w:autoSpaceDE/>
              <w:autoSpaceDN/>
              <w:bidi w:val="0"/>
              <w:adjustRightInd/>
              <w:snapToGrid/>
              <w:spacing w:line="460" w:lineRule="atLeast"/>
              <w:ind w:firstLine="520" w:firstLineChars="200"/>
              <w:textAlignment w:val="auto"/>
              <w:rPr>
                <w:rFonts w:hint="default" w:ascii="Times New Roman" w:hAnsi="Times New Roman" w:eastAsia="宋体" w:cs="Times New Roman"/>
                <w:color w:val="auto"/>
                <w:sz w:val="26"/>
                <w:szCs w:val="26"/>
                <w:highlight w:val="none"/>
                <w:vertAlign w:val="baseline"/>
                <w:lang w:val="en-US" w:eastAsia="zh-CN"/>
              </w:rPr>
            </w:pPr>
            <w:r>
              <w:rPr>
                <w:rFonts w:hint="default" w:ascii="Times New Roman" w:hAnsi="Times New Roman" w:eastAsia="宋体" w:cs="Times New Roman"/>
                <w:color w:val="auto"/>
                <w:sz w:val="26"/>
                <w:szCs w:val="26"/>
                <w:highlight w:val="none"/>
                <w:vertAlign w:val="baseline"/>
                <w:lang w:val="en-US" w:eastAsia="zh-CN"/>
              </w:rPr>
              <w:t>本项目物料平衡详见下表及图。</w:t>
            </w:r>
          </w:p>
          <w:p w14:paraId="6B84073D">
            <w:pPr>
              <w:keepNext w:val="0"/>
              <w:keepLines w:val="0"/>
              <w:pageBreakBefore w:val="0"/>
              <w:widowControl w:val="0"/>
              <w:kinsoku/>
              <w:wordWrap/>
              <w:overflowPunct/>
              <w:topLinePunct w:val="0"/>
              <w:autoSpaceDE/>
              <w:autoSpaceDN/>
              <w:bidi w:val="0"/>
              <w:adjustRightInd/>
              <w:snapToGrid/>
              <w:spacing w:line="460" w:lineRule="atLeast"/>
              <w:ind w:firstLine="520" w:firstLineChars="200"/>
              <w:textAlignment w:val="auto"/>
              <w:rPr>
                <w:rFonts w:hint="default" w:ascii="Times New Roman" w:hAnsi="Times New Roman" w:eastAsia="宋体" w:cs="Times New Roman"/>
                <w:color w:val="auto"/>
                <w:sz w:val="26"/>
                <w:szCs w:val="26"/>
                <w:highlight w:val="none"/>
                <w:vertAlign w:val="baseline"/>
                <w:lang w:val="en-US" w:eastAsia="zh-CN"/>
              </w:rPr>
            </w:pPr>
          </w:p>
          <w:p w14:paraId="007C96FB">
            <w:pPr>
              <w:keepNext w:val="0"/>
              <w:keepLines w:val="0"/>
              <w:pageBreakBefore w:val="0"/>
              <w:widowControl w:val="0"/>
              <w:kinsoku/>
              <w:wordWrap/>
              <w:overflowPunct/>
              <w:topLinePunct w:val="0"/>
              <w:autoSpaceDE/>
              <w:autoSpaceDN/>
              <w:bidi w:val="0"/>
              <w:adjustRightInd/>
              <w:snapToGrid/>
              <w:spacing w:line="460" w:lineRule="atLeast"/>
              <w:ind w:firstLine="520" w:firstLineChars="200"/>
              <w:textAlignment w:val="auto"/>
              <w:rPr>
                <w:rFonts w:hint="default" w:ascii="Times New Roman" w:hAnsi="Times New Roman" w:eastAsia="宋体" w:cs="Times New Roman"/>
                <w:color w:val="auto"/>
                <w:sz w:val="26"/>
                <w:szCs w:val="26"/>
                <w:highlight w:val="none"/>
                <w:vertAlign w:val="baseline"/>
                <w:lang w:val="en-US" w:eastAsia="zh-CN"/>
              </w:rPr>
            </w:pPr>
          </w:p>
          <w:p w14:paraId="5AD20176">
            <w:pPr>
              <w:keepNext w:val="0"/>
              <w:keepLines w:val="0"/>
              <w:pageBreakBefore w:val="0"/>
              <w:widowControl w:val="0"/>
              <w:kinsoku/>
              <w:wordWrap/>
              <w:overflowPunct/>
              <w:topLinePunct w:val="0"/>
              <w:autoSpaceDE/>
              <w:autoSpaceDN/>
              <w:bidi w:val="0"/>
              <w:adjustRightInd/>
              <w:snapToGrid/>
              <w:spacing w:line="460" w:lineRule="atLeast"/>
              <w:ind w:firstLine="520" w:firstLineChars="200"/>
              <w:textAlignment w:val="auto"/>
              <w:rPr>
                <w:rFonts w:hint="default" w:ascii="Times New Roman" w:hAnsi="Times New Roman" w:eastAsia="宋体" w:cs="Times New Roman"/>
                <w:color w:val="auto"/>
                <w:sz w:val="26"/>
                <w:szCs w:val="26"/>
                <w:highlight w:val="none"/>
                <w:vertAlign w:val="baseline"/>
                <w:lang w:val="en-US" w:eastAsia="zh-CN"/>
              </w:rPr>
            </w:pPr>
          </w:p>
          <w:p w14:paraId="0A7B39E2">
            <w:pPr>
              <w:keepNext w:val="0"/>
              <w:keepLines w:val="0"/>
              <w:pageBreakBefore w:val="0"/>
              <w:widowControl w:val="0"/>
              <w:kinsoku/>
              <w:wordWrap/>
              <w:overflowPunct/>
              <w:topLinePunct w:val="0"/>
              <w:autoSpaceDE/>
              <w:autoSpaceDN/>
              <w:bidi w:val="0"/>
              <w:adjustRightInd/>
              <w:snapToGrid/>
              <w:spacing w:line="460" w:lineRule="atLeast"/>
              <w:ind w:firstLine="520" w:firstLineChars="200"/>
              <w:textAlignment w:val="auto"/>
              <w:rPr>
                <w:rFonts w:hint="default" w:ascii="Times New Roman" w:hAnsi="Times New Roman" w:eastAsia="宋体" w:cs="Times New Roman"/>
                <w:color w:val="auto"/>
                <w:sz w:val="26"/>
                <w:szCs w:val="26"/>
                <w:highlight w:val="none"/>
                <w:vertAlign w:val="baseline"/>
                <w:lang w:val="en-US" w:eastAsia="zh-CN"/>
              </w:rPr>
            </w:pPr>
          </w:p>
          <w:p w14:paraId="6563AC39">
            <w:pPr>
              <w:keepNext w:val="0"/>
              <w:keepLines w:val="0"/>
              <w:pageBreakBefore w:val="0"/>
              <w:widowControl w:val="0"/>
              <w:kinsoku/>
              <w:wordWrap/>
              <w:overflowPunct/>
              <w:topLinePunct w:val="0"/>
              <w:autoSpaceDE/>
              <w:autoSpaceDN/>
              <w:bidi w:val="0"/>
              <w:adjustRightInd/>
              <w:snapToGrid/>
              <w:spacing w:line="460" w:lineRule="atLeast"/>
              <w:ind w:firstLine="520" w:firstLineChars="200"/>
              <w:textAlignment w:val="auto"/>
              <w:rPr>
                <w:rFonts w:hint="default" w:ascii="Times New Roman" w:hAnsi="Times New Roman" w:eastAsia="宋体" w:cs="Times New Roman"/>
                <w:color w:val="auto"/>
                <w:sz w:val="26"/>
                <w:szCs w:val="26"/>
                <w:highlight w:val="none"/>
                <w:vertAlign w:val="baseline"/>
                <w:lang w:val="en-US" w:eastAsia="zh-CN"/>
              </w:rPr>
            </w:pPr>
          </w:p>
          <w:p w14:paraId="0221B2B1">
            <w:pPr>
              <w:keepNext w:val="0"/>
              <w:keepLines w:val="0"/>
              <w:pageBreakBefore w:val="0"/>
              <w:widowControl w:val="0"/>
              <w:kinsoku/>
              <w:wordWrap/>
              <w:overflowPunct/>
              <w:topLinePunct w:val="0"/>
              <w:autoSpaceDE/>
              <w:autoSpaceDN/>
              <w:bidi w:val="0"/>
              <w:adjustRightInd/>
              <w:snapToGrid/>
              <w:spacing w:line="460" w:lineRule="atLeast"/>
              <w:ind w:firstLine="520" w:firstLineChars="200"/>
              <w:textAlignment w:val="auto"/>
              <w:rPr>
                <w:rFonts w:hint="default" w:ascii="Times New Roman" w:hAnsi="Times New Roman" w:eastAsia="宋体" w:cs="Times New Roman"/>
                <w:color w:val="auto"/>
                <w:sz w:val="26"/>
                <w:szCs w:val="26"/>
                <w:highlight w:val="none"/>
                <w:vertAlign w:val="baseline"/>
                <w:lang w:val="en-US" w:eastAsia="zh-CN"/>
              </w:rPr>
            </w:pPr>
          </w:p>
          <w:p w14:paraId="3705AB86">
            <w:pPr>
              <w:keepNext w:val="0"/>
              <w:keepLines w:val="0"/>
              <w:pageBreakBefore w:val="0"/>
              <w:widowControl w:val="0"/>
              <w:kinsoku/>
              <w:wordWrap/>
              <w:overflowPunct/>
              <w:topLinePunct w:val="0"/>
              <w:autoSpaceDE/>
              <w:autoSpaceDN/>
              <w:bidi w:val="0"/>
              <w:adjustRightInd/>
              <w:snapToGrid/>
              <w:spacing w:line="460" w:lineRule="atLeast"/>
              <w:ind w:firstLine="520" w:firstLineChars="200"/>
              <w:textAlignment w:val="auto"/>
              <w:rPr>
                <w:rFonts w:hint="default" w:ascii="Times New Roman" w:hAnsi="Times New Roman" w:eastAsia="宋体" w:cs="Times New Roman"/>
                <w:color w:val="auto"/>
                <w:sz w:val="26"/>
                <w:szCs w:val="26"/>
                <w:highlight w:val="none"/>
                <w:vertAlign w:val="baseline"/>
                <w:lang w:val="en-US" w:eastAsia="zh-CN"/>
              </w:rPr>
            </w:pPr>
          </w:p>
          <w:p w14:paraId="110F1873">
            <w:pPr>
              <w:keepNext w:val="0"/>
              <w:keepLines w:val="0"/>
              <w:pageBreakBefore w:val="0"/>
              <w:widowControl w:val="0"/>
              <w:kinsoku/>
              <w:wordWrap/>
              <w:overflowPunct/>
              <w:topLinePunct w:val="0"/>
              <w:autoSpaceDE/>
              <w:autoSpaceDN/>
              <w:bidi w:val="0"/>
              <w:adjustRightInd/>
              <w:snapToGrid/>
              <w:spacing w:line="460" w:lineRule="atLeast"/>
              <w:ind w:firstLine="520" w:firstLineChars="200"/>
              <w:textAlignment w:val="auto"/>
              <w:rPr>
                <w:rFonts w:hint="default" w:ascii="Times New Roman" w:hAnsi="Times New Roman" w:eastAsia="宋体" w:cs="Times New Roman"/>
                <w:color w:val="auto"/>
                <w:sz w:val="26"/>
                <w:szCs w:val="26"/>
                <w:highlight w:val="none"/>
                <w:vertAlign w:val="baseline"/>
                <w:lang w:val="en-US" w:eastAsia="zh-CN"/>
              </w:rPr>
            </w:pPr>
          </w:p>
          <w:p w14:paraId="7158AE49">
            <w:pPr>
              <w:keepNext w:val="0"/>
              <w:keepLines w:val="0"/>
              <w:pageBreakBefore w:val="0"/>
              <w:widowControl w:val="0"/>
              <w:kinsoku/>
              <w:wordWrap/>
              <w:overflowPunct/>
              <w:topLinePunct w:val="0"/>
              <w:autoSpaceDE/>
              <w:autoSpaceDN/>
              <w:bidi w:val="0"/>
              <w:adjustRightInd/>
              <w:snapToGrid/>
              <w:spacing w:line="460" w:lineRule="atLeast"/>
              <w:ind w:firstLine="520" w:firstLineChars="200"/>
              <w:textAlignment w:val="auto"/>
              <w:rPr>
                <w:rFonts w:hint="default" w:ascii="Times New Roman" w:hAnsi="Times New Roman" w:eastAsia="宋体" w:cs="Times New Roman"/>
                <w:color w:val="auto"/>
                <w:sz w:val="26"/>
                <w:szCs w:val="26"/>
                <w:highlight w:val="none"/>
                <w:vertAlign w:val="baseline"/>
                <w:lang w:val="en-US" w:eastAsia="zh-CN"/>
              </w:rPr>
            </w:pPr>
          </w:p>
          <w:p w14:paraId="4B7DB1E2">
            <w:pPr>
              <w:shd w:val="clear" w:color="auto" w:fill="auto"/>
              <w:adjustRightInd w:val="0"/>
              <w:snapToGrid w:val="0"/>
              <w:spacing w:line="460" w:lineRule="exact"/>
              <w:ind w:left="0" w:leftChars="0" w:firstLine="0" w:firstLineChars="0"/>
              <w:jc w:val="center"/>
              <w:rPr>
                <w:rFonts w:hint="default" w:ascii="Times New Roman" w:hAnsi="Times New Roman" w:eastAsia="宋体" w:cs="Times New Roman"/>
                <w:b/>
                <w:bCs/>
                <w:color w:val="auto"/>
                <w:sz w:val="26"/>
                <w:szCs w:val="26"/>
                <w:highlight w:val="none"/>
                <w:lang w:eastAsia="zh-CN"/>
              </w:rPr>
            </w:pPr>
            <w:r>
              <w:rPr>
                <w:rFonts w:hint="default" w:ascii="Times New Roman" w:hAnsi="Times New Roman" w:eastAsia="宋体" w:cs="Times New Roman"/>
                <w:b/>
                <w:bCs/>
                <w:color w:val="auto"/>
                <w:sz w:val="26"/>
                <w:szCs w:val="26"/>
                <w:highlight w:val="none"/>
                <w:lang w:val="en-US" w:eastAsia="zh-CN"/>
              </w:rPr>
              <w:t>表2.7-2</w:t>
            </w:r>
            <w:r>
              <w:rPr>
                <w:rFonts w:hint="default" w:ascii="Times New Roman" w:hAnsi="Times New Roman" w:eastAsia="宋体" w:cs="Times New Roman"/>
                <w:b/>
                <w:bCs/>
                <w:color w:val="auto"/>
                <w:sz w:val="26"/>
                <w:szCs w:val="26"/>
                <w:highlight w:val="none"/>
              </w:rPr>
              <w:t xml:space="preserve">  物料平衡</w:t>
            </w:r>
            <w:r>
              <w:rPr>
                <w:rFonts w:hint="eastAsia" w:ascii="Times New Roman" w:hAnsi="Times New Roman" w:eastAsia="宋体" w:cs="Times New Roman"/>
                <w:b/>
                <w:bCs/>
                <w:color w:val="auto"/>
                <w:sz w:val="26"/>
                <w:szCs w:val="26"/>
                <w:highlight w:val="none"/>
                <w:lang w:eastAsia="zh-CN"/>
              </w:rPr>
              <w:t>表</w:t>
            </w:r>
            <w:r>
              <w:rPr>
                <w:rFonts w:hint="default" w:ascii="Times New Roman" w:hAnsi="Times New Roman" w:eastAsia="宋体" w:cs="Times New Roman"/>
                <w:b/>
                <w:bCs/>
                <w:color w:val="auto"/>
                <w:sz w:val="26"/>
                <w:szCs w:val="26"/>
                <w:highlight w:val="none"/>
                <w:lang w:eastAsia="zh-CN"/>
              </w:rPr>
              <w:t>（</w:t>
            </w:r>
            <w:r>
              <w:rPr>
                <w:rFonts w:hint="default" w:ascii="Times New Roman" w:hAnsi="Times New Roman" w:eastAsia="宋体" w:cs="Times New Roman"/>
                <w:b/>
                <w:bCs/>
                <w:color w:val="auto"/>
                <w:sz w:val="26"/>
                <w:szCs w:val="26"/>
                <w:highlight w:val="none"/>
                <w:lang w:val="en-US" w:eastAsia="zh-CN"/>
              </w:rPr>
              <w:t>t/a</w:t>
            </w:r>
            <w:r>
              <w:rPr>
                <w:rFonts w:hint="default" w:ascii="Times New Roman" w:hAnsi="Times New Roman" w:eastAsia="宋体" w:cs="Times New Roman"/>
                <w:b/>
                <w:bCs/>
                <w:color w:val="auto"/>
                <w:sz w:val="26"/>
                <w:szCs w:val="26"/>
                <w:highlight w:val="none"/>
                <w:lang w:eastAsia="zh-CN"/>
              </w:rPr>
              <w:t>）</w:t>
            </w:r>
          </w:p>
          <w:tbl>
            <w:tblPr>
              <w:tblStyle w:val="26"/>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971"/>
              <w:gridCol w:w="868"/>
              <w:gridCol w:w="32"/>
              <w:gridCol w:w="836"/>
              <w:gridCol w:w="1657"/>
              <w:gridCol w:w="1341"/>
            </w:tblGrid>
            <w:tr w14:paraId="6DC0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11" w:type="dxa"/>
                  <w:gridSpan w:val="2"/>
                  <w:noWrap w:val="0"/>
                  <w:vAlign w:val="center"/>
                </w:tcPr>
                <w:p w14:paraId="2784B2E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投入</w:t>
                  </w:r>
                </w:p>
              </w:tc>
              <w:tc>
                <w:tcPr>
                  <w:tcW w:w="4734" w:type="dxa"/>
                  <w:gridSpan w:val="5"/>
                  <w:noWrap w:val="0"/>
                  <w:vAlign w:val="center"/>
                </w:tcPr>
                <w:p w14:paraId="5458165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产出</w:t>
                  </w:r>
                </w:p>
              </w:tc>
            </w:tr>
            <w:tr w14:paraId="2F7A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0" w:type="dxa"/>
                  <w:noWrap w:val="0"/>
                  <w:vAlign w:val="center"/>
                </w:tcPr>
                <w:p w14:paraId="3290DA8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名称</w:t>
                  </w:r>
                </w:p>
              </w:tc>
              <w:tc>
                <w:tcPr>
                  <w:tcW w:w="1971" w:type="dxa"/>
                  <w:noWrap w:val="0"/>
                  <w:vAlign w:val="center"/>
                </w:tcPr>
                <w:p w14:paraId="7522DEC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数量</w:t>
                  </w:r>
                </w:p>
              </w:tc>
              <w:tc>
                <w:tcPr>
                  <w:tcW w:w="3393" w:type="dxa"/>
                  <w:gridSpan w:val="4"/>
                  <w:noWrap w:val="0"/>
                  <w:vAlign w:val="center"/>
                </w:tcPr>
                <w:p w14:paraId="28FB2C5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名称</w:t>
                  </w:r>
                </w:p>
              </w:tc>
              <w:tc>
                <w:tcPr>
                  <w:tcW w:w="1341" w:type="dxa"/>
                  <w:noWrap w:val="0"/>
                  <w:vAlign w:val="center"/>
                </w:tcPr>
                <w:p w14:paraId="76C62F8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数量</w:t>
                  </w:r>
                </w:p>
              </w:tc>
            </w:tr>
            <w:tr w14:paraId="7865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0" w:type="dxa"/>
                  <w:noWrap w:val="0"/>
                  <w:vAlign w:val="center"/>
                </w:tcPr>
                <w:p w14:paraId="5226253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0"/>
                      <w:sz w:val="22"/>
                      <w:szCs w:val="22"/>
                      <w:lang w:val="en-US" w:eastAsia="zh-CN" w:bidi="ar-SA"/>
                    </w:rPr>
                  </w:pPr>
                  <w:r>
                    <w:rPr>
                      <w:rFonts w:hint="default" w:ascii="Times New Roman" w:hAnsi="Times New Roman" w:eastAsia="宋体" w:cs="Times New Roman"/>
                      <w:b w:val="0"/>
                      <w:bCs w:val="0"/>
                      <w:color w:val="auto"/>
                      <w:kern w:val="0"/>
                      <w:sz w:val="22"/>
                      <w:szCs w:val="22"/>
                      <w:lang w:val="en-US" w:eastAsia="zh-CN"/>
                    </w:rPr>
                    <w:t>纯铝液</w:t>
                  </w:r>
                </w:p>
              </w:tc>
              <w:tc>
                <w:tcPr>
                  <w:tcW w:w="1971" w:type="dxa"/>
                  <w:noWrap w:val="0"/>
                  <w:vAlign w:val="center"/>
                </w:tcPr>
                <w:p w14:paraId="1D409D50">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53500</w:t>
                  </w:r>
                </w:p>
              </w:tc>
              <w:tc>
                <w:tcPr>
                  <w:tcW w:w="3393" w:type="dxa"/>
                  <w:gridSpan w:val="4"/>
                  <w:noWrap w:val="0"/>
                  <w:vAlign w:val="center"/>
                </w:tcPr>
                <w:p w14:paraId="3059217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成品</w:t>
                  </w:r>
                </w:p>
              </w:tc>
              <w:tc>
                <w:tcPr>
                  <w:tcW w:w="1341" w:type="dxa"/>
                  <w:noWrap w:val="0"/>
                  <w:vAlign w:val="center"/>
                </w:tcPr>
                <w:p w14:paraId="6F5B17C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54004.685</w:t>
                  </w:r>
                </w:p>
              </w:tc>
            </w:tr>
            <w:tr w14:paraId="570D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0" w:type="dxa"/>
                  <w:noWrap w:val="0"/>
                  <w:vAlign w:val="center"/>
                </w:tcPr>
                <w:p w14:paraId="411B2569">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0"/>
                      <w:sz w:val="22"/>
                      <w:szCs w:val="22"/>
                      <w:lang w:val="en-US" w:eastAsia="zh-CN" w:bidi="ar-SA"/>
                    </w:rPr>
                  </w:pPr>
                  <w:r>
                    <w:rPr>
                      <w:rFonts w:hint="default" w:ascii="Times New Roman" w:hAnsi="Times New Roman" w:eastAsia="宋体" w:cs="Times New Roman"/>
                      <w:b w:val="0"/>
                      <w:bCs w:val="0"/>
                      <w:color w:val="auto"/>
                      <w:kern w:val="0"/>
                      <w:sz w:val="22"/>
                      <w:szCs w:val="22"/>
                      <w:lang w:val="en-US" w:eastAsia="zh-CN"/>
                    </w:rPr>
                    <w:t>工业硅</w:t>
                  </w:r>
                </w:p>
              </w:tc>
              <w:tc>
                <w:tcPr>
                  <w:tcW w:w="1971" w:type="dxa"/>
                  <w:noWrap w:val="0"/>
                  <w:vAlign w:val="center"/>
                </w:tcPr>
                <w:p w14:paraId="4FCC234F">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i w:val="0"/>
                      <w:iCs w:val="0"/>
                      <w:color w:val="auto"/>
                      <w:kern w:val="0"/>
                      <w:sz w:val="22"/>
                      <w:szCs w:val="22"/>
                      <w:u w:val="none"/>
                      <w:lang w:val="en-US" w:eastAsia="zh-CN" w:bidi="ar"/>
                    </w:rPr>
                    <w:t>1200</w:t>
                  </w:r>
                </w:p>
              </w:tc>
              <w:tc>
                <w:tcPr>
                  <w:tcW w:w="3393" w:type="dxa"/>
                  <w:gridSpan w:val="4"/>
                  <w:noWrap w:val="0"/>
                  <w:vAlign w:val="center"/>
                </w:tcPr>
                <w:p w14:paraId="01AEB7A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氩气</w:t>
                  </w:r>
                </w:p>
              </w:tc>
              <w:tc>
                <w:tcPr>
                  <w:tcW w:w="1341" w:type="dxa"/>
                  <w:noWrap w:val="0"/>
                  <w:vAlign w:val="center"/>
                </w:tcPr>
                <w:p w14:paraId="6F09331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5099</w:t>
                  </w:r>
                </w:p>
              </w:tc>
            </w:tr>
            <w:tr w14:paraId="522E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0" w:type="dxa"/>
                  <w:noWrap w:val="0"/>
                  <w:vAlign w:val="center"/>
                </w:tcPr>
                <w:p w14:paraId="63E47B8D">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0"/>
                      <w:sz w:val="22"/>
                      <w:szCs w:val="22"/>
                      <w:lang w:val="en-US" w:eastAsia="zh-CN" w:bidi="ar-SA"/>
                    </w:rPr>
                  </w:pPr>
                  <w:r>
                    <w:rPr>
                      <w:rFonts w:hint="default" w:ascii="Times New Roman" w:hAnsi="Times New Roman" w:eastAsia="宋体" w:cs="Times New Roman"/>
                      <w:b w:val="0"/>
                      <w:bCs w:val="0"/>
                      <w:color w:val="auto"/>
                      <w:kern w:val="0"/>
                      <w:sz w:val="22"/>
                      <w:szCs w:val="22"/>
                      <w:lang w:val="en-US" w:eastAsia="zh-CN"/>
                    </w:rPr>
                    <w:t>纯铁皮</w:t>
                  </w:r>
                </w:p>
              </w:tc>
              <w:tc>
                <w:tcPr>
                  <w:tcW w:w="1971" w:type="dxa"/>
                  <w:noWrap w:val="0"/>
                  <w:vAlign w:val="center"/>
                </w:tcPr>
                <w:p w14:paraId="6C4C2756">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i w:val="0"/>
                      <w:iCs w:val="0"/>
                      <w:color w:val="auto"/>
                      <w:kern w:val="0"/>
                      <w:sz w:val="22"/>
                      <w:szCs w:val="22"/>
                      <w:u w:val="none"/>
                      <w:lang w:val="en-US" w:eastAsia="zh-CN" w:bidi="ar"/>
                    </w:rPr>
                    <w:t>320</w:t>
                  </w:r>
                </w:p>
              </w:tc>
              <w:tc>
                <w:tcPr>
                  <w:tcW w:w="900" w:type="dxa"/>
                  <w:gridSpan w:val="2"/>
                  <w:vMerge w:val="restart"/>
                  <w:noWrap w:val="0"/>
                  <w:vAlign w:val="center"/>
                </w:tcPr>
                <w:p w14:paraId="57E06D44">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熔炼废气</w:t>
                  </w:r>
                </w:p>
              </w:tc>
              <w:tc>
                <w:tcPr>
                  <w:tcW w:w="836" w:type="dxa"/>
                  <w:vMerge w:val="restart"/>
                  <w:noWrap w:val="0"/>
                  <w:vAlign w:val="center"/>
                </w:tcPr>
                <w:p w14:paraId="2872AB4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有组织</w:t>
                  </w:r>
                </w:p>
              </w:tc>
              <w:tc>
                <w:tcPr>
                  <w:tcW w:w="1657" w:type="dxa"/>
                  <w:noWrap w:val="0"/>
                  <w:vAlign w:val="center"/>
                </w:tcPr>
                <w:p w14:paraId="1109D28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颗粒物</w:t>
                  </w:r>
                </w:p>
              </w:tc>
              <w:tc>
                <w:tcPr>
                  <w:tcW w:w="1341" w:type="dxa"/>
                  <w:noWrap w:val="0"/>
                  <w:vAlign w:val="center"/>
                </w:tcPr>
                <w:p w14:paraId="1393378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3.5477</w:t>
                  </w:r>
                </w:p>
              </w:tc>
            </w:tr>
            <w:tr w14:paraId="3A0F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0" w:type="dxa"/>
                  <w:noWrap w:val="0"/>
                  <w:vAlign w:val="center"/>
                </w:tcPr>
                <w:p w14:paraId="5D77F3F4">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0"/>
                      <w:sz w:val="22"/>
                      <w:szCs w:val="22"/>
                      <w:lang w:val="en-US" w:eastAsia="zh-CN" w:bidi="ar-SA"/>
                    </w:rPr>
                  </w:pPr>
                  <w:r>
                    <w:rPr>
                      <w:rFonts w:hint="default" w:ascii="Times New Roman" w:hAnsi="Times New Roman" w:eastAsia="宋体" w:cs="Times New Roman"/>
                      <w:b w:val="0"/>
                      <w:bCs w:val="0"/>
                      <w:color w:val="auto"/>
                      <w:kern w:val="0"/>
                      <w:sz w:val="22"/>
                      <w:szCs w:val="22"/>
                      <w:lang w:val="en-US" w:eastAsia="zh-CN"/>
                    </w:rPr>
                    <w:t>阴极铜</w:t>
                  </w:r>
                </w:p>
              </w:tc>
              <w:tc>
                <w:tcPr>
                  <w:tcW w:w="1971" w:type="dxa"/>
                  <w:noWrap w:val="0"/>
                  <w:vAlign w:val="center"/>
                </w:tcPr>
                <w:p w14:paraId="666846AB">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i w:val="0"/>
                      <w:iCs w:val="0"/>
                      <w:color w:val="auto"/>
                      <w:kern w:val="0"/>
                      <w:sz w:val="22"/>
                      <w:szCs w:val="22"/>
                      <w:u w:val="none"/>
                      <w:lang w:val="en-US" w:eastAsia="zh-CN" w:bidi="ar"/>
                    </w:rPr>
                    <w:t>700</w:t>
                  </w:r>
                </w:p>
              </w:tc>
              <w:tc>
                <w:tcPr>
                  <w:tcW w:w="900" w:type="dxa"/>
                  <w:gridSpan w:val="2"/>
                  <w:vMerge w:val="continue"/>
                  <w:noWrap w:val="0"/>
                  <w:vAlign w:val="center"/>
                </w:tcPr>
                <w:p w14:paraId="463EA96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p>
              </w:tc>
              <w:tc>
                <w:tcPr>
                  <w:tcW w:w="836" w:type="dxa"/>
                  <w:vMerge w:val="continue"/>
                  <w:noWrap w:val="0"/>
                  <w:vAlign w:val="center"/>
                </w:tcPr>
                <w:p w14:paraId="6B45484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p>
              </w:tc>
              <w:tc>
                <w:tcPr>
                  <w:tcW w:w="1657" w:type="dxa"/>
                  <w:noWrap w:val="0"/>
                  <w:vAlign w:val="center"/>
                </w:tcPr>
                <w:p w14:paraId="1905649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其他</w:t>
                  </w:r>
                </w:p>
              </w:tc>
              <w:tc>
                <w:tcPr>
                  <w:tcW w:w="1341" w:type="dxa"/>
                  <w:noWrap w:val="0"/>
                  <w:vAlign w:val="center"/>
                </w:tcPr>
                <w:p w14:paraId="630FF384">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13.153</w:t>
                  </w:r>
                </w:p>
              </w:tc>
            </w:tr>
            <w:tr w14:paraId="724F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0" w:type="dxa"/>
                  <w:noWrap w:val="0"/>
                  <w:vAlign w:val="center"/>
                </w:tcPr>
                <w:p w14:paraId="4831E430">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0"/>
                      <w:sz w:val="22"/>
                      <w:szCs w:val="22"/>
                      <w:lang w:val="en-US" w:eastAsia="zh-CN" w:bidi="ar-SA"/>
                    </w:rPr>
                  </w:pPr>
                  <w:r>
                    <w:rPr>
                      <w:rFonts w:hint="default" w:ascii="Times New Roman" w:hAnsi="Times New Roman" w:eastAsia="宋体" w:cs="Times New Roman"/>
                      <w:b w:val="0"/>
                      <w:bCs w:val="0"/>
                      <w:color w:val="auto"/>
                      <w:kern w:val="0"/>
                      <w:sz w:val="22"/>
                      <w:szCs w:val="22"/>
                      <w:lang w:val="en-US" w:eastAsia="zh-CN"/>
                    </w:rPr>
                    <w:t>金属锰</w:t>
                  </w:r>
                </w:p>
              </w:tc>
              <w:tc>
                <w:tcPr>
                  <w:tcW w:w="1971" w:type="dxa"/>
                  <w:noWrap w:val="0"/>
                  <w:vAlign w:val="center"/>
                </w:tcPr>
                <w:p w14:paraId="06B85564">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900" w:type="dxa"/>
                  <w:gridSpan w:val="2"/>
                  <w:vMerge w:val="continue"/>
                  <w:noWrap w:val="0"/>
                  <w:vAlign w:val="center"/>
                </w:tcPr>
                <w:p w14:paraId="2D6C97E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p>
              </w:tc>
              <w:tc>
                <w:tcPr>
                  <w:tcW w:w="836" w:type="dxa"/>
                  <w:vMerge w:val="restart"/>
                  <w:noWrap w:val="0"/>
                  <w:vAlign w:val="center"/>
                </w:tcPr>
                <w:p w14:paraId="100306C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无组织</w:t>
                  </w:r>
                </w:p>
              </w:tc>
              <w:tc>
                <w:tcPr>
                  <w:tcW w:w="1657" w:type="dxa"/>
                  <w:noWrap w:val="0"/>
                  <w:vAlign w:val="center"/>
                </w:tcPr>
                <w:p w14:paraId="566F062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kern w:val="2"/>
                      <w:sz w:val="22"/>
                      <w:szCs w:val="22"/>
                      <w:highlight w:val="none"/>
                      <w:vertAlign w:val="baseline"/>
                      <w:lang w:val="en-US" w:eastAsia="zh-CN" w:bidi="ar-SA"/>
                    </w:rPr>
                  </w:pPr>
                  <w:r>
                    <w:rPr>
                      <w:rFonts w:hint="default" w:ascii="Times New Roman" w:hAnsi="Times New Roman" w:eastAsia="宋体" w:cs="Times New Roman"/>
                      <w:b w:val="0"/>
                      <w:bCs w:val="0"/>
                      <w:color w:val="auto"/>
                      <w:sz w:val="22"/>
                      <w:szCs w:val="22"/>
                      <w:highlight w:val="none"/>
                      <w:vertAlign w:val="baseline"/>
                      <w:lang w:eastAsia="zh-CN"/>
                    </w:rPr>
                    <w:t>颗粒物</w:t>
                  </w:r>
                </w:p>
              </w:tc>
              <w:tc>
                <w:tcPr>
                  <w:tcW w:w="1341" w:type="dxa"/>
                  <w:noWrap w:val="0"/>
                  <w:vAlign w:val="center"/>
                </w:tcPr>
                <w:p w14:paraId="3B2CA81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5.403</w:t>
                  </w:r>
                </w:p>
              </w:tc>
            </w:tr>
            <w:tr w14:paraId="6183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0" w:type="dxa"/>
                  <w:noWrap w:val="0"/>
                  <w:vAlign w:val="center"/>
                </w:tcPr>
                <w:p w14:paraId="1A29DE32">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0"/>
                      <w:sz w:val="22"/>
                      <w:szCs w:val="22"/>
                      <w:lang w:val="en-US" w:eastAsia="zh-CN" w:bidi="ar-SA"/>
                    </w:rPr>
                  </w:pPr>
                  <w:r>
                    <w:rPr>
                      <w:rFonts w:hint="default" w:ascii="Times New Roman" w:hAnsi="Times New Roman" w:eastAsia="宋体" w:cs="Times New Roman"/>
                      <w:b w:val="0"/>
                      <w:bCs w:val="0"/>
                      <w:color w:val="auto"/>
                      <w:kern w:val="0"/>
                      <w:sz w:val="22"/>
                      <w:szCs w:val="22"/>
                      <w:lang w:val="en-US" w:eastAsia="zh-CN"/>
                    </w:rPr>
                    <w:t>镁锭</w:t>
                  </w:r>
                </w:p>
              </w:tc>
              <w:tc>
                <w:tcPr>
                  <w:tcW w:w="1971" w:type="dxa"/>
                  <w:noWrap w:val="0"/>
                  <w:vAlign w:val="center"/>
                </w:tcPr>
                <w:p w14:paraId="4BDCDF48">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i w:val="0"/>
                      <w:iCs w:val="0"/>
                      <w:color w:val="auto"/>
                      <w:kern w:val="0"/>
                      <w:sz w:val="22"/>
                      <w:szCs w:val="22"/>
                      <w:u w:val="none"/>
                      <w:lang w:val="en-US" w:eastAsia="zh-CN" w:bidi="ar"/>
                    </w:rPr>
                    <w:t>950</w:t>
                  </w:r>
                </w:p>
              </w:tc>
              <w:tc>
                <w:tcPr>
                  <w:tcW w:w="900" w:type="dxa"/>
                  <w:gridSpan w:val="2"/>
                  <w:vMerge w:val="continue"/>
                  <w:noWrap w:val="0"/>
                  <w:vAlign w:val="center"/>
                </w:tcPr>
                <w:p w14:paraId="65BED4A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p>
              </w:tc>
              <w:tc>
                <w:tcPr>
                  <w:tcW w:w="836" w:type="dxa"/>
                  <w:vMerge w:val="continue"/>
                  <w:noWrap w:val="0"/>
                  <w:vAlign w:val="center"/>
                </w:tcPr>
                <w:p w14:paraId="149BBC3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p>
              </w:tc>
              <w:tc>
                <w:tcPr>
                  <w:tcW w:w="1657" w:type="dxa"/>
                  <w:noWrap w:val="0"/>
                  <w:vAlign w:val="center"/>
                </w:tcPr>
                <w:p w14:paraId="24CC1DC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kern w:val="2"/>
                      <w:sz w:val="22"/>
                      <w:szCs w:val="22"/>
                      <w:highlight w:val="none"/>
                      <w:vertAlign w:val="baseline"/>
                      <w:lang w:val="en-US" w:eastAsia="zh-CN" w:bidi="ar-SA"/>
                    </w:rPr>
                  </w:pPr>
                  <w:r>
                    <w:rPr>
                      <w:rFonts w:hint="default" w:ascii="Times New Roman" w:hAnsi="Times New Roman" w:eastAsia="宋体" w:cs="Times New Roman"/>
                      <w:b w:val="0"/>
                      <w:bCs w:val="0"/>
                      <w:color w:val="auto"/>
                      <w:sz w:val="22"/>
                      <w:szCs w:val="22"/>
                      <w:highlight w:val="none"/>
                      <w:vertAlign w:val="baseline"/>
                      <w:lang w:eastAsia="zh-CN"/>
                    </w:rPr>
                    <w:t>其他</w:t>
                  </w:r>
                </w:p>
              </w:tc>
              <w:tc>
                <w:tcPr>
                  <w:tcW w:w="1341" w:type="dxa"/>
                  <w:noWrap w:val="0"/>
                  <w:vAlign w:val="center"/>
                </w:tcPr>
                <w:p w14:paraId="3A60250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0.2</w:t>
                  </w:r>
                </w:p>
              </w:tc>
            </w:tr>
            <w:tr w14:paraId="03D7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0" w:type="dxa"/>
                  <w:noWrap w:val="0"/>
                  <w:vAlign w:val="center"/>
                </w:tcPr>
                <w:p w14:paraId="36A74B14">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0"/>
                      <w:sz w:val="22"/>
                      <w:szCs w:val="22"/>
                      <w:lang w:val="en-US" w:eastAsia="zh-CN" w:bidi="ar-SA"/>
                    </w:rPr>
                  </w:pPr>
                  <w:r>
                    <w:rPr>
                      <w:rFonts w:hint="default" w:ascii="Times New Roman" w:hAnsi="Times New Roman" w:eastAsia="宋体" w:cs="Times New Roman"/>
                      <w:b w:val="0"/>
                      <w:bCs w:val="0"/>
                      <w:color w:val="auto"/>
                      <w:kern w:val="0"/>
                      <w:sz w:val="22"/>
                      <w:szCs w:val="22"/>
                      <w:lang w:val="en-US" w:eastAsia="zh-CN"/>
                    </w:rPr>
                    <w:t>锌锭</w:t>
                  </w:r>
                </w:p>
              </w:tc>
              <w:tc>
                <w:tcPr>
                  <w:tcW w:w="1971" w:type="dxa"/>
                  <w:noWrap w:val="0"/>
                  <w:vAlign w:val="center"/>
                </w:tcPr>
                <w:p w14:paraId="022080E4">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900" w:type="dxa"/>
                  <w:gridSpan w:val="2"/>
                  <w:vMerge w:val="continue"/>
                  <w:noWrap w:val="0"/>
                  <w:vAlign w:val="center"/>
                </w:tcPr>
                <w:p w14:paraId="7D841DCB">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p>
              </w:tc>
              <w:tc>
                <w:tcPr>
                  <w:tcW w:w="836" w:type="dxa"/>
                  <w:noWrap w:val="0"/>
                  <w:vAlign w:val="center"/>
                </w:tcPr>
                <w:p w14:paraId="54A40A0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处理量</w:t>
                  </w:r>
                </w:p>
              </w:tc>
              <w:tc>
                <w:tcPr>
                  <w:tcW w:w="1657" w:type="dxa"/>
                  <w:noWrap w:val="0"/>
                  <w:vAlign w:val="center"/>
                </w:tcPr>
                <w:p w14:paraId="7AE2528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颗粒物</w:t>
                  </w:r>
                </w:p>
              </w:tc>
              <w:tc>
                <w:tcPr>
                  <w:tcW w:w="1341" w:type="dxa"/>
                  <w:noWrap w:val="0"/>
                  <w:vAlign w:val="center"/>
                </w:tcPr>
                <w:p w14:paraId="320EB4C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351.23</w:t>
                  </w:r>
                </w:p>
              </w:tc>
            </w:tr>
            <w:tr w14:paraId="1B67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0" w:type="dxa"/>
                  <w:noWrap w:val="0"/>
                  <w:vAlign w:val="center"/>
                </w:tcPr>
                <w:p w14:paraId="08F33E6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0"/>
                      <w:sz w:val="22"/>
                      <w:szCs w:val="22"/>
                      <w:lang w:val="en-US" w:eastAsia="zh-CN" w:bidi="ar-SA"/>
                    </w:rPr>
                  </w:pPr>
                  <w:r>
                    <w:rPr>
                      <w:rFonts w:hint="default" w:ascii="Times New Roman" w:hAnsi="Times New Roman" w:eastAsia="宋体" w:cs="Times New Roman"/>
                      <w:b w:val="0"/>
                      <w:bCs w:val="0"/>
                      <w:color w:val="auto"/>
                      <w:kern w:val="0"/>
                      <w:sz w:val="22"/>
                      <w:szCs w:val="22"/>
                      <w:lang w:val="en-US" w:eastAsia="zh-CN"/>
                    </w:rPr>
                    <w:t>锶</w:t>
                  </w:r>
                </w:p>
              </w:tc>
              <w:tc>
                <w:tcPr>
                  <w:tcW w:w="1971" w:type="dxa"/>
                  <w:noWrap w:val="0"/>
                  <w:vAlign w:val="center"/>
                </w:tcPr>
                <w:p w14:paraId="206E0205">
                  <w:pPr>
                    <w:keepNext w:val="0"/>
                    <w:keepLines w:val="0"/>
                    <w:widowControl/>
                    <w:suppressLineNumbers w:val="0"/>
                    <w:jc w:val="center"/>
                    <w:textAlignment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i w:val="0"/>
                      <w:iCs w:val="0"/>
                      <w:color w:val="auto"/>
                      <w:kern w:val="0"/>
                      <w:sz w:val="22"/>
                      <w:szCs w:val="22"/>
                      <w:u w:val="none"/>
                      <w:lang w:val="en-US" w:eastAsia="zh-CN" w:bidi="ar"/>
                    </w:rPr>
                    <w:t>1.5</w:t>
                  </w:r>
                </w:p>
              </w:tc>
              <w:tc>
                <w:tcPr>
                  <w:tcW w:w="3393" w:type="dxa"/>
                  <w:gridSpan w:val="4"/>
                  <w:noWrap w:val="0"/>
                  <w:vAlign w:val="center"/>
                </w:tcPr>
                <w:p w14:paraId="2DDB34D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烧损</w:t>
                  </w:r>
                </w:p>
              </w:tc>
              <w:tc>
                <w:tcPr>
                  <w:tcW w:w="1341" w:type="dxa"/>
                  <w:noWrap w:val="0"/>
                  <w:vAlign w:val="center"/>
                </w:tcPr>
                <w:p w14:paraId="762BD72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82.016</w:t>
                  </w:r>
                </w:p>
              </w:tc>
            </w:tr>
            <w:tr w14:paraId="76D1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0" w:type="dxa"/>
                  <w:noWrap w:val="0"/>
                  <w:vAlign w:val="center"/>
                </w:tcPr>
                <w:p w14:paraId="01EB3157">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0"/>
                      <w:sz w:val="22"/>
                      <w:szCs w:val="22"/>
                      <w:lang w:val="en-US" w:eastAsia="zh-CN" w:bidi="ar-SA"/>
                    </w:rPr>
                  </w:pPr>
                  <w:r>
                    <w:rPr>
                      <w:rFonts w:hint="default" w:ascii="Times New Roman" w:hAnsi="Times New Roman" w:eastAsia="宋体" w:cs="Times New Roman"/>
                      <w:b w:val="0"/>
                      <w:bCs w:val="0"/>
                      <w:color w:val="auto"/>
                      <w:kern w:val="0"/>
                      <w:sz w:val="22"/>
                      <w:szCs w:val="22"/>
                      <w:lang w:val="en-US" w:eastAsia="zh-CN"/>
                    </w:rPr>
                    <w:t>铝-钛-硼线杆</w:t>
                  </w:r>
                </w:p>
              </w:tc>
              <w:tc>
                <w:tcPr>
                  <w:tcW w:w="1971" w:type="dxa"/>
                  <w:noWrap w:val="0"/>
                  <w:vAlign w:val="center"/>
                </w:tcPr>
                <w:p w14:paraId="5AB036F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15</w:t>
                  </w:r>
                </w:p>
              </w:tc>
              <w:tc>
                <w:tcPr>
                  <w:tcW w:w="3393" w:type="dxa"/>
                  <w:gridSpan w:val="4"/>
                  <w:noWrap w:val="0"/>
                  <w:vAlign w:val="center"/>
                </w:tcPr>
                <w:p w14:paraId="35639EB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二次铝灰</w:t>
                  </w:r>
                </w:p>
              </w:tc>
              <w:tc>
                <w:tcPr>
                  <w:tcW w:w="1341" w:type="dxa"/>
                  <w:noWrap w:val="0"/>
                  <w:vAlign w:val="center"/>
                </w:tcPr>
                <w:p w14:paraId="026B0A9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2775.384</w:t>
                  </w:r>
                </w:p>
              </w:tc>
            </w:tr>
            <w:tr w14:paraId="7B23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0" w:type="dxa"/>
                  <w:noWrap w:val="0"/>
                  <w:vAlign w:val="center"/>
                </w:tcPr>
                <w:p w14:paraId="44C31105">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0"/>
                      <w:sz w:val="22"/>
                      <w:szCs w:val="22"/>
                      <w:lang w:val="en-US" w:eastAsia="zh-CN" w:bidi="ar-SA"/>
                    </w:rPr>
                  </w:pPr>
                  <w:r>
                    <w:rPr>
                      <w:rFonts w:hint="default" w:ascii="Times New Roman" w:hAnsi="Times New Roman" w:eastAsia="宋体" w:cs="Times New Roman"/>
                      <w:b w:val="0"/>
                      <w:bCs w:val="0"/>
                      <w:color w:val="auto"/>
                      <w:kern w:val="0"/>
                      <w:sz w:val="22"/>
                      <w:szCs w:val="22"/>
                      <w:lang w:val="en-US" w:eastAsia="zh-CN"/>
                    </w:rPr>
                    <w:t>精炼剂</w:t>
                  </w:r>
                </w:p>
              </w:tc>
              <w:tc>
                <w:tcPr>
                  <w:tcW w:w="1971" w:type="dxa"/>
                  <w:noWrap w:val="0"/>
                  <w:vAlign w:val="center"/>
                </w:tcPr>
                <w:p w14:paraId="11F78C9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82.385</w:t>
                  </w:r>
                </w:p>
              </w:tc>
              <w:tc>
                <w:tcPr>
                  <w:tcW w:w="3393" w:type="dxa"/>
                  <w:gridSpan w:val="4"/>
                  <w:noWrap w:val="0"/>
                  <w:vAlign w:val="center"/>
                </w:tcPr>
                <w:p w14:paraId="26D7CB4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含油废铝料</w:t>
                  </w:r>
                </w:p>
              </w:tc>
              <w:tc>
                <w:tcPr>
                  <w:tcW w:w="1341" w:type="dxa"/>
                  <w:noWrap w:val="0"/>
                  <w:vAlign w:val="center"/>
                </w:tcPr>
                <w:p w14:paraId="2AE137A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231.44865</w:t>
                  </w:r>
                </w:p>
              </w:tc>
            </w:tr>
            <w:tr w14:paraId="3C7D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40" w:type="dxa"/>
                  <w:vMerge w:val="restart"/>
                  <w:noWrap w:val="0"/>
                  <w:vAlign w:val="center"/>
                </w:tcPr>
                <w:p w14:paraId="76F76AE9">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0"/>
                      <w:sz w:val="22"/>
                      <w:szCs w:val="22"/>
                      <w:lang w:val="en-US" w:eastAsia="zh-CN" w:bidi="ar-SA"/>
                    </w:rPr>
                  </w:pPr>
                  <w:r>
                    <w:rPr>
                      <w:rFonts w:hint="default" w:ascii="Times New Roman" w:hAnsi="Times New Roman" w:eastAsia="宋体" w:cs="Times New Roman"/>
                      <w:b w:val="0"/>
                      <w:bCs w:val="0"/>
                      <w:color w:val="auto"/>
                      <w:kern w:val="0"/>
                      <w:sz w:val="22"/>
                      <w:szCs w:val="22"/>
                      <w:lang w:val="en-US" w:eastAsia="zh-CN"/>
                    </w:rPr>
                    <w:t>氩气</w:t>
                  </w:r>
                </w:p>
              </w:tc>
              <w:tc>
                <w:tcPr>
                  <w:tcW w:w="1971" w:type="dxa"/>
                  <w:vMerge w:val="restart"/>
                  <w:noWrap w:val="0"/>
                  <w:vAlign w:val="center"/>
                </w:tcPr>
                <w:p w14:paraId="663E8E5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5099</w:t>
                  </w:r>
                </w:p>
              </w:tc>
              <w:tc>
                <w:tcPr>
                  <w:tcW w:w="868" w:type="dxa"/>
                  <w:vMerge w:val="restart"/>
                  <w:noWrap w:val="0"/>
                  <w:vAlign w:val="center"/>
                </w:tcPr>
                <w:p w14:paraId="5CCF721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铝回收装置废气</w:t>
                  </w:r>
                </w:p>
              </w:tc>
              <w:tc>
                <w:tcPr>
                  <w:tcW w:w="868" w:type="dxa"/>
                  <w:gridSpan w:val="2"/>
                  <w:vMerge w:val="restart"/>
                  <w:noWrap w:val="0"/>
                  <w:vAlign w:val="center"/>
                </w:tcPr>
                <w:p w14:paraId="50E45A4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有组织</w:t>
                  </w:r>
                </w:p>
              </w:tc>
              <w:tc>
                <w:tcPr>
                  <w:tcW w:w="1657" w:type="dxa"/>
                  <w:noWrap w:val="0"/>
                  <w:vAlign w:val="center"/>
                </w:tcPr>
                <w:p w14:paraId="30A1C75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颗粒物</w:t>
                  </w:r>
                </w:p>
              </w:tc>
              <w:tc>
                <w:tcPr>
                  <w:tcW w:w="1341" w:type="dxa"/>
                  <w:noWrap w:val="0"/>
                  <w:vAlign w:val="center"/>
                </w:tcPr>
                <w:p w14:paraId="7B4C150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1</w:t>
                  </w:r>
                </w:p>
              </w:tc>
            </w:tr>
            <w:tr w14:paraId="1E6ED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40" w:type="dxa"/>
                  <w:vMerge w:val="continue"/>
                  <w:noWrap w:val="0"/>
                  <w:vAlign w:val="center"/>
                </w:tcPr>
                <w:p w14:paraId="021930B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2"/>
                      <w:szCs w:val="22"/>
                    </w:rPr>
                  </w:pPr>
                </w:p>
              </w:tc>
              <w:tc>
                <w:tcPr>
                  <w:tcW w:w="1971" w:type="dxa"/>
                  <w:vMerge w:val="continue"/>
                  <w:noWrap w:val="0"/>
                  <w:vAlign w:val="center"/>
                </w:tcPr>
                <w:p w14:paraId="4DA66D5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2"/>
                      <w:szCs w:val="22"/>
                    </w:rPr>
                  </w:pPr>
                </w:p>
              </w:tc>
              <w:tc>
                <w:tcPr>
                  <w:tcW w:w="868" w:type="dxa"/>
                  <w:vMerge w:val="continue"/>
                  <w:noWrap w:val="0"/>
                  <w:vAlign w:val="center"/>
                </w:tcPr>
                <w:p w14:paraId="78F9B13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2"/>
                      <w:szCs w:val="22"/>
                    </w:rPr>
                  </w:pPr>
                </w:p>
              </w:tc>
              <w:tc>
                <w:tcPr>
                  <w:tcW w:w="868" w:type="dxa"/>
                  <w:gridSpan w:val="2"/>
                  <w:vMerge w:val="continue"/>
                  <w:noWrap w:val="0"/>
                  <w:vAlign w:val="center"/>
                </w:tcPr>
                <w:p w14:paraId="4A6573C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2"/>
                      <w:szCs w:val="22"/>
                    </w:rPr>
                  </w:pPr>
                </w:p>
              </w:tc>
              <w:tc>
                <w:tcPr>
                  <w:tcW w:w="1657" w:type="dxa"/>
                  <w:noWrap w:val="0"/>
                  <w:vAlign w:val="center"/>
                </w:tcPr>
                <w:p w14:paraId="1E8E130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其他</w:t>
                  </w:r>
                </w:p>
              </w:tc>
              <w:tc>
                <w:tcPr>
                  <w:tcW w:w="1341" w:type="dxa"/>
                  <w:noWrap w:val="0"/>
                  <w:vAlign w:val="center"/>
                </w:tcPr>
                <w:p w14:paraId="31FE095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val="en-US" w:eastAsia="zh-CN"/>
                    </w:rPr>
                    <w:t>1.093</w:t>
                  </w:r>
                </w:p>
              </w:tc>
            </w:tr>
            <w:tr w14:paraId="0EF31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40" w:type="dxa"/>
                  <w:vMerge w:val="restart"/>
                  <w:noWrap w:val="0"/>
                  <w:vAlign w:val="center"/>
                </w:tcPr>
                <w:p w14:paraId="5D8E9641">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0"/>
                      <w:sz w:val="22"/>
                      <w:szCs w:val="22"/>
                      <w:lang w:val="en-US" w:eastAsia="zh-CN"/>
                    </w:rPr>
                  </w:pPr>
                  <w:r>
                    <w:rPr>
                      <w:rFonts w:hint="default" w:ascii="Times New Roman" w:hAnsi="Times New Roman" w:eastAsia="宋体" w:cs="Times New Roman"/>
                      <w:b w:val="0"/>
                      <w:bCs w:val="0"/>
                      <w:color w:val="auto"/>
                      <w:kern w:val="0"/>
                      <w:sz w:val="22"/>
                      <w:szCs w:val="22"/>
                      <w:lang w:val="en-US" w:eastAsia="zh-CN"/>
                    </w:rPr>
                    <w:t>切削液</w:t>
                  </w:r>
                </w:p>
              </w:tc>
              <w:tc>
                <w:tcPr>
                  <w:tcW w:w="1971" w:type="dxa"/>
                  <w:vMerge w:val="restart"/>
                  <w:noWrap w:val="0"/>
                  <w:vAlign w:val="center"/>
                </w:tcPr>
                <w:p w14:paraId="6463BD4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0.25</w:t>
                  </w:r>
                </w:p>
              </w:tc>
              <w:tc>
                <w:tcPr>
                  <w:tcW w:w="868" w:type="dxa"/>
                  <w:vMerge w:val="continue"/>
                  <w:noWrap w:val="0"/>
                  <w:vAlign w:val="center"/>
                </w:tcPr>
                <w:p w14:paraId="0A9A5B44">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p>
              </w:tc>
              <w:tc>
                <w:tcPr>
                  <w:tcW w:w="868" w:type="dxa"/>
                  <w:gridSpan w:val="2"/>
                  <w:vMerge w:val="restart"/>
                  <w:noWrap w:val="0"/>
                  <w:vAlign w:val="center"/>
                </w:tcPr>
                <w:p w14:paraId="03C7A10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无组织</w:t>
                  </w:r>
                </w:p>
              </w:tc>
              <w:tc>
                <w:tcPr>
                  <w:tcW w:w="1657" w:type="dxa"/>
                  <w:noWrap w:val="0"/>
                  <w:vAlign w:val="center"/>
                </w:tcPr>
                <w:p w14:paraId="1D86659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颗粒物</w:t>
                  </w:r>
                </w:p>
              </w:tc>
              <w:tc>
                <w:tcPr>
                  <w:tcW w:w="1341" w:type="dxa"/>
                  <w:noWrap w:val="0"/>
                  <w:vAlign w:val="center"/>
                </w:tcPr>
                <w:p w14:paraId="6189D1C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1.01</w:t>
                  </w:r>
                </w:p>
              </w:tc>
            </w:tr>
            <w:tr w14:paraId="532B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40" w:type="dxa"/>
                  <w:vMerge w:val="continue"/>
                  <w:noWrap w:val="0"/>
                  <w:vAlign w:val="center"/>
                </w:tcPr>
                <w:p w14:paraId="78F2513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2"/>
                      <w:szCs w:val="22"/>
                    </w:rPr>
                  </w:pPr>
                </w:p>
              </w:tc>
              <w:tc>
                <w:tcPr>
                  <w:tcW w:w="1971" w:type="dxa"/>
                  <w:vMerge w:val="continue"/>
                  <w:noWrap w:val="0"/>
                  <w:vAlign w:val="center"/>
                </w:tcPr>
                <w:p w14:paraId="14B5CAE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2"/>
                      <w:szCs w:val="22"/>
                    </w:rPr>
                  </w:pPr>
                </w:p>
              </w:tc>
              <w:tc>
                <w:tcPr>
                  <w:tcW w:w="868" w:type="dxa"/>
                  <w:vMerge w:val="continue"/>
                  <w:noWrap w:val="0"/>
                  <w:vAlign w:val="center"/>
                </w:tcPr>
                <w:p w14:paraId="67FAE02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2"/>
                      <w:szCs w:val="22"/>
                    </w:rPr>
                  </w:pPr>
                </w:p>
              </w:tc>
              <w:tc>
                <w:tcPr>
                  <w:tcW w:w="868" w:type="dxa"/>
                  <w:gridSpan w:val="2"/>
                  <w:vMerge w:val="continue"/>
                  <w:noWrap w:val="0"/>
                  <w:vAlign w:val="center"/>
                </w:tcPr>
                <w:p w14:paraId="6B84DF0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2"/>
                      <w:szCs w:val="22"/>
                    </w:rPr>
                  </w:pPr>
                </w:p>
              </w:tc>
              <w:tc>
                <w:tcPr>
                  <w:tcW w:w="1657" w:type="dxa"/>
                  <w:noWrap w:val="0"/>
                  <w:vAlign w:val="center"/>
                </w:tcPr>
                <w:p w14:paraId="48E4EEB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其他</w:t>
                  </w:r>
                </w:p>
              </w:tc>
              <w:tc>
                <w:tcPr>
                  <w:tcW w:w="1341" w:type="dxa"/>
                  <w:noWrap w:val="0"/>
                  <w:vAlign w:val="center"/>
                </w:tcPr>
                <w:p w14:paraId="1DE0EC6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0.0109</w:t>
                  </w:r>
                </w:p>
              </w:tc>
            </w:tr>
            <w:tr w14:paraId="6822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40" w:type="dxa"/>
                  <w:vMerge w:val="continue"/>
                  <w:noWrap w:val="0"/>
                  <w:vAlign w:val="center"/>
                </w:tcPr>
                <w:p w14:paraId="597E114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2"/>
                      <w:szCs w:val="22"/>
                    </w:rPr>
                  </w:pPr>
                </w:p>
              </w:tc>
              <w:tc>
                <w:tcPr>
                  <w:tcW w:w="1971" w:type="dxa"/>
                  <w:vMerge w:val="continue"/>
                  <w:noWrap w:val="0"/>
                  <w:vAlign w:val="center"/>
                </w:tcPr>
                <w:p w14:paraId="7902FFA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2"/>
                      <w:szCs w:val="22"/>
                    </w:rPr>
                  </w:pPr>
                </w:p>
              </w:tc>
              <w:tc>
                <w:tcPr>
                  <w:tcW w:w="868" w:type="dxa"/>
                  <w:vMerge w:val="continue"/>
                  <w:noWrap w:val="0"/>
                  <w:vAlign w:val="center"/>
                </w:tcPr>
                <w:p w14:paraId="2FDAB60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2"/>
                      <w:szCs w:val="22"/>
                    </w:rPr>
                  </w:pPr>
                </w:p>
              </w:tc>
              <w:tc>
                <w:tcPr>
                  <w:tcW w:w="868" w:type="dxa"/>
                  <w:gridSpan w:val="2"/>
                  <w:noWrap w:val="0"/>
                  <w:vAlign w:val="center"/>
                </w:tcPr>
                <w:p w14:paraId="28ECB21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lang w:eastAsia="zh-CN"/>
                    </w:rPr>
                    <w:t>处理量</w:t>
                  </w:r>
                </w:p>
              </w:tc>
              <w:tc>
                <w:tcPr>
                  <w:tcW w:w="1657" w:type="dxa"/>
                  <w:noWrap w:val="0"/>
                  <w:vAlign w:val="center"/>
                </w:tcPr>
                <w:p w14:paraId="39D3B87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颗粒物</w:t>
                  </w:r>
                </w:p>
              </w:tc>
              <w:tc>
                <w:tcPr>
                  <w:tcW w:w="1341" w:type="dxa"/>
                  <w:noWrap w:val="0"/>
                  <w:vAlign w:val="center"/>
                </w:tcPr>
                <w:p w14:paraId="4DBBEDE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98.954</w:t>
                  </w:r>
                </w:p>
              </w:tc>
            </w:tr>
            <w:tr w14:paraId="038F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0" w:type="dxa"/>
                  <w:noWrap w:val="0"/>
                  <w:vAlign w:val="center"/>
                </w:tcPr>
                <w:p w14:paraId="2ED56D4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0"/>
                      <w:sz w:val="22"/>
                      <w:szCs w:val="22"/>
                      <w:lang w:val="en-US" w:eastAsia="zh-CN"/>
                    </w:rPr>
                  </w:pPr>
                  <w:r>
                    <w:rPr>
                      <w:rFonts w:hint="default" w:ascii="Times New Roman" w:hAnsi="Times New Roman" w:eastAsia="宋体" w:cs="Times New Roman"/>
                      <w:b w:val="0"/>
                      <w:bCs w:val="0"/>
                      <w:color w:val="auto"/>
                      <w:kern w:val="0"/>
                      <w:sz w:val="22"/>
                      <w:szCs w:val="22"/>
                      <w:lang w:val="en-US" w:eastAsia="zh-CN"/>
                    </w:rPr>
                    <w:t>合计</w:t>
                  </w:r>
                </w:p>
              </w:tc>
              <w:tc>
                <w:tcPr>
                  <w:tcW w:w="1971" w:type="dxa"/>
                  <w:noWrap w:val="0"/>
                  <w:vAlign w:val="center"/>
                </w:tcPr>
                <w:p w14:paraId="2AB19C4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62668.135</w:t>
                  </w:r>
                </w:p>
              </w:tc>
              <w:tc>
                <w:tcPr>
                  <w:tcW w:w="3393" w:type="dxa"/>
                  <w:gridSpan w:val="4"/>
                  <w:noWrap w:val="0"/>
                  <w:vAlign w:val="center"/>
                </w:tcPr>
                <w:p w14:paraId="73359A2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eastAsia="zh-CN"/>
                    </w:rPr>
                  </w:pPr>
                  <w:r>
                    <w:rPr>
                      <w:rFonts w:hint="default" w:ascii="Times New Roman" w:hAnsi="Times New Roman" w:eastAsia="宋体" w:cs="Times New Roman"/>
                      <w:b w:val="0"/>
                      <w:bCs w:val="0"/>
                      <w:color w:val="auto"/>
                      <w:sz w:val="22"/>
                      <w:szCs w:val="22"/>
                      <w:highlight w:val="none"/>
                      <w:vertAlign w:val="baseline"/>
                      <w:lang w:eastAsia="zh-CN"/>
                    </w:rPr>
                    <w:t>合计</w:t>
                  </w:r>
                </w:p>
              </w:tc>
              <w:tc>
                <w:tcPr>
                  <w:tcW w:w="1341" w:type="dxa"/>
                  <w:noWrap w:val="0"/>
                  <w:vAlign w:val="center"/>
                </w:tcPr>
                <w:p w14:paraId="1710A2C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62668.135</w:t>
                  </w:r>
                </w:p>
              </w:tc>
            </w:tr>
          </w:tbl>
          <w:p w14:paraId="7DF9B74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snapToGrid w:val="0"/>
                <w:color w:val="auto"/>
                <w:sz w:val="22"/>
                <w:szCs w:val="22"/>
                <w:vertAlign w:val="baseline"/>
                <w:lang w:val="en-US" w:eastAsia="zh-CN"/>
              </w:rPr>
            </w:pPr>
          </w:p>
        </w:tc>
      </w:tr>
    </w:tbl>
    <w:p w14:paraId="4F68CD7D">
      <w:pPr>
        <w:rPr>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EA750E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eastAsia="宋体" w:cs="Times New Roman"/>
          <w:color w:val="auto"/>
          <w:sz w:val="26"/>
          <w:szCs w:val="26"/>
        </w:rPr>
      </w:pPr>
    </w:p>
    <w:p w14:paraId="7EF170D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object>
          <v:shape id="_x0000_i1025" o:spt="75" type="#_x0000_t75" style="height:537.75pt;width:1003.5pt;" o:ole="t" filled="f" o:preferrelative="t" stroked="f" coordsize="21600,21600">
            <v:path/>
            <v:fill on="f" focussize="0,0"/>
            <v:stroke on="f"/>
            <v:imagedata r:id="rId13" o:title=""/>
            <o:lock v:ext="edit" aspectratio="f"/>
            <w10:wrap type="none"/>
            <w10:anchorlock/>
          </v:shape>
          <o:OLEObject Type="Embed" ProgID="Visio.Drawing.15" ShapeID="_x0000_i1025" DrawAspect="Content" ObjectID="_1468075726" r:id="rId12">
            <o:LockedField>false</o:LockedField>
          </o:OLEObject>
        </w:object>
      </w:r>
    </w:p>
    <w:p w14:paraId="762666F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b/>
          <w:bCs/>
          <w:color w:val="auto"/>
          <w:kern w:val="0"/>
          <w:sz w:val="26"/>
          <w:szCs w:val="26"/>
          <w:lang w:val="en-US" w:eastAsia="zh-CN"/>
        </w:rPr>
      </w:pPr>
    </w:p>
    <w:p w14:paraId="7B8991C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b/>
          <w:bCs/>
          <w:color w:val="auto"/>
          <w:kern w:val="0"/>
          <w:sz w:val="26"/>
          <w:szCs w:val="26"/>
          <w:lang w:val="en-US" w:eastAsia="zh-CN"/>
        </w:rPr>
      </w:pPr>
    </w:p>
    <w:p w14:paraId="5479E1D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b/>
          <w:bCs/>
          <w:color w:val="auto"/>
          <w:kern w:val="0"/>
          <w:sz w:val="26"/>
          <w:szCs w:val="26"/>
          <w:lang w:val="en-US" w:eastAsia="zh-CN"/>
        </w:rPr>
      </w:pPr>
    </w:p>
    <w:p w14:paraId="530B727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b/>
          <w:bCs/>
          <w:color w:val="auto"/>
          <w:kern w:val="0"/>
          <w:sz w:val="26"/>
          <w:szCs w:val="26"/>
          <w:lang w:val="en-US" w:eastAsia="zh-CN"/>
        </w:rPr>
      </w:pPr>
    </w:p>
    <w:p w14:paraId="122AD20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b/>
          <w:bCs/>
          <w:color w:val="auto"/>
          <w:kern w:val="0"/>
          <w:sz w:val="26"/>
          <w:szCs w:val="26"/>
          <w:lang w:val="en-US" w:eastAsia="zh-CN"/>
        </w:rPr>
      </w:pPr>
    </w:p>
    <w:p w14:paraId="1DE6ADA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ascii="Times New Roman" w:hAnsi="Times New Roman" w:eastAsia="宋体" w:cs="Times New Roman"/>
          <w:b/>
          <w:bCs/>
          <w:color w:val="auto"/>
          <w:kern w:val="0"/>
          <w:sz w:val="26"/>
          <w:szCs w:val="26"/>
          <w:lang w:val="en-US" w:eastAsia="zh-CN"/>
        </w:rPr>
      </w:pPr>
    </w:p>
    <w:p w14:paraId="69143FE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ascii="Times New Roman" w:hAnsi="Times New Roman" w:eastAsia="宋体" w:cs="Times New Roman"/>
          <w:b/>
          <w:bCs/>
          <w:color w:val="auto"/>
          <w:kern w:val="0"/>
          <w:sz w:val="26"/>
          <w:szCs w:val="26"/>
          <w:lang w:val="en-US" w:eastAsia="zh-CN"/>
        </w:rPr>
      </w:pPr>
    </w:p>
    <w:p w14:paraId="518E07C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kern w:val="0"/>
          <w:sz w:val="26"/>
          <w:szCs w:val="26"/>
          <w:u w:val="single"/>
          <w:lang w:val="en-US" w:eastAsia="zh-CN"/>
        </w:rPr>
      </w:pPr>
      <w:r>
        <w:rPr>
          <w:rFonts w:hint="eastAsia" w:ascii="Times New Roman" w:hAnsi="Times New Roman" w:eastAsia="宋体" w:cs="Times New Roman"/>
          <w:b/>
          <w:bCs/>
          <w:color w:val="auto"/>
          <w:kern w:val="0"/>
          <w:sz w:val="26"/>
          <w:szCs w:val="26"/>
          <w:u w:val="single"/>
          <w:lang w:val="en-US" w:eastAsia="zh-CN"/>
        </w:rPr>
        <w:t>图2.7-2  本项目物料平衡图   单位：t/a</w:t>
      </w:r>
    </w:p>
    <w:p w14:paraId="7C7AF5D2">
      <w:pPr>
        <w:rPr>
          <w:rFonts w:hint="default" w:eastAsia="宋体"/>
          <w:color w:val="auto"/>
          <w:lang w:val="en-US" w:eastAsia="zh-CN"/>
        </w:rPr>
        <w:sectPr>
          <w:pgSz w:w="23811" w:h="16838"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color w:val="auto"/>
          <w:lang w:val="en-US" w:eastAsia="zh-CN"/>
        </w:rPr>
        <w:t xml:space="preserve">   </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3"/>
        <w:gridCol w:w="8587"/>
      </w:tblGrid>
      <w:tr w14:paraId="11FDA0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tl2br w:val="nil"/>
              <w:tr2bl w:val="nil"/>
            </w:tcBorders>
            <w:noWrap w:val="0"/>
            <w:vAlign w:val="center"/>
          </w:tcPr>
          <w:p w14:paraId="6106BEC3">
            <w:pPr>
              <w:bidi w:val="0"/>
              <w:jc w:val="center"/>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建设内容</w:t>
            </w:r>
          </w:p>
        </w:tc>
        <w:tc>
          <w:tcPr>
            <w:tcW w:w="8587" w:type="dxa"/>
            <w:tcBorders>
              <w:tl2br w:val="nil"/>
              <w:tr2bl w:val="nil"/>
            </w:tcBorders>
            <w:noWrap w:val="0"/>
            <w:vAlign w:val="top"/>
          </w:tcPr>
          <w:p w14:paraId="37CE1DDD">
            <w:pPr>
              <w:keepNext w:val="0"/>
              <w:keepLines w:val="0"/>
              <w:pageBreakBefore w:val="0"/>
              <w:widowControl w:val="0"/>
              <w:kinsoku/>
              <w:wordWrap/>
              <w:overflowPunct/>
              <w:topLinePunct w:val="0"/>
              <w:autoSpaceDE w:val="0"/>
              <w:autoSpaceDN w:val="0"/>
              <w:bidi w:val="0"/>
              <w:adjustRightInd w:val="0"/>
              <w:snapToGrid/>
              <w:spacing w:line="460" w:lineRule="exact"/>
              <w:ind w:firstLine="0" w:firstLineChars="0"/>
              <w:textAlignment w:val="auto"/>
              <w:rPr>
                <w:rFonts w:hint="default"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lang w:val="en-US" w:eastAsia="zh-CN"/>
              </w:rPr>
              <w:t>2.7.3 元素平衡</w:t>
            </w:r>
          </w:p>
          <w:p w14:paraId="360AEFD3">
            <w:pPr>
              <w:keepNext w:val="0"/>
              <w:keepLines w:val="0"/>
              <w:pageBreakBefore w:val="0"/>
              <w:widowControl w:val="0"/>
              <w:kinsoku/>
              <w:wordWrap/>
              <w:overflowPunct/>
              <w:topLinePunct w:val="0"/>
              <w:autoSpaceDE/>
              <w:autoSpaceDN/>
              <w:bidi w:val="0"/>
              <w:adjustRightInd/>
              <w:snapToGrid/>
              <w:spacing w:line="460" w:lineRule="atLeast"/>
              <w:ind w:firstLine="520" w:firstLineChars="200"/>
              <w:textAlignment w:val="auto"/>
              <w:rPr>
                <w:rFonts w:hint="eastAsia" w:ascii="Times New Roman" w:hAnsi="Times New Roman" w:eastAsia="宋体" w:cs="Times New Roman"/>
                <w:color w:val="auto"/>
                <w:sz w:val="26"/>
                <w:szCs w:val="26"/>
                <w:highlight w:val="none"/>
                <w:vertAlign w:val="baseline"/>
                <w:lang w:val="en-US" w:eastAsia="zh-CN"/>
              </w:rPr>
            </w:pPr>
            <w:r>
              <w:rPr>
                <w:rFonts w:hint="eastAsia" w:ascii="Times New Roman" w:hAnsi="Times New Roman" w:eastAsia="宋体" w:cs="Times New Roman"/>
                <w:color w:val="auto"/>
                <w:sz w:val="26"/>
                <w:szCs w:val="26"/>
                <w:highlight w:val="none"/>
                <w:vertAlign w:val="baseline"/>
                <w:lang w:val="en-US" w:eastAsia="zh-CN"/>
              </w:rPr>
              <w:t>（1）F元素平衡</w:t>
            </w:r>
          </w:p>
          <w:p w14:paraId="5BC89C1C">
            <w:pPr>
              <w:keepNext w:val="0"/>
              <w:keepLines w:val="0"/>
              <w:pageBreakBefore w:val="0"/>
              <w:widowControl w:val="0"/>
              <w:kinsoku/>
              <w:wordWrap/>
              <w:overflowPunct/>
              <w:topLinePunct w:val="0"/>
              <w:autoSpaceDE/>
              <w:autoSpaceDN/>
              <w:bidi w:val="0"/>
              <w:adjustRightInd/>
              <w:snapToGrid/>
              <w:spacing w:line="460" w:lineRule="atLeast"/>
              <w:ind w:firstLine="520" w:firstLineChars="200"/>
              <w:textAlignment w:val="auto"/>
              <w:rPr>
                <w:rFonts w:hint="eastAsia" w:ascii="Times New Roman" w:hAnsi="Times New Roman" w:eastAsia="宋体" w:cs="Times New Roman"/>
                <w:color w:val="auto"/>
                <w:sz w:val="26"/>
                <w:szCs w:val="26"/>
                <w:highlight w:val="none"/>
                <w:vertAlign w:val="baseline"/>
                <w:lang w:val="en-US" w:eastAsia="zh-CN"/>
              </w:rPr>
            </w:pPr>
            <w:r>
              <w:rPr>
                <w:rFonts w:hint="eastAsia" w:ascii="Times New Roman" w:hAnsi="Times New Roman" w:eastAsia="宋体" w:cs="Times New Roman"/>
                <w:color w:val="auto"/>
                <w:sz w:val="26"/>
                <w:szCs w:val="26"/>
                <w:highlight w:val="none"/>
                <w:vertAlign w:val="baseline"/>
                <w:lang w:val="en-US" w:eastAsia="zh-CN"/>
              </w:rPr>
              <w:t>本项目氟元素来自精炼剂，根据原料MSDS报告，精炼剂主要成分K：30%～45%、Cl：15%～25%、F：25%～35%，本次评价F：30%取值。本项目氟元素平衡详见下表。</w:t>
            </w:r>
          </w:p>
          <w:p w14:paraId="25E1D4FF">
            <w:pPr>
              <w:keepNext w:val="0"/>
              <w:keepLines w:val="0"/>
              <w:pageBreakBefore w:val="0"/>
              <w:widowControl w:val="0"/>
              <w:kinsoku/>
              <w:wordWrap/>
              <w:overflowPunct/>
              <w:topLinePunct w:val="0"/>
              <w:autoSpaceDE/>
              <w:autoSpaceDN/>
              <w:bidi w:val="0"/>
              <w:adjustRightInd/>
              <w:snapToGrid/>
              <w:spacing w:line="460" w:lineRule="atLeast"/>
              <w:jc w:val="center"/>
              <w:textAlignment w:val="auto"/>
              <w:rPr>
                <w:rFonts w:hint="eastAsia" w:ascii="Times New Roman" w:hAnsi="Times New Roman" w:eastAsia="宋体" w:cs="Times New Roman"/>
                <w:b/>
                <w:bCs/>
                <w:color w:val="auto"/>
                <w:sz w:val="26"/>
                <w:szCs w:val="26"/>
                <w:highlight w:val="none"/>
                <w:vertAlign w:val="baseline"/>
                <w:lang w:val="en-US" w:eastAsia="zh-CN"/>
              </w:rPr>
            </w:pPr>
            <w:r>
              <w:rPr>
                <w:rFonts w:hint="eastAsia" w:ascii="Times New Roman" w:hAnsi="Times New Roman" w:eastAsia="宋体" w:cs="Times New Roman"/>
                <w:b/>
                <w:bCs/>
                <w:color w:val="auto"/>
                <w:sz w:val="26"/>
                <w:szCs w:val="26"/>
                <w:highlight w:val="none"/>
                <w:vertAlign w:val="baseline"/>
                <w:lang w:val="en-US" w:eastAsia="zh-CN"/>
              </w:rPr>
              <w:t>表2.7</w:t>
            </w:r>
            <w:r>
              <w:rPr>
                <w:rFonts w:hint="eastAsia" w:ascii="Times New Roman" w:hAnsi="Times New Roman" w:eastAsia="宋体" w:cs="Times New Roman"/>
                <w:b/>
                <w:bCs/>
                <w:color w:val="auto"/>
                <w:sz w:val="26"/>
                <w:szCs w:val="26"/>
                <w:highlight w:val="none"/>
                <w:vertAlign w:val="baseline"/>
                <w:lang w:val="en-US" w:eastAsia="zh-CN"/>
              </w:rPr>
              <w:noBreakHyphen/>
            </w:r>
            <w:r>
              <w:rPr>
                <w:rFonts w:hint="eastAsia" w:ascii="Times New Roman" w:hAnsi="Times New Roman" w:eastAsia="宋体" w:cs="Times New Roman"/>
                <w:b/>
                <w:bCs/>
                <w:color w:val="auto"/>
                <w:sz w:val="26"/>
                <w:szCs w:val="26"/>
                <w:highlight w:val="none"/>
                <w:vertAlign w:val="baseline"/>
                <w:lang w:val="en-US" w:eastAsia="zh-CN"/>
              </w:rPr>
              <w:t>3  氟元素平衡表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83"/>
              <w:gridCol w:w="944"/>
              <w:gridCol w:w="919"/>
              <w:gridCol w:w="834"/>
              <w:gridCol w:w="776"/>
              <w:gridCol w:w="378"/>
              <w:gridCol w:w="2168"/>
              <w:gridCol w:w="749"/>
              <w:gridCol w:w="940"/>
            </w:tblGrid>
            <w:tr w14:paraId="780927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18" w:type="dxa"/>
                  <w:gridSpan w:val="5"/>
                  <w:tcBorders>
                    <w:tl2br w:val="nil"/>
                    <w:tr2bl w:val="nil"/>
                  </w:tcBorders>
                  <w:noWrap w:val="0"/>
                  <w:vAlign w:val="center"/>
                </w:tcPr>
                <w:p w14:paraId="21B69E71">
                  <w:pPr>
                    <w:pStyle w:val="155"/>
                    <w:keepNext w:val="0"/>
                    <w:keepLines w:val="0"/>
                    <w:pageBreakBefore w:val="0"/>
                    <w:kinsoku/>
                    <w:wordWrap/>
                    <w:overflowPunct/>
                    <w:topLinePunct w:val="0"/>
                    <w:autoSpaceDE/>
                    <w:autoSpaceDN/>
                    <w:bidi w:val="0"/>
                    <w:spacing w:line="340" w:lineRule="exact"/>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投入</w:t>
                  </w:r>
                </w:p>
              </w:tc>
              <w:tc>
                <w:tcPr>
                  <w:tcW w:w="4415" w:type="dxa"/>
                  <w:gridSpan w:val="4"/>
                  <w:tcBorders>
                    <w:tl2br w:val="nil"/>
                    <w:tr2bl w:val="nil"/>
                  </w:tcBorders>
                  <w:noWrap w:val="0"/>
                  <w:vAlign w:val="center"/>
                </w:tcPr>
                <w:p w14:paraId="01E123F8">
                  <w:pPr>
                    <w:pStyle w:val="155"/>
                    <w:keepNext w:val="0"/>
                    <w:keepLines w:val="0"/>
                    <w:pageBreakBefore w:val="0"/>
                    <w:kinsoku/>
                    <w:wordWrap/>
                    <w:overflowPunct/>
                    <w:topLinePunct w:val="0"/>
                    <w:autoSpaceDE/>
                    <w:autoSpaceDN/>
                    <w:bidi w:val="0"/>
                    <w:spacing w:line="340" w:lineRule="exact"/>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产出</w:t>
                  </w:r>
                </w:p>
              </w:tc>
            </w:tr>
            <w:tr w14:paraId="78CDC1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2" w:type="dxa"/>
                  <w:tcBorders>
                    <w:tl2br w:val="nil"/>
                    <w:tr2bl w:val="nil"/>
                  </w:tcBorders>
                  <w:noWrap w:val="0"/>
                  <w:vAlign w:val="center"/>
                </w:tcPr>
                <w:p w14:paraId="761498A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序号</w:t>
                  </w:r>
                </w:p>
              </w:tc>
              <w:tc>
                <w:tcPr>
                  <w:tcW w:w="995" w:type="dxa"/>
                  <w:tcBorders>
                    <w:tl2br w:val="nil"/>
                    <w:tr2bl w:val="nil"/>
                  </w:tcBorders>
                  <w:noWrap w:val="0"/>
                  <w:vAlign w:val="center"/>
                </w:tcPr>
                <w:p w14:paraId="5E703B7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物料名称</w:t>
                  </w:r>
                </w:p>
              </w:tc>
              <w:tc>
                <w:tcPr>
                  <w:tcW w:w="969" w:type="dxa"/>
                  <w:tcBorders>
                    <w:tl2br w:val="nil"/>
                    <w:tr2bl w:val="nil"/>
                  </w:tcBorders>
                  <w:noWrap w:val="0"/>
                  <w:vAlign w:val="center"/>
                </w:tcPr>
                <w:p w14:paraId="6F08E45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物料量（t/a）</w:t>
                  </w:r>
                </w:p>
              </w:tc>
              <w:tc>
                <w:tcPr>
                  <w:tcW w:w="834" w:type="dxa"/>
                  <w:tcBorders>
                    <w:tl2br w:val="nil"/>
                    <w:tr2bl w:val="nil"/>
                  </w:tcBorders>
                  <w:noWrap w:val="0"/>
                  <w:vAlign w:val="center"/>
                </w:tcPr>
                <w:p w14:paraId="058F59C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F含量</w:t>
                  </w:r>
                </w:p>
              </w:tc>
              <w:tc>
                <w:tcPr>
                  <w:tcW w:w="818" w:type="dxa"/>
                  <w:tcBorders>
                    <w:tl2br w:val="nil"/>
                    <w:tr2bl w:val="nil"/>
                  </w:tcBorders>
                  <w:noWrap w:val="0"/>
                  <w:vAlign w:val="center"/>
                </w:tcPr>
                <w:p w14:paraId="157DE32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F(t/a)</w:t>
                  </w:r>
                </w:p>
              </w:tc>
              <w:tc>
                <w:tcPr>
                  <w:tcW w:w="396" w:type="dxa"/>
                  <w:tcBorders>
                    <w:tl2br w:val="nil"/>
                    <w:tr2bl w:val="nil"/>
                  </w:tcBorders>
                  <w:noWrap w:val="0"/>
                  <w:vAlign w:val="center"/>
                </w:tcPr>
                <w:p w14:paraId="161973F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序号</w:t>
                  </w:r>
                </w:p>
              </w:tc>
              <w:tc>
                <w:tcPr>
                  <w:tcW w:w="2290" w:type="dxa"/>
                  <w:tcBorders>
                    <w:tl2br w:val="nil"/>
                    <w:tr2bl w:val="nil"/>
                  </w:tcBorders>
                  <w:noWrap w:val="0"/>
                  <w:vAlign w:val="center"/>
                </w:tcPr>
                <w:p w14:paraId="23E1FC1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名称</w:t>
                  </w:r>
                </w:p>
              </w:tc>
              <w:tc>
                <w:tcPr>
                  <w:tcW w:w="789" w:type="dxa"/>
                  <w:tcBorders>
                    <w:tl2br w:val="nil"/>
                    <w:tr2bl w:val="nil"/>
                  </w:tcBorders>
                  <w:noWrap w:val="0"/>
                  <w:vAlign w:val="center"/>
                </w:tcPr>
                <w:p w14:paraId="53BB9B0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F(t/a)</w:t>
                  </w:r>
                </w:p>
              </w:tc>
              <w:tc>
                <w:tcPr>
                  <w:tcW w:w="940" w:type="dxa"/>
                  <w:tcBorders>
                    <w:tl2br w:val="nil"/>
                    <w:tr2bl w:val="nil"/>
                  </w:tcBorders>
                  <w:noWrap w:val="0"/>
                  <w:vAlign w:val="center"/>
                </w:tcPr>
                <w:p w14:paraId="424CA5C8">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备注</w:t>
                  </w:r>
                  <w:r>
                    <w:rPr>
                      <w:rFonts w:hint="eastAsia" w:ascii="Times New Roman" w:hAnsi="Times New Roman" w:eastAsia="宋体" w:cs="Times New Roman"/>
                      <w:color w:val="auto"/>
                      <w:kern w:val="0"/>
                      <w:sz w:val="22"/>
                      <w:szCs w:val="22"/>
                      <w:vertAlign w:val="superscript"/>
                      <w:lang w:val="en-US" w:eastAsia="zh-CN"/>
                    </w:rPr>
                    <w:t>①</w:t>
                  </w:r>
                </w:p>
              </w:tc>
            </w:tr>
            <w:tr w14:paraId="2126AA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2" w:type="dxa"/>
                  <w:tcBorders>
                    <w:tl2br w:val="nil"/>
                    <w:tr2bl w:val="nil"/>
                  </w:tcBorders>
                  <w:noWrap w:val="0"/>
                  <w:vAlign w:val="center"/>
                </w:tcPr>
                <w:p w14:paraId="75ECFD9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w:t>
                  </w:r>
                </w:p>
              </w:tc>
              <w:tc>
                <w:tcPr>
                  <w:tcW w:w="995" w:type="dxa"/>
                  <w:tcBorders>
                    <w:tl2br w:val="nil"/>
                    <w:tr2bl w:val="nil"/>
                  </w:tcBorders>
                  <w:noWrap w:val="0"/>
                  <w:vAlign w:val="center"/>
                </w:tcPr>
                <w:p w14:paraId="13DADA2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精炼剂</w:t>
                  </w:r>
                </w:p>
              </w:tc>
              <w:tc>
                <w:tcPr>
                  <w:tcW w:w="969" w:type="dxa"/>
                  <w:tcBorders>
                    <w:tl2br w:val="nil"/>
                    <w:tr2bl w:val="nil"/>
                  </w:tcBorders>
                  <w:noWrap w:val="0"/>
                  <w:vAlign w:val="center"/>
                </w:tcPr>
                <w:p w14:paraId="5FC9737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42</w:t>
                  </w:r>
                </w:p>
              </w:tc>
              <w:tc>
                <w:tcPr>
                  <w:tcW w:w="834" w:type="dxa"/>
                  <w:tcBorders>
                    <w:tl2br w:val="nil"/>
                    <w:tr2bl w:val="nil"/>
                  </w:tcBorders>
                  <w:noWrap/>
                  <w:vAlign w:val="center"/>
                </w:tcPr>
                <w:p w14:paraId="61849E1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30%</w:t>
                  </w:r>
                </w:p>
              </w:tc>
              <w:tc>
                <w:tcPr>
                  <w:tcW w:w="818" w:type="dxa"/>
                  <w:tcBorders>
                    <w:tl2br w:val="nil"/>
                    <w:tr2bl w:val="nil"/>
                  </w:tcBorders>
                  <w:noWrap w:val="0"/>
                  <w:vAlign w:val="center"/>
                </w:tcPr>
                <w:p w14:paraId="5EF7E38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12.6</w:t>
                  </w:r>
                </w:p>
              </w:tc>
              <w:tc>
                <w:tcPr>
                  <w:tcW w:w="396" w:type="dxa"/>
                  <w:tcBorders>
                    <w:tl2br w:val="nil"/>
                    <w:tr2bl w:val="nil"/>
                  </w:tcBorders>
                  <w:noWrap w:val="0"/>
                  <w:vAlign w:val="center"/>
                </w:tcPr>
                <w:p w14:paraId="543B659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w:t>
                  </w:r>
                </w:p>
              </w:tc>
              <w:tc>
                <w:tcPr>
                  <w:tcW w:w="2290" w:type="dxa"/>
                  <w:tcBorders>
                    <w:tl2br w:val="nil"/>
                    <w:tr2bl w:val="nil"/>
                  </w:tcBorders>
                  <w:noWrap w:val="0"/>
                  <w:vAlign w:val="center"/>
                </w:tcPr>
                <w:p w14:paraId="52E3515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产品及铝灰渣中含F</w:t>
                  </w:r>
                </w:p>
              </w:tc>
              <w:tc>
                <w:tcPr>
                  <w:tcW w:w="789" w:type="dxa"/>
                  <w:tcBorders>
                    <w:tl2br w:val="nil"/>
                    <w:tr2bl w:val="nil"/>
                  </w:tcBorders>
                  <w:noWrap w:val="0"/>
                  <w:vAlign w:val="center"/>
                </w:tcPr>
                <w:p w14:paraId="291B489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12.411</w:t>
                  </w:r>
                </w:p>
              </w:tc>
              <w:tc>
                <w:tcPr>
                  <w:tcW w:w="940" w:type="dxa"/>
                  <w:tcBorders>
                    <w:tl2br w:val="nil"/>
                    <w:tr2bl w:val="nil"/>
                  </w:tcBorders>
                  <w:noWrap/>
                  <w:vAlign w:val="center"/>
                </w:tcPr>
                <w:p w14:paraId="3EF0AEA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约98.5%</w:t>
                  </w:r>
                </w:p>
              </w:tc>
            </w:tr>
            <w:tr w14:paraId="287EA9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2" w:type="dxa"/>
                  <w:tcBorders>
                    <w:tl2br w:val="nil"/>
                    <w:tr2bl w:val="nil"/>
                  </w:tcBorders>
                  <w:noWrap w:val="0"/>
                  <w:vAlign w:val="center"/>
                </w:tcPr>
                <w:p w14:paraId="6B0E67A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w:t>
                  </w:r>
                </w:p>
              </w:tc>
              <w:tc>
                <w:tcPr>
                  <w:tcW w:w="995" w:type="dxa"/>
                  <w:tcBorders>
                    <w:tl2br w:val="nil"/>
                    <w:tr2bl w:val="nil"/>
                  </w:tcBorders>
                  <w:noWrap w:val="0"/>
                  <w:vAlign w:val="center"/>
                </w:tcPr>
                <w:p w14:paraId="4BACD81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w:t>
                  </w:r>
                </w:p>
              </w:tc>
              <w:tc>
                <w:tcPr>
                  <w:tcW w:w="969" w:type="dxa"/>
                  <w:tcBorders>
                    <w:tl2br w:val="nil"/>
                    <w:tr2bl w:val="nil"/>
                  </w:tcBorders>
                  <w:noWrap w:val="0"/>
                  <w:vAlign w:val="center"/>
                </w:tcPr>
                <w:p w14:paraId="35E8DD4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w:t>
                  </w:r>
                </w:p>
              </w:tc>
              <w:tc>
                <w:tcPr>
                  <w:tcW w:w="834" w:type="dxa"/>
                  <w:tcBorders>
                    <w:tl2br w:val="nil"/>
                    <w:tr2bl w:val="nil"/>
                  </w:tcBorders>
                  <w:noWrap/>
                  <w:vAlign w:val="center"/>
                </w:tcPr>
                <w:p w14:paraId="6A0F8C53">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w:t>
                  </w:r>
                </w:p>
              </w:tc>
              <w:tc>
                <w:tcPr>
                  <w:tcW w:w="818" w:type="dxa"/>
                  <w:tcBorders>
                    <w:tl2br w:val="nil"/>
                    <w:tr2bl w:val="nil"/>
                  </w:tcBorders>
                  <w:noWrap w:val="0"/>
                  <w:vAlign w:val="center"/>
                </w:tcPr>
                <w:p w14:paraId="3889049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w:t>
                  </w:r>
                </w:p>
              </w:tc>
              <w:tc>
                <w:tcPr>
                  <w:tcW w:w="396" w:type="dxa"/>
                  <w:tcBorders>
                    <w:tl2br w:val="nil"/>
                    <w:tr2bl w:val="nil"/>
                  </w:tcBorders>
                  <w:noWrap w:val="0"/>
                  <w:vAlign w:val="center"/>
                </w:tcPr>
                <w:p w14:paraId="705B5C1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2</w:t>
                  </w:r>
                </w:p>
              </w:tc>
              <w:tc>
                <w:tcPr>
                  <w:tcW w:w="2290" w:type="dxa"/>
                  <w:tcBorders>
                    <w:tl2br w:val="nil"/>
                    <w:tr2bl w:val="nil"/>
                  </w:tcBorders>
                  <w:noWrap w:val="0"/>
                  <w:vAlign w:val="center"/>
                </w:tcPr>
                <w:p w14:paraId="48D33121">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废气中含F</w:t>
                  </w:r>
                </w:p>
              </w:tc>
              <w:tc>
                <w:tcPr>
                  <w:tcW w:w="789" w:type="dxa"/>
                  <w:tcBorders>
                    <w:tl2br w:val="nil"/>
                    <w:tr2bl w:val="nil"/>
                  </w:tcBorders>
                  <w:noWrap w:val="0"/>
                  <w:vAlign w:val="center"/>
                </w:tcPr>
                <w:p w14:paraId="3C79044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0.189</w:t>
                  </w:r>
                </w:p>
              </w:tc>
              <w:tc>
                <w:tcPr>
                  <w:tcW w:w="940" w:type="dxa"/>
                  <w:tcBorders>
                    <w:tl2br w:val="nil"/>
                    <w:tr2bl w:val="nil"/>
                  </w:tcBorders>
                  <w:noWrap/>
                  <w:vAlign w:val="center"/>
                </w:tcPr>
                <w:p w14:paraId="1757BF5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约1.5%</w:t>
                  </w:r>
                </w:p>
              </w:tc>
            </w:tr>
            <w:tr w14:paraId="67D58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2" w:type="dxa"/>
                  <w:tcBorders>
                    <w:tl2br w:val="nil"/>
                    <w:tr2bl w:val="nil"/>
                  </w:tcBorders>
                  <w:noWrap w:val="0"/>
                  <w:vAlign w:val="center"/>
                </w:tcPr>
                <w:p w14:paraId="2B53CD58">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合计</w:t>
                  </w:r>
                </w:p>
              </w:tc>
              <w:tc>
                <w:tcPr>
                  <w:tcW w:w="995" w:type="dxa"/>
                  <w:tcBorders>
                    <w:tl2br w:val="nil"/>
                    <w:tr2bl w:val="nil"/>
                  </w:tcBorders>
                  <w:noWrap w:val="0"/>
                  <w:vAlign w:val="center"/>
                </w:tcPr>
                <w:p w14:paraId="1E93F66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w:t>
                  </w:r>
                </w:p>
              </w:tc>
              <w:tc>
                <w:tcPr>
                  <w:tcW w:w="969" w:type="dxa"/>
                  <w:tcBorders>
                    <w:tl2br w:val="nil"/>
                    <w:tr2bl w:val="nil"/>
                  </w:tcBorders>
                  <w:noWrap w:val="0"/>
                  <w:vAlign w:val="center"/>
                </w:tcPr>
                <w:p w14:paraId="5269A31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42</w:t>
                  </w:r>
                </w:p>
              </w:tc>
              <w:tc>
                <w:tcPr>
                  <w:tcW w:w="834" w:type="dxa"/>
                  <w:tcBorders>
                    <w:tl2br w:val="nil"/>
                    <w:tr2bl w:val="nil"/>
                  </w:tcBorders>
                  <w:noWrap w:val="0"/>
                  <w:vAlign w:val="center"/>
                </w:tcPr>
                <w:p w14:paraId="6747DCD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w:t>
                  </w:r>
                </w:p>
              </w:tc>
              <w:tc>
                <w:tcPr>
                  <w:tcW w:w="818" w:type="dxa"/>
                  <w:tcBorders>
                    <w:tl2br w:val="nil"/>
                    <w:tr2bl w:val="nil"/>
                  </w:tcBorders>
                  <w:noWrap w:val="0"/>
                  <w:vAlign w:val="center"/>
                </w:tcPr>
                <w:p w14:paraId="217E5F1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12.6</w:t>
                  </w:r>
                </w:p>
              </w:tc>
              <w:tc>
                <w:tcPr>
                  <w:tcW w:w="396" w:type="dxa"/>
                  <w:tcBorders>
                    <w:tl2br w:val="nil"/>
                    <w:tr2bl w:val="nil"/>
                  </w:tcBorders>
                  <w:noWrap w:val="0"/>
                  <w:vAlign w:val="center"/>
                </w:tcPr>
                <w:p w14:paraId="53F42BA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合计</w:t>
                  </w:r>
                </w:p>
              </w:tc>
              <w:tc>
                <w:tcPr>
                  <w:tcW w:w="2290" w:type="dxa"/>
                  <w:tcBorders>
                    <w:tl2br w:val="nil"/>
                    <w:tr2bl w:val="nil"/>
                  </w:tcBorders>
                  <w:noWrap w:val="0"/>
                  <w:vAlign w:val="center"/>
                </w:tcPr>
                <w:p w14:paraId="6FCDA65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w:t>
                  </w:r>
                </w:p>
              </w:tc>
              <w:tc>
                <w:tcPr>
                  <w:tcW w:w="789" w:type="dxa"/>
                  <w:tcBorders>
                    <w:tl2br w:val="nil"/>
                    <w:tr2bl w:val="nil"/>
                  </w:tcBorders>
                  <w:noWrap w:val="0"/>
                  <w:vAlign w:val="center"/>
                </w:tcPr>
                <w:p w14:paraId="4BD11E7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12.6</w:t>
                  </w:r>
                </w:p>
              </w:tc>
              <w:tc>
                <w:tcPr>
                  <w:tcW w:w="940" w:type="dxa"/>
                  <w:tcBorders>
                    <w:tl2br w:val="nil"/>
                    <w:tr2bl w:val="nil"/>
                  </w:tcBorders>
                  <w:noWrap w:val="0"/>
                  <w:vAlign w:val="center"/>
                </w:tcPr>
                <w:p w14:paraId="5DE611B3">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w:t>
                  </w:r>
                </w:p>
              </w:tc>
            </w:tr>
          </w:tbl>
          <w:p w14:paraId="3597609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2"/>
                <w:szCs w:val="22"/>
                <w:highlight w:val="none"/>
                <w:vertAlign w:val="baseline"/>
                <w:lang w:val="en-US" w:eastAsia="zh-CN"/>
              </w:rPr>
            </w:pPr>
            <w:r>
              <w:rPr>
                <w:rFonts w:hint="eastAsia" w:ascii="Times New Roman" w:hAnsi="Times New Roman" w:eastAsia="宋体" w:cs="Times New Roman"/>
                <w:color w:val="auto"/>
                <w:sz w:val="22"/>
                <w:szCs w:val="22"/>
                <w:highlight w:val="none"/>
                <w:vertAlign w:val="baseline"/>
                <w:lang w:val="en-US" w:eastAsia="zh-CN"/>
              </w:rPr>
              <w:t>注：①类比根据《四川生琳新材料科技有限公司10万吨铝合金加工项目竣工验收监测报告》，本次评价保守取值F进入废气比例为1.5%，取值类比可行性分析详见氟化物产排污计算</w:t>
            </w:r>
          </w:p>
          <w:p w14:paraId="3866BC00">
            <w:pPr>
              <w:keepNext w:val="0"/>
              <w:keepLines w:val="0"/>
              <w:pageBreakBefore w:val="0"/>
              <w:widowControl w:val="0"/>
              <w:kinsoku/>
              <w:wordWrap/>
              <w:overflowPunct/>
              <w:topLinePunct w:val="0"/>
              <w:autoSpaceDE/>
              <w:autoSpaceDN/>
              <w:bidi w:val="0"/>
              <w:adjustRightInd/>
              <w:snapToGrid/>
              <w:spacing w:line="460" w:lineRule="atLeast"/>
              <w:ind w:firstLine="520" w:firstLineChars="200"/>
              <w:textAlignment w:val="auto"/>
              <w:rPr>
                <w:rFonts w:hint="eastAsia" w:ascii="Times New Roman" w:hAnsi="Times New Roman" w:eastAsia="宋体" w:cs="Times New Roman"/>
                <w:color w:val="auto"/>
                <w:sz w:val="26"/>
                <w:szCs w:val="26"/>
                <w:highlight w:val="none"/>
                <w:vertAlign w:val="baseline"/>
                <w:lang w:val="en-US" w:eastAsia="zh-CN"/>
              </w:rPr>
            </w:pPr>
            <w:r>
              <w:rPr>
                <w:rFonts w:hint="eastAsia" w:ascii="Times New Roman" w:hAnsi="Times New Roman" w:eastAsia="宋体" w:cs="Times New Roman"/>
                <w:color w:val="auto"/>
                <w:sz w:val="26"/>
                <w:szCs w:val="26"/>
                <w:highlight w:val="none"/>
                <w:vertAlign w:val="baseline"/>
                <w:lang w:val="en-US" w:eastAsia="zh-CN"/>
              </w:rPr>
              <w:t>（2）氯元素平衡</w:t>
            </w:r>
          </w:p>
          <w:p w14:paraId="703A5B10">
            <w:pPr>
              <w:keepNext w:val="0"/>
              <w:keepLines w:val="0"/>
              <w:pageBreakBefore w:val="0"/>
              <w:widowControl w:val="0"/>
              <w:kinsoku/>
              <w:wordWrap/>
              <w:overflowPunct/>
              <w:topLinePunct w:val="0"/>
              <w:autoSpaceDE/>
              <w:autoSpaceDN/>
              <w:bidi w:val="0"/>
              <w:adjustRightInd/>
              <w:snapToGrid/>
              <w:spacing w:line="460" w:lineRule="atLeast"/>
              <w:ind w:firstLine="520" w:firstLineChars="200"/>
              <w:textAlignment w:val="auto"/>
              <w:rPr>
                <w:rFonts w:hint="eastAsia" w:ascii="Times New Roman" w:hAnsi="Times New Roman" w:eastAsia="宋体" w:cs="Times New Roman"/>
                <w:color w:val="auto"/>
                <w:sz w:val="26"/>
                <w:szCs w:val="26"/>
                <w:highlight w:val="none"/>
                <w:vertAlign w:val="baseline"/>
                <w:lang w:val="en-US" w:eastAsia="zh-CN"/>
              </w:rPr>
            </w:pPr>
            <w:r>
              <w:rPr>
                <w:rFonts w:hint="eastAsia" w:ascii="Times New Roman" w:hAnsi="Times New Roman" w:eastAsia="宋体" w:cs="Times New Roman"/>
                <w:color w:val="auto"/>
                <w:sz w:val="26"/>
                <w:szCs w:val="26"/>
                <w:highlight w:val="none"/>
                <w:vertAlign w:val="baseline"/>
                <w:lang w:val="en-US" w:eastAsia="zh-CN"/>
              </w:rPr>
              <w:t>本项目氯元素来自精炼剂，根据原料MSDS报告，精炼剂主要成分K：30%～45%、Cl：15%～25%、F：25%～35%，本次评价Cl：20%取值。本项目氯元素平衡详见下表。</w:t>
            </w:r>
          </w:p>
          <w:p w14:paraId="57080DC2">
            <w:pPr>
              <w:keepNext w:val="0"/>
              <w:keepLines w:val="0"/>
              <w:pageBreakBefore w:val="0"/>
              <w:widowControl w:val="0"/>
              <w:kinsoku/>
              <w:wordWrap/>
              <w:overflowPunct/>
              <w:topLinePunct w:val="0"/>
              <w:autoSpaceDE/>
              <w:autoSpaceDN/>
              <w:bidi w:val="0"/>
              <w:adjustRightInd/>
              <w:snapToGrid/>
              <w:spacing w:line="460" w:lineRule="atLeast"/>
              <w:jc w:val="center"/>
              <w:textAlignment w:val="auto"/>
              <w:rPr>
                <w:rFonts w:hint="eastAsia" w:ascii="Times New Roman" w:hAnsi="Times New Roman" w:eastAsia="宋体" w:cs="Times New Roman"/>
                <w:b/>
                <w:bCs/>
                <w:color w:val="auto"/>
                <w:sz w:val="26"/>
                <w:szCs w:val="26"/>
                <w:highlight w:val="none"/>
                <w:vertAlign w:val="baseline"/>
                <w:lang w:val="en-US" w:eastAsia="zh-CN"/>
              </w:rPr>
            </w:pPr>
            <w:r>
              <w:rPr>
                <w:rFonts w:hint="eastAsia" w:ascii="Times New Roman" w:hAnsi="Times New Roman" w:eastAsia="宋体" w:cs="Times New Roman"/>
                <w:b/>
                <w:bCs/>
                <w:color w:val="auto"/>
                <w:sz w:val="26"/>
                <w:szCs w:val="26"/>
                <w:highlight w:val="none"/>
                <w:vertAlign w:val="baseline"/>
                <w:lang w:val="en-US" w:eastAsia="zh-CN"/>
              </w:rPr>
              <w:t>表2.7</w:t>
            </w:r>
            <w:r>
              <w:rPr>
                <w:rFonts w:hint="eastAsia" w:ascii="Times New Roman" w:hAnsi="Times New Roman" w:eastAsia="宋体" w:cs="Times New Roman"/>
                <w:b/>
                <w:bCs/>
                <w:color w:val="auto"/>
                <w:sz w:val="26"/>
                <w:szCs w:val="26"/>
                <w:highlight w:val="none"/>
                <w:vertAlign w:val="baseline"/>
                <w:lang w:val="en-US" w:eastAsia="zh-CN"/>
              </w:rPr>
              <w:noBreakHyphen/>
            </w:r>
            <w:r>
              <w:rPr>
                <w:rFonts w:hint="eastAsia" w:ascii="Times New Roman" w:hAnsi="Times New Roman" w:eastAsia="宋体" w:cs="Times New Roman"/>
                <w:b/>
                <w:bCs/>
                <w:color w:val="auto"/>
                <w:sz w:val="26"/>
                <w:szCs w:val="26"/>
                <w:highlight w:val="none"/>
                <w:vertAlign w:val="baseline"/>
                <w:lang w:val="en-US" w:eastAsia="zh-CN"/>
              </w:rPr>
              <w:t>4  氯元素平衡表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22"/>
              <w:gridCol w:w="1010"/>
              <w:gridCol w:w="922"/>
              <w:gridCol w:w="842"/>
              <w:gridCol w:w="762"/>
              <w:gridCol w:w="356"/>
              <w:gridCol w:w="2286"/>
              <w:gridCol w:w="764"/>
              <w:gridCol w:w="827"/>
            </w:tblGrid>
            <w:tr w14:paraId="4C344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973" w:type="dxa"/>
                  <w:gridSpan w:val="5"/>
                  <w:tcBorders>
                    <w:tl2br w:val="nil"/>
                    <w:tr2bl w:val="nil"/>
                  </w:tcBorders>
                  <w:noWrap w:val="0"/>
                  <w:vAlign w:val="center"/>
                </w:tcPr>
                <w:p w14:paraId="655DCE30">
                  <w:pPr>
                    <w:pStyle w:val="155"/>
                    <w:keepNext w:val="0"/>
                    <w:keepLines w:val="0"/>
                    <w:pageBreakBefore w:val="0"/>
                    <w:kinsoku/>
                    <w:wordWrap/>
                    <w:overflowPunct/>
                    <w:topLinePunct w:val="0"/>
                    <w:autoSpaceDE/>
                    <w:autoSpaceDN/>
                    <w:bidi w:val="0"/>
                    <w:spacing w:line="340" w:lineRule="exact"/>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投入</w:t>
                  </w:r>
                </w:p>
              </w:tc>
              <w:tc>
                <w:tcPr>
                  <w:tcW w:w="4367" w:type="dxa"/>
                  <w:gridSpan w:val="4"/>
                  <w:tcBorders>
                    <w:tl2br w:val="nil"/>
                    <w:tr2bl w:val="nil"/>
                  </w:tcBorders>
                  <w:noWrap w:val="0"/>
                  <w:vAlign w:val="center"/>
                </w:tcPr>
                <w:p w14:paraId="0F960AF3">
                  <w:pPr>
                    <w:pStyle w:val="155"/>
                    <w:keepNext w:val="0"/>
                    <w:keepLines w:val="0"/>
                    <w:pageBreakBefore w:val="0"/>
                    <w:kinsoku/>
                    <w:wordWrap/>
                    <w:overflowPunct/>
                    <w:topLinePunct w:val="0"/>
                    <w:autoSpaceDE/>
                    <w:autoSpaceDN/>
                    <w:bidi w:val="0"/>
                    <w:spacing w:line="340" w:lineRule="exact"/>
                    <w:jc w:val="center"/>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产出</w:t>
                  </w:r>
                </w:p>
              </w:tc>
            </w:tr>
            <w:tr w14:paraId="53CEA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3" w:type="dxa"/>
                  <w:tcBorders>
                    <w:tl2br w:val="nil"/>
                    <w:tr2bl w:val="nil"/>
                  </w:tcBorders>
                  <w:noWrap w:val="0"/>
                  <w:vAlign w:val="center"/>
                </w:tcPr>
                <w:p w14:paraId="6782BA1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序号</w:t>
                  </w:r>
                </w:p>
              </w:tc>
              <w:tc>
                <w:tcPr>
                  <w:tcW w:w="1049" w:type="dxa"/>
                  <w:tcBorders>
                    <w:tl2br w:val="nil"/>
                    <w:tr2bl w:val="nil"/>
                  </w:tcBorders>
                  <w:noWrap w:val="0"/>
                  <w:vAlign w:val="center"/>
                </w:tcPr>
                <w:p w14:paraId="222975B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物料名称</w:t>
                  </w:r>
                </w:p>
              </w:tc>
              <w:tc>
                <w:tcPr>
                  <w:tcW w:w="958" w:type="dxa"/>
                  <w:tcBorders>
                    <w:tl2br w:val="nil"/>
                    <w:tr2bl w:val="nil"/>
                  </w:tcBorders>
                  <w:noWrap w:val="0"/>
                  <w:vAlign w:val="center"/>
                </w:tcPr>
                <w:p w14:paraId="5082E833">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物料量（t/a）</w:t>
                  </w:r>
                </w:p>
              </w:tc>
              <w:tc>
                <w:tcPr>
                  <w:tcW w:w="842" w:type="dxa"/>
                  <w:tcBorders>
                    <w:tl2br w:val="nil"/>
                    <w:tr2bl w:val="nil"/>
                  </w:tcBorders>
                  <w:noWrap w:val="0"/>
                  <w:vAlign w:val="center"/>
                </w:tcPr>
                <w:p w14:paraId="103F4766">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Cl含量</w:t>
                  </w:r>
                </w:p>
              </w:tc>
              <w:tc>
                <w:tcPr>
                  <w:tcW w:w="791" w:type="dxa"/>
                  <w:tcBorders>
                    <w:tl2br w:val="nil"/>
                    <w:tr2bl w:val="nil"/>
                  </w:tcBorders>
                  <w:noWrap w:val="0"/>
                  <w:vAlign w:val="center"/>
                </w:tcPr>
                <w:p w14:paraId="6F5152B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Cl(t/a)</w:t>
                  </w:r>
                </w:p>
              </w:tc>
              <w:tc>
                <w:tcPr>
                  <w:tcW w:w="368" w:type="dxa"/>
                  <w:tcBorders>
                    <w:tl2br w:val="nil"/>
                    <w:tr2bl w:val="nil"/>
                  </w:tcBorders>
                  <w:noWrap w:val="0"/>
                  <w:vAlign w:val="center"/>
                </w:tcPr>
                <w:p w14:paraId="7757CC5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序号</w:t>
                  </w:r>
                </w:p>
              </w:tc>
              <w:tc>
                <w:tcPr>
                  <w:tcW w:w="2379" w:type="dxa"/>
                  <w:tcBorders>
                    <w:tl2br w:val="nil"/>
                    <w:tr2bl w:val="nil"/>
                  </w:tcBorders>
                  <w:noWrap w:val="0"/>
                  <w:vAlign w:val="center"/>
                </w:tcPr>
                <w:p w14:paraId="007AA92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名称</w:t>
                  </w:r>
                </w:p>
              </w:tc>
              <w:tc>
                <w:tcPr>
                  <w:tcW w:w="793" w:type="dxa"/>
                  <w:tcBorders>
                    <w:tl2br w:val="nil"/>
                    <w:tr2bl w:val="nil"/>
                  </w:tcBorders>
                  <w:noWrap w:val="0"/>
                  <w:vAlign w:val="center"/>
                </w:tcPr>
                <w:p w14:paraId="444DDF7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Cl(t/a)</w:t>
                  </w:r>
                </w:p>
              </w:tc>
              <w:tc>
                <w:tcPr>
                  <w:tcW w:w="827" w:type="dxa"/>
                  <w:tcBorders>
                    <w:tl2br w:val="nil"/>
                    <w:tr2bl w:val="nil"/>
                  </w:tcBorders>
                  <w:noWrap w:val="0"/>
                  <w:vAlign w:val="center"/>
                </w:tcPr>
                <w:p w14:paraId="43ED60D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备注</w:t>
                  </w:r>
                  <w:r>
                    <w:rPr>
                      <w:rFonts w:hint="eastAsia" w:ascii="Times New Roman" w:hAnsi="Times New Roman" w:eastAsia="宋体" w:cs="Times New Roman"/>
                      <w:color w:val="auto"/>
                      <w:kern w:val="0"/>
                      <w:sz w:val="22"/>
                      <w:szCs w:val="22"/>
                      <w:vertAlign w:val="superscript"/>
                      <w:lang w:val="en-US" w:eastAsia="zh-CN"/>
                    </w:rPr>
                    <w:t>②</w:t>
                  </w:r>
                </w:p>
              </w:tc>
            </w:tr>
            <w:tr w14:paraId="357F08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3" w:type="dxa"/>
                  <w:tcBorders>
                    <w:tl2br w:val="nil"/>
                    <w:tr2bl w:val="nil"/>
                  </w:tcBorders>
                  <w:noWrap w:val="0"/>
                  <w:vAlign w:val="center"/>
                </w:tcPr>
                <w:p w14:paraId="75807063">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rPr>
                    <w:t>1</w:t>
                  </w:r>
                </w:p>
              </w:tc>
              <w:tc>
                <w:tcPr>
                  <w:tcW w:w="1049" w:type="dxa"/>
                  <w:tcBorders>
                    <w:tl2br w:val="nil"/>
                    <w:tr2bl w:val="nil"/>
                  </w:tcBorders>
                  <w:noWrap w:val="0"/>
                  <w:vAlign w:val="center"/>
                </w:tcPr>
                <w:p w14:paraId="1822410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精炼剂</w:t>
                  </w:r>
                </w:p>
              </w:tc>
              <w:tc>
                <w:tcPr>
                  <w:tcW w:w="958" w:type="dxa"/>
                  <w:tcBorders>
                    <w:tl2br w:val="nil"/>
                    <w:tr2bl w:val="nil"/>
                  </w:tcBorders>
                  <w:noWrap w:val="0"/>
                  <w:vAlign w:val="center"/>
                </w:tcPr>
                <w:p w14:paraId="05C9A0D8">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42</w:t>
                  </w:r>
                </w:p>
              </w:tc>
              <w:tc>
                <w:tcPr>
                  <w:tcW w:w="842" w:type="dxa"/>
                  <w:tcBorders>
                    <w:tl2br w:val="nil"/>
                    <w:tr2bl w:val="nil"/>
                  </w:tcBorders>
                  <w:noWrap w:val="0"/>
                  <w:vAlign w:val="center"/>
                </w:tcPr>
                <w:p w14:paraId="2D0A6C96">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20%</w:t>
                  </w:r>
                </w:p>
              </w:tc>
              <w:tc>
                <w:tcPr>
                  <w:tcW w:w="791" w:type="dxa"/>
                  <w:tcBorders>
                    <w:tl2br w:val="nil"/>
                    <w:tr2bl w:val="nil"/>
                  </w:tcBorders>
                  <w:noWrap w:val="0"/>
                  <w:vAlign w:val="center"/>
                </w:tcPr>
                <w:p w14:paraId="0AC5977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8.4</w:t>
                  </w:r>
                </w:p>
              </w:tc>
              <w:tc>
                <w:tcPr>
                  <w:tcW w:w="368" w:type="dxa"/>
                  <w:tcBorders>
                    <w:tl2br w:val="nil"/>
                    <w:tr2bl w:val="nil"/>
                  </w:tcBorders>
                  <w:noWrap w:val="0"/>
                  <w:vAlign w:val="center"/>
                </w:tcPr>
                <w:p w14:paraId="775103D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1</w:t>
                  </w:r>
                </w:p>
              </w:tc>
              <w:tc>
                <w:tcPr>
                  <w:tcW w:w="2379" w:type="dxa"/>
                  <w:tcBorders>
                    <w:tl2br w:val="nil"/>
                    <w:tr2bl w:val="nil"/>
                  </w:tcBorders>
                  <w:noWrap w:val="0"/>
                  <w:vAlign w:val="center"/>
                </w:tcPr>
                <w:p w14:paraId="1B0F3DF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产品及铝灰渣中含Cl</w:t>
                  </w:r>
                </w:p>
              </w:tc>
              <w:tc>
                <w:tcPr>
                  <w:tcW w:w="793" w:type="dxa"/>
                  <w:tcBorders>
                    <w:tl2br w:val="nil"/>
                    <w:tr2bl w:val="nil"/>
                  </w:tcBorders>
                  <w:noWrap w:val="0"/>
                  <w:vAlign w:val="center"/>
                </w:tcPr>
                <w:p w14:paraId="754DC70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7.476</w:t>
                  </w:r>
                </w:p>
              </w:tc>
              <w:tc>
                <w:tcPr>
                  <w:tcW w:w="827" w:type="dxa"/>
                  <w:tcBorders>
                    <w:tl2br w:val="nil"/>
                    <w:tr2bl w:val="nil"/>
                  </w:tcBorders>
                  <w:noWrap w:val="0"/>
                  <w:vAlign w:val="center"/>
                </w:tcPr>
                <w:p w14:paraId="3D7F43E2">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约89%</w:t>
                  </w:r>
                </w:p>
              </w:tc>
            </w:tr>
            <w:tr w14:paraId="7E048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3" w:type="dxa"/>
                  <w:tcBorders>
                    <w:tl2br w:val="nil"/>
                    <w:tr2bl w:val="nil"/>
                  </w:tcBorders>
                  <w:noWrap w:val="0"/>
                  <w:vAlign w:val="center"/>
                </w:tcPr>
                <w:p w14:paraId="17ACC7AC">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rPr>
                    <w:t>/</w:t>
                  </w:r>
                </w:p>
              </w:tc>
              <w:tc>
                <w:tcPr>
                  <w:tcW w:w="1049" w:type="dxa"/>
                  <w:tcBorders>
                    <w:tl2br w:val="nil"/>
                    <w:tr2bl w:val="nil"/>
                  </w:tcBorders>
                  <w:noWrap w:val="0"/>
                  <w:vAlign w:val="center"/>
                </w:tcPr>
                <w:p w14:paraId="403C92D3">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w:t>
                  </w:r>
                </w:p>
              </w:tc>
              <w:tc>
                <w:tcPr>
                  <w:tcW w:w="958" w:type="dxa"/>
                  <w:tcBorders>
                    <w:tl2br w:val="nil"/>
                    <w:tr2bl w:val="nil"/>
                  </w:tcBorders>
                  <w:noWrap w:val="0"/>
                  <w:vAlign w:val="center"/>
                </w:tcPr>
                <w:p w14:paraId="5F3C428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w:t>
                  </w:r>
                </w:p>
              </w:tc>
              <w:tc>
                <w:tcPr>
                  <w:tcW w:w="842" w:type="dxa"/>
                  <w:tcBorders>
                    <w:tl2br w:val="nil"/>
                    <w:tr2bl w:val="nil"/>
                  </w:tcBorders>
                  <w:noWrap/>
                  <w:vAlign w:val="center"/>
                </w:tcPr>
                <w:p w14:paraId="2F81DB83">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w:t>
                  </w:r>
                </w:p>
              </w:tc>
              <w:tc>
                <w:tcPr>
                  <w:tcW w:w="791" w:type="dxa"/>
                  <w:tcBorders>
                    <w:tl2br w:val="nil"/>
                    <w:tr2bl w:val="nil"/>
                  </w:tcBorders>
                  <w:noWrap w:val="0"/>
                  <w:vAlign w:val="center"/>
                </w:tcPr>
                <w:p w14:paraId="5678378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w:t>
                  </w:r>
                </w:p>
              </w:tc>
              <w:tc>
                <w:tcPr>
                  <w:tcW w:w="368" w:type="dxa"/>
                  <w:tcBorders>
                    <w:tl2br w:val="nil"/>
                    <w:tr2bl w:val="nil"/>
                  </w:tcBorders>
                  <w:noWrap w:val="0"/>
                  <w:vAlign w:val="center"/>
                </w:tcPr>
                <w:p w14:paraId="093E8A8E">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2</w:t>
                  </w:r>
                </w:p>
              </w:tc>
              <w:tc>
                <w:tcPr>
                  <w:tcW w:w="2379" w:type="dxa"/>
                  <w:tcBorders>
                    <w:tl2br w:val="nil"/>
                    <w:tr2bl w:val="nil"/>
                  </w:tcBorders>
                  <w:noWrap w:val="0"/>
                  <w:vAlign w:val="center"/>
                </w:tcPr>
                <w:p w14:paraId="5603B91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废气中含Cl</w:t>
                  </w:r>
                </w:p>
              </w:tc>
              <w:tc>
                <w:tcPr>
                  <w:tcW w:w="793" w:type="dxa"/>
                  <w:tcBorders>
                    <w:tl2br w:val="nil"/>
                    <w:tr2bl w:val="nil"/>
                  </w:tcBorders>
                  <w:noWrap w:val="0"/>
                  <w:vAlign w:val="center"/>
                </w:tcPr>
                <w:p w14:paraId="09C36BB9">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0.924</w:t>
                  </w:r>
                </w:p>
              </w:tc>
              <w:tc>
                <w:tcPr>
                  <w:tcW w:w="827" w:type="dxa"/>
                  <w:tcBorders>
                    <w:tl2br w:val="nil"/>
                    <w:tr2bl w:val="nil"/>
                  </w:tcBorders>
                  <w:noWrap/>
                  <w:vAlign w:val="center"/>
                </w:tcPr>
                <w:p w14:paraId="6CCDE374">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约11%</w:t>
                  </w:r>
                </w:p>
              </w:tc>
            </w:tr>
            <w:tr w14:paraId="136C5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33" w:type="dxa"/>
                  <w:tcBorders>
                    <w:tl2br w:val="nil"/>
                    <w:tr2bl w:val="nil"/>
                  </w:tcBorders>
                  <w:noWrap w:val="0"/>
                  <w:vAlign w:val="center"/>
                </w:tcPr>
                <w:p w14:paraId="37A3978B">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合计</w:t>
                  </w:r>
                </w:p>
              </w:tc>
              <w:tc>
                <w:tcPr>
                  <w:tcW w:w="1049" w:type="dxa"/>
                  <w:tcBorders>
                    <w:tl2br w:val="nil"/>
                    <w:tr2bl w:val="nil"/>
                  </w:tcBorders>
                  <w:noWrap w:val="0"/>
                  <w:vAlign w:val="center"/>
                </w:tcPr>
                <w:p w14:paraId="21A851AD">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w:t>
                  </w:r>
                </w:p>
              </w:tc>
              <w:tc>
                <w:tcPr>
                  <w:tcW w:w="958" w:type="dxa"/>
                  <w:tcBorders>
                    <w:tl2br w:val="nil"/>
                    <w:tr2bl w:val="nil"/>
                  </w:tcBorders>
                  <w:noWrap w:val="0"/>
                  <w:vAlign w:val="center"/>
                </w:tcPr>
                <w:p w14:paraId="1203BA00">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42</w:t>
                  </w:r>
                </w:p>
              </w:tc>
              <w:tc>
                <w:tcPr>
                  <w:tcW w:w="842" w:type="dxa"/>
                  <w:tcBorders>
                    <w:tl2br w:val="nil"/>
                    <w:tr2bl w:val="nil"/>
                  </w:tcBorders>
                  <w:noWrap w:val="0"/>
                  <w:vAlign w:val="center"/>
                </w:tcPr>
                <w:p w14:paraId="2FE53B2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w:t>
                  </w:r>
                </w:p>
              </w:tc>
              <w:tc>
                <w:tcPr>
                  <w:tcW w:w="791" w:type="dxa"/>
                  <w:tcBorders>
                    <w:tl2br w:val="nil"/>
                    <w:tr2bl w:val="nil"/>
                  </w:tcBorders>
                  <w:noWrap w:val="0"/>
                  <w:vAlign w:val="center"/>
                </w:tcPr>
                <w:p w14:paraId="3BFB42D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8.4</w:t>
                  </w:r>
                </w:p>
              </w:tc>
              <w:tc>
                <w:tcPr>
                  <w:tcW w:w="368" w:type="dxa"/>
                  <w:tcBorders>
                    <w:tl2br w:val="nil"/>
                    <w:tr2bl w:val="nil"/>
                  </w:tcBorders>
                  <w:noWrap w:val="0"/>
                  <w:vAlign w:val="center"/>
                </w:tcPr>
                <w:p w14:paraId="795FD795">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合计</w:t>
                  </w:r>
                </w:p>
              </w:tc>
              <w:tc>
                <w:tcPr>
                  <w:tcW w:w="2379" w:type="dxa"/>
                  <w:tcBorders>
                    <w:tl2br w:val="nil"/>
                    <w:tr2bl w:val="nil"/>
                  </w:tcBorders>
                  <w:noWrap w:val="0"/>
                  <w:vAlign w:val="center"/>
                </w:tcPr>
                <w:p w14:paraId="3D9694DA">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w:t>
                  </w:r>
                </w:p>
              </w:tc>
              <w:tc>
                <w:tcPr>
                  <w:tcW w:w="793" w:type="dxa"/>
                  <w:tcBorders>
                    <w:tl2br w:val="nil"/>
                    <w:tr2bl w:val="nil"/>
                  </w:tcBorders>
                  <w:noWrap w:val="0"/>
                  <w:vAlign w:val="center"/>
                </w:tcPr>
                <w:p w14:paraId="2FB16ABF">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default"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8.4</w:t>
                  </w:r>
                </w:p>
              </w:tc>
              <w:tc>
                <w:tcPr>
                  <w:tcW w:w="827" w:type="dxa"/>
                  <w:tcBorders>
                    <w:tl2br w:val="nil"/>
                    <w:tr2bl w:val="nil"/>
                  </w:tcBorders>
                  <w:noWrap w:val="0"/>
                  <w:vAlign w:val="center"/>
                </w:tcPr>
                <w:p w14:paraId="28D71A67">
                  <w:pPr>
                    <w:keepNext w:val="0"/>
                    <w:keepLines w:val="0"/>
                    <w:pageBreakBefore w:val="0"/>
                    <w:widowControl/>
                    <w:suppressLineNumbers w:val="0"/>
                    <w:kinsoku/>
                    <w:wordWrap/>
                    <w:overflowPunct/>
                    <w:topLinePunct w:val="0"/>
                    <w:autoSpaceDE/>
                    <w:autoSpaceDN/>
                    <w:bidi w:val="0"/>
                    <w:spacing w:line="340" w:lineRule="exact"/>
                    <w:jc w:val="center"/>
                    <w:textAlignment w:val="center"/>
                    <w:rPr>
                      <w:rFonts w:hint="eastAsia" w:ascii="Times New Roman" w:hAnsi="Times New Roman" w:eastAsia="宋体" w:cs="Times New Roman"/>
                      <w:color w:val="auto"/>
                      <w:kern w:val="0"/>
                      <w:sz w:val="22"/>
                      <w:szCs w:val="22"/>
                      <w:lang w:val="en-US" w:eastAsia="zh-CN"/>
                    </w:rPr>
                  </w:pPr>
                  <w:r>
                    <w:rPr>
                      <w:rFonts w:hint="eastAsia" w:ascii="Times New Roman" w:hAnsi="Times New Roman" w:eastAsia="宋体" w:cs="Times New Roman"/>
                      <w:color w:val="auto"/>
                      <w:kern w:val="0"/>
                      <w:sz w:val="22"/>
                      <w:szCs w:val="22"/>
                      <w:lang w:val="en-US" w:eastAsia="zh-CN"/>
                    </w:rPr>
                    <w:t>/</w:t>
                  </w:r>
                </w:p>
              </w:tc>
            </w:tr>
          </w:tbl>
          <w:p w14:paraId="788E652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color w:val="auto"/>
                <w:sz w:val="22"/>
                <w:szCs w:val="22"/>
                <w:highlight w:val="none"/>
                <w:vertAlign w:val="baseline"/>
                <w:lang w:val="en-US" w:eastAsia="zh-CN"/>
              </w:rPr>
              <w:t>注：②类比根据《四川生琳新材料科技有限公司10万吨铝合金加工项目竣工验收监测报告》，本次评价保守取值Cl-进入废气比例为11%，取值类比可行性分析详见氟化物产排污计算</w:t>
            </w:r>
          </w:p>
          <w:p w14:paraId="38489DFE">
            <w:pPr>
              <w:keepNext w:val="0"/>
              <w:keepLines w:val="0"/>
              <w:pageBreakBefore w:val="0"/>
              <w:widowControl w:val="0"/>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lang w:val="en-US" w:eastAsia="zh-CN"/>
              </w:rPr>
              <w:t>2.8劳动定员与工作制度</w:t>
            </w:r>
          </w:p>
          <w:p w14:paraId="13E1CD6F">
            <w:pPr>
              <w:keepNext w:val="0"/>
              <w:keepLines w:val="0"/>
              <w:pageBreakBefore w:val="0"/>
              <w:widowControl w:val="0"/>
              <w:kinsoku/>
              <w:wordWrap/>
              <w:overflowPunct/>
              <w:topLinePunct w:val="0"/>
              <w:autoSpaceDE/>
              <w:autoSpaceDN/>
              <w:bidi w:val="0"/>
              <w:adjustRightInd/>
              <w:snapToGrid/>
              <w:spacing w:line="460" w:lineRule="exact"/>
              <w:ind w:firstLine="520" w:firstLineChars="200"/>
              <w:contextualSpacing/>
              <w:jc w:val="both"/>
              <w:textAlignment w:val="auto"/>
              <w:rPr>
                <w:rFonts w:hint="default"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szCs w:val="26"/>
                <w:highlight w:val="none"/>
                <w:lang w:val="en-US" w:eastAsia="zh-CN"/>
              </w:rPr>
              <w:t>劳动定员：</w:t>
            </w:r>
            <w:r>
              <w:rPr>
                <w:rFonts w:hint="eastAsia" w:ascii="Times New Roman" w:hAnsi="Times New Roman" w:eastAsia="宋体" w:cs="Times New Roman"/>
                <w:color w:val="auto"/>
                <w:sz w:val="26"/>
                <w:szCs w:val="26"/>
                <w:highlight w:val="none"/>
                <w:lang w:val="en-US" w:eastAsia="zh-CN"/>
              </w:rPr>
              <w:t>本项目不新增劳动定员，厂区现有70人。</w:t>
            </w:r>
          </w:p>
          <w:p w14:paraId="2FB94EBF">
            <w:pPr>
              <w:keepNext w:val="0"/>
              <w:keepLines w:val="0"/>
              <w:pageBreakBefore w:val="0"/>
              <w:widowControl w:val="0"/>
              <w:kinsoku/>
              <w:wordWrap/>
              <w:overflowPunct/>
              <w:topLinePunct w:val="0"/>
              <w:autoSpaceDE/>
              <w:autoSpaceDN/>
              <w:bidi w:val="0"/>
              <w:adjustRightInd/>
              <w:snapToGrid/>
              <w:spacing w:line="460" w:lineRule="exact"/>
              <w:ind w:firstLine="520" w:firstLineChars="200"/>
              <w:contextualSpacing/>
              <w:jc w:val="both"/>
              <w:textAlignment w:val="auto"/>
              <w:rPr>
                <w:rFonts w:hint="default"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szCs w:val="26"/>
                <w:highlight w:val="none"/>
                <w:lang w:val="en-US" w:eastAsia="zh-CN"/>
              </w:rPr>
              <w:t>工作制度：</w:t>
            </w:r>
            <w:r>
              <w:rPr>
                <w:rFonts w:hint="eastAsia" w:ascii="Times New Roman" w:hAnsi="Times New Roman" w:eastAsia="宋体" w:cs="Times New Roman"/>
                <w:color w:val="auto"/>
                <w:sz w:val="26"/>
                <w:szCs w:val="26"/>
                <w:highlight w:val="none"/>
                <w:lang w:val="en-US" w:eastAsia="zh-CN"/>
              </w:rPr>
              <w:t>本项目生产线</w:t>
            </w:r>
            <w:r>
              <w:rPr>
                <w:rFonts w:hint="default" w:ascii="Times New Roman" w:hAnsi="Times New Roman" w:eastAsia="宋体" w:cs="Times New Roman"/>
                <w:color w:val="auto"/>
                <w:sz w:val="26"/>
                <w:szCs w:val="26"/>
                <w:highlight w:val="none"/>
                <w:lang w:val="en-US" w:eastAsia="zh-CN"/>
              </w:rPr>
              <w:t>全年</w:t>
            </w:r>
            <w:r>
              <w:rPr>
                <w:rFonts w:hint="eastAsia" w:ascii="Times New Roman" w:hAnsi="Times New Roman" w:eastAsia="宋体" w:cs="Times New Roman"/>
                <w:color w:val="auto"/>
                <w:sz w:val="26"/>
                <w:szCs w:val="26"/>
                <w:highlight w:val="none"/>
                <w:lang w:val="en-US" w:eastAsia="zh-CN"/>
              </w:rPr>
              <w:t>开机时间295</w:t>
            </w:r>
            <w:r>
              <w:rPr>
                <w:rFonts w:hint="default" w:ascii="Times New Roman" w:hAnsi="Times New Roman" w:eastAsia="宋体" w:cs="Times New Roman"/>
                <w:color w:val="auto"/>
                <w:sz w:val="26"/>
                <w:szCs w:val="26"/>
                <w:highlight w:val="none"/>
                <w:lang w:val="en-US" w:eastAsia="zh-CN"/>
              </w:rPr>
              <w:t>天，</w:t>
            </w:r>
            <w:r>
              <w:rPr>
                <w:rFonts w:hint="eastAsia" w:ascii="Times New Roman" w:hAnsi="Times New Roman" w:eastAsia="宋体" w:cs="Times New Roman"/>
                <w:color w:val="auto"/>
                <w:sz w:val="26"/>
                <w:szCs w:val="26"/>
                <w:highlight w:val="none"/>
                <w:lang w:val="en-US" w:eastAsia="zh-CN"/>
              </w:rPr>
              <w:t>3</w:t>
            </w:r>
            <w:r>
              <w:rPr>
                <w:rFonts w:hint="default" w:ascii="Times New Roman" w:hAnsi="Times New Roman" w:eastAsia="宋体" w:cs="Times New Roman"/>
                <w:color w:val="auto"/>
                <w:sz w:val="26"/>
                <w:szCs w:val="26"/>
                <w:highlight w:val="none"/>
                <w:lang w:val="en-US" w:eastAsia="zh-CN"/>
              </w:rPr>
              <w:t>班制，8小时</w:t>
            </w:r>
            <w:r>
              <w:rPr>
                <w:rFonts w:hint="eastAsia" w:ascii="Times New Roman" w:hAnsi="Times New Roman" w:eastAsia="宋体" w:cs="Times New Roman"/>
                <w:color w:val="auto"/>
                <w:sz w:val="26"/>
                <w:szCs w:val="26"/>
                <w:highlight w:val="none"/>
                <w:lang w:val="en-US" w:eastAsia="zh-CN"/>
              </w:rPr>
              <w:t>/班</w:t>
            </w:r>
            <w:r>
              <w:rPr>
                <w:rFonts w:hint="default" w:ascii="Times New Roman" w:hAnsi="Times New Roman" w:eastAsia="宋体" w:cs="Times New Roman"/>
                <w:color w:val="auto"/>
                <w:sz w:val="26"/>
                <w:szCs w:val="26"/>
                <w:highlight w:val="none"/>
                <w:lang w:val="en-US" w:eastAsia="zh-CN"/>
              </w:rPr>
              <w:t>。</w:t>
            </w:r>
          </w:p>
          <w:p w14:paraId="0DB2A79D">
            <w:pPr>
              <w:keepNext w:val="0"/>
              <w:keepLines w:val="0"/>
              <w:pageBreakBefore w:val="0"/>
              <w:widowControl w:val="0"/>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lang w:val="en-US" w:eastAsia="zh-CN"/>
              </w:rPr>
              <w:t>2.9</w:t>
            </w:r>
            <w:r>
              <w:rPr>
                <w:rFonts w:hint="default" w:ascii="Times New Roman" w:hAnsi="Times New Roman" w:eastAsia="宋体" w:cs="Times New Roman"/>
                <w:b/>
                <w:bCs/>
                <w:color w:val="auto"/>
                <w:kern w:val="0"/>
                <w:sz w:val="26"/>
                <w:szCs w:val="26"/>
                <w:lang w:val="en-US" w:eastAsia="zh-CN"/>
              </w:rPr>
              <w:t>厂区平面布置图</w:t>
            </w:r>
          </w:p>
          <w:p w14:paraId="3A802326">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本项目依托现有生产线进行生产，公辅工程均依托现有项目，本次厂区总平面布置就本项目建成后厂区总布置进行分析。</w:t>
            </w:r>
          </w:p>
          <w:p w14:paraId="204C2393">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厂区总占地面积35423.6m</w:t>
            </w:r>
            <w:r>
              <w:rPr>
                <w:rFonts w:hint="eastAsia" w:ascii="Times New Roman" w:hAnsi="Times New Roman" w:eastAsia="宋体" w:cs="Times New Roman"/>
                <w:color w:val="auto"/>
                <w:sz w:val="26"/>
                <w:szCs w:val="26"/>
                <w:vertAlign w:val="superscript"/>
                <w:lang w:val="en-US" w:eastAsia="zh-CN"/>
              </w:rPr>
              <w:t>2</w:t>
            </w:r>
            <w:r>
              <w:rPr>
                <w:rFonts w:hint="eastAsia" w:ascii="Times New Roman" w:hAnsi="Times New Roman" w:eastAsia="宋体" w:cs="Times New Roman"/>
                <w:color w:val="auto"/>
                <w:sz w:val="26"/>
                <w:szCs w:val="26"/>
                <w:lang w:val="en-US" w:eastAsia="zh-CN"/>
              </w:rPr>
              <w:t>，厂区北侧主要布置冷却塔、危废贮存库、一般固废暂存间等辅助设施，厂区中部布设熔铸车间（本次工程主体设施位于该车间内）及铝回收装置车间（该车间位于熔铸车间北侧），熔铸车间建筑面积11000m</w:t>
            </w:r>
            <w:r>
              <w:rPr>
                <w:rFonts w:hint="eastAsia" w:ascii="Times New Roman" w:hAnsi="Times New Roman" w:eastAsia="宋体" w:cs="Times New Roman"/>
                <w:color w:val="auto"/>
                <w:sz w:val="26"/>
                <w:szCs w:val="26"/>
                <w:vertAlign w:val="superscript"/>
                <w:lang w:val="en-US" w:eastAsia="zh-CN"/>
              </w:rPr>
              <w:t>2</w:t>
            </w:r>
            <w:r>
              <w:rPr>
                <w:rFonts w:hint="eastAsia" w:ascii="Times New Roman" w:hAnsi="Times New Roman" w:eastAsia="宋体" w:cs="Times New Roman"/>
                <w:color w:val="auto"/>
                <w:sz w:val="26"/>
                <w:szCs w:val="26"/>
                <w:lang w:val="en-US" w:eastAsia="zh-CN"/>
              </w:rPr>
              <w:t>。熔铸车间外东侧布设有办公楼和油库，熔铸车间南侧为空置厂房，生化池位于厂区东侧。空压机房位于熔铸车间外西侧。</w:t>
            </w:r>
          </w:p>
          <w:p w14:paraId="691E07A7">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从总体上看，</w:t>
            </w:r>
            <w:r>
              <w:rPr>
                <w:rFonts w:hint="eastAsia" w:ascii="Times New Roman" w:hAnsi="Times New Roman" w:eastAsia="宋体" w:cs="Times New Roman"/>
                <w:color w:val="auto"/>
                <w:sz w:val="26"/>
                <w:szCs w:val="26"/>
                <w:lang w:val="en-US" w:eastAsia="zh-CN"/>
              </w:rPr>
              <w:t>企业</w:t>
            </w:r>
            <w:r>
              <w:rPr>
                <w:rFonts w:hint="default" w:ascii="Times New Roman" w:hAnsi="Times New Roman" w:eastAsia="宋体" w:cs="Times New Roman"/>
                <w:color w:val="auto"/>
                <w:sz w:val="26"/>
                <w:szCs w:val="26"/>
                <w:lang w:val="en-US" w:eastAsia="zh-CN"/>
              </w:rPr>
              <w:t>总平面布置工艺流向顺畅，功能分区明确，布局紧凑、可实现各生产区之间的合理衔接，物料运送顺畅。从环保、安全角度考虑，布置是合理的</w:t>
            </w:r>
            <w:r>
              <w:rPr>
                <w:rFonts w:hint="eastAsia" w:ascii="Times New Roman" w:hAnsi="Times New Roman" w:eastAsia="宋体"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具体布置详见附图</w:t>
            </w:r>
            <w:r>
              <w:rPr>
                <w:rFonts w:hint="eastAsia" w:ascii="Times New Roman" w:hAnsi="Times New Roman" w:eastAsia="宋体" w:cs="Times New Roman"/>
                <w:color w:val="auto"/>
                <w:sz w:val="26"/>
                <w:szCs w:val="26"/>
                <w:lang w:val="en-US" w:eastAsia="zh-CN"/>
              </w:rPr>
              <w:t>。</w:t>
            </w:r>
          </w:p>
        </w:tc>
      </w:tr>
      <w:tr w14:paraId="28198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3" w:type="dxa"/>
            <w:tcBorders>
              <w:tl2br w:val="nil"/>
              <w:tr2bl w:val="nil"/>
            </w:tcBorders>
            <w:noWrap w:val="0"/>
            <w:vAlign w:val="center"/>
          </w:tcPr>
          <w:p w14:paraId="4F8DB943">
            <w:pPr>
              <w:bidi w:val="0"/>
              <w:jc w:val="center"/>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工艺流程和产排污环节</w:t>
            </w:r>
          </w:p>
        </w:tc>
        <w:tc>
          <w:tcPr>
            <w:tcW w:w="8587" w:type="dxa"/>
            <w:tcBorders>
              <w:tl2br w:val="nil"/>
              <w:tr2bl w:val="nil"/>
            </w:tcBorders>
            <w:noWrap w:val="0"/>
            <w:vAlign w:val="top"/>
          </w:tcPr>
          <w:p w14:paraId="4D4C60D7">
            <w:pPr>
              <w:keepNext w:val="0"/>
              <w:keepLines w:val="0"/>
              <w:pageBreakBefore w:val="0"/>
              <w:widowControl w:val="0"/>
              <w:kinsoku/>
              <w:wordWrap/>
              <w:overflowPunct/>
              <w:topLinePunct w:val="0"/>
              <w:autoSpaceDE w:val="0"/>
              <w:autoSpaceDN w:val="0"/>
              <w:bidi w:val="0"/>
              <w:adjustRightInd w:val="0"/>
              <w:snapToGrid/>
              <w:spacing w:line="460" w:lineRule="exact"/>
              <w:textAlignment w:val="auto"/>
              <w:rPr>
                <w:rFonts w:hint="eastAsia"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lang w:val="en-US" w:eastAsia="zh-CN"/>
              </w:rPr>
              <w:t>2.10施工期工艺流程及产污分析</w:t>
            </w:r>
          </w:p>
          <w:p w14:paraId="6BDCC324">
            <w:pPr>
              <w:spacing w:line="460" w:lineRule="exact"/>
              <w:ind w:firstLine="520" w:firstLineChars="200"/>
              <w:rPr>
                <w:rFonts w:hint="eastAsia" w:ascii="Times New Roman" w:hAnsi="Times New Roman" w:eastAsia="宋体" w:cs="Times New Roman"/>
                <w:color w:val="auto"/>
                <w:kern w:val="0"/>
                <w:sz w:val="26"/>
                <w:szCs w:val="26"/>
                <w:lang w:val="en-US" w:eastAsia="zh-CN" w:bidi="ar-SA"/>
              </w:rPr>
            </w:pPr>
            <w:r>
              <w:rPr>
                <w:rFonts w:hint="eastAsia" w:ascii="Times New Roman" w:hAnsi="Times New Roman" w:eastAsia="宋体" w:cs="Times New Roman"/>
                <w:color w:val="auto"/>
                <w:kern w:val="0"/>
                <w:sz w:val="26"/>
                <w:szCs w:val="26"/>
                <w:lang w:val="en-US" w:eastAsia="zh-CN" w:bidi="ar-SA"/>
              </w:rPr>
              <w:t>本项目在已建生产厂房进行建设，施工期主要为设备搬运。本项目施工期工艺流程及产污环节见图2.10-1。</w:t>
            </w:r>
          </w:p>
          <w:p w14:paraId="72E160CB">
            <w:pPr>
              <w:spacing w:line="240" w:lineRule="auto"/>
              <w:ind w:firstLine="0" w:firstLineChars="0"/>
              <w:jc w:val="center"/>
              <w:rPr>
                <w:rFonts w:hint="eastAsia" w:ascii="Times New Roman" w:hAnsi="Times New Roman" w:eastAsia="宋体" w:cs="Times New Roman"/>
                <w:color w:val="auto"/>
                <w:kern w:val="0"/>
                <w:sz w:val="26"/>
                <w:szCs w:val="26"/>
                <w:lang w:val="en-US" w:eastAsia="zh-CN" w:bidi="ar-SA"/>
              </w:rPr>
            </w:pPr>
          </w:p>
          <w:p w14:paraId="1A87EB70">
            <w:pPr>
              <w:spacing w:line="240" w:lineRule="auto"/>
              <w:ind w:firstLine="0" w:firstLineChars="0"/>
              <w:jc w:val="center"/>
              <w:rPr>
                <w:rFonts w:hint="eastAsia" w:ascii="Times New Roman" w:hAnsi="Times New Roman" w:eastAsia="宋体" w:cs="Times New Roman"/>
                <w:color w:val="auto"/>
                <w:kern w:val="0"/>
                <w:sz w:val="26"/>
                <w:szCs w:val="26"/>
                <w:lang w:val="en-US" w:eastAsia="zh-CN" w:bidi="ar-SA"/>
              </w:rPr>
            </w:pPr>
            <w:r>
              <w:rPr>
                <w:rFonts w:hint="eastAsia" w:ascii="Times New Roman" w:hAnsi="Times New Roman" w:eastAsia="宋体" w:cs="Times New Roman"/>
                <w:color w:val="auto"/>
                <w:kern w:val="0"/>
                <w:sz w:val="26"/>
                <w:szCs w:val="26"/>
                <w:lang w:val="en-US" w:eastAsia="zh-CN" w:bidi="ar-SA"/>
              </w:rPr>
              <w:object>
                <v:shape id="_x0000_i1026" o:spt="75" type="#_x0000_t75" style="height:123.4pt;width:226.75pt;" o:ole="t" filled="f" o:preferrelative="t" stroked="f" coordsize="21600,21600">
                  <v:path/>
                  <v:fill on="f" focussize="0,0"/>
                  <v:stroke on="f"/>
                  <v:imagedata r:id="rId15" cropbottom="7833f" o:title=""/>
                  <o:lock v:ext="edit" aspectratio="t"/>
                  <w10:wrap type="none"/>
                  <w10:anchorlock/>
                </v:shape>
                <o:OLEObject Type="Embed" ProgID="Visio.Drawing.11" ShapeID="_x0000_i1026" DrawAspect="Content" ObjectID="_1468075727" r:id="rId14">
                  <o:LockedField>false</o:LockedField>
                </o:OLEObject>
              </w:object>
            </w:r>
          </w:p>
          <w:p w14:paraId="74F917A2">
            <w:pPr>
              <w:spacing w:line="460" w:lineRule="exact"/>
              <w:ind w:firstLine="0" w:firstLineChars="0"/>
              <w:jc w:val="center"/>
              <w:rPr>
                <w:rFonts w:hint="eastAsia" w:ascii="Times New Roman" w:hAnsi="Times New Roman" w:eastAsia="宋体" w:cs="Times New Roman"/>
                <w:b/>
                <w:bCs/>
                <w:color w:val="auto"/>
                <w:kern w:val="0"/>
                <w:sz w:val="26"/>
                <w:szCs w:val="26"/>
                <w:u w:val="single"/>
                <w:lang w:val="en-US" w:eastAsia="zh-CN" w:bidi="ar-SA"/>
              </w:rPr>
            </w:pPr>
            <w:r>
              <w:rPr>
                <w:rFonts w:hint="eastAsia" w:ascii="Times New Roman" w:hAnsi="Times New Roman" w:eastAsia="宋体" w:cs="Times New Roman"/>
                <w:b/>
                <w:bCs/>
                <w:color w:val="auto"/>
                <w:kern w:val="0"/>
                <w:sz w:val="26"/>
                <w:szCs w:val="26"/>
                <w:u w:val="single"/>
                <w:lang w:val="en-US" w:eastAsia="zh-CN" w:bidi="ar-SA"/>
              </w:rPr>
              <w:t>图2.10-1  本项目施工期工艺流程及产污环节图</w:t>
            </w:r>
          </w:p>
          <w:p w14:paraId="28F4A4A9">
            <w:pPr>
              <w:spacing w:line="460" w:lineRule="exact"/>
              <w:ind w:firstLine="520" w:firstLineChars="200"/>
              <w:rPr>
                <w:rFonts w:hint="eastAsia" w:ascii="Times New Roman" w:hAnsi="Times New Roman" w:eastAsia="宋体" w:cs="Times New Roman"/>
                <w:color w:val="auto"/>
                <w:kern w:val="0"/>
                <w:sz w:val="26"/>
                <w:szCs w:val="26"/>
                <w:lang w:val="en-US" w:eastAsia="zh-CN" w:bidi="ar-SA"/>
              </w:rPr>
            </w:pPr>
            <w:r>
              <w:rPr>
                <w:rFonts w:hint="eastAsia" w:ascii="Times New Roman" w:hAnsi="Times New Roman" w:eastAsia="宋体" w:cs="Times New Roman"/>
                <w:color w:val="auto"/>
                <w:kern w:val="0"/>
                <w:sz w:val="26"/>
                <w:szCs w:val="26"/>
                <w:lang w:val="en-US" w:eastAsia="zh-CN" w:bidi="ar-SA"/>
              </w:rPr>
              <w:t>施工期建设内容主要为采购新购设备进入厂区内安装，主要污染工序为设备搬运、安装过程中产生的扬尘、噪声、废包装材料。</w:t>
            </w:r>
          </w:p>
          <w:p w14:paraId="1439C07A">
            <w:pPr>
              <w:keepNext w:val="0"/>
              <w:keepLines w:val="0"/>
              <w:pageBreakBefore w:val="0"/>
              <w:widowControl w:val="0"/>
              <w:kinsoku/>
              <w:wordWrap/>
              <w:overflowPunct/>
              <w:topLinePunct w:val="0"/>
              <w:autoSpaceDE w:val="0"/>
              <w:autoSpaceDN w:val="0"/>
              <w:bidi w:val="0"/>
              <w:adjustRightInd w:val="0"/>
              <w:snapToGrid/>
              <w:spacing w:line="460" w:lineRule="exact"/>
              <w:textAlignment w:val="auto"/>
              <w:rPr>
                <w:rFonts w:hint="eastAsia"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lang w:val="en-US" w:eastAsia="zh-CN"/>
              </w:rPr>
              <w:t>2.11运营期</w:t>
            </w:r>
          </w:p>
          <w:p w14:paraId="5B62204F">
            <w:pPr>
              <w:keepNext w:val="0"/>
              <w:keepLines w:val="0"/>
              <w:pageBreakBefore w:val="0"/>
              <w:widowControl w:val="0"/>
              <w:kinsoku/>
              <w:wordWrap/>
              <w:overflowPunct/>
              <w:topLinePunct w:val="0"/>
              <w:autoSpaceDE w:val="0"/>
              <w:autoSpaceDN w:val="0"/>
              <w:bidi w:val="0"/>
              <w:adjustRightInd w:val="0"/>
              <w:snapToGrid/>
              <w:spacing w:line="460" w:lineRule="exact"/>
              <w:textAlignment w:val="auto"/>
              <w:rPr>
                <w:rFonts w:hint="eastAsia"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lang w:val="en-US" w:eastAsia="zh-CN"/>
              </w:rPr>
              <w:t>2.11.1生产工艺流程及产污环节</w:t>
            </w:r>
          </w:p>
          <w:p w14:paraId="1AD5AAA7">
            <w:pPr>
              <w:spacing w:line="460" w:lineRule="exact"/>
              <w:ind w:firstLine="520" w:firstLineChars="200"/>
              <w:rPr>
                <w:rFonts w:hint="eastAsia" w:ascii="Times New Roman" w:hAnsi="Times New Roman" w:eastAsia="宋体" w:cs="Times New Roman"/>
                <w:color w:val="auto"/>
                <w:kern w:val="0"/>
                <w:sz w:val="26"/>
                <w:szCs w:val="26"/>
                <w:lang w:val="en-US" w:eastAsia="zh-CN" w:bidi="ar-SA"/>
              </w:rPr>
            </w:pPr>
            <w:r>
              <w:rPr>
                <w:rFonts w:hint="eastAsia" w:ascii="Times New Roman" w:hAnsi="Times New Roman" w:eastAsia="宋体" w:cs="Times New Roman"/>
                <w:color w:val="auto"/>
                <w:kern w:val="0"/>
                <w:sz w:val="26"/>
                <w:szCs w:val="26"/>
                <w:lang w:val="en-US" w:eastAsia="zh-CN" w:bidi="ar-SA"/>
              </w:rPr>
              <w:t>本项目主要生产铝合金圆铸棒，具体生产工艺流程及产污环节图详见下图。</w:t>
            </w:r>
          </w:p>
        </w:tc>
      </w:tr>
    </w:tbl>
    <w:p w14:paraId="208FB633">
      <w:pPr>
        <w:pStyle w:val="20"/>
        <w:jc w:val="both"/>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3251"/>
      </w:tblGrid>
      <w:tr w14:paraId="068F5D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24" w:hRule="atLeast"/>
          <w:jc w:val="center"/>
        </w:trPr>
        <w:tc>
          <w:tcPr>
            <w:tcW w:w="887" w:type="dxa"/>
            <w:tcBorders>
              <w:tl2br w:val="nil"/>
              <w:tr2bl w:val="nil"/>
            </w:tcBorders>
            <w:noWrap w:val="0"/>
            <w:vAlign w:val="top"/>
          </w:tcPr>
          <w:p w14:paraId="4A0CCDD8">
            <w:pPr>
              <w:keepNext w:val="0"/>
              <w:keepLines w:val="0"/>
              <w:pageBreakBefore w:val="0"/>
              <w:widowControl w:val="0"/>
              <w:kinsoku/>
              <w:wordWrap/>
              <w:overflowPunct/>
              <w:topLinePunct w:val="0"/>
              <w:autoSpaceDE w:val="0"/>
              <w:autoSpaceDN w:val="0"/>
              <w:bidi w:val="0"/>
              <w:adjustRightInd w:val="0"/>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p>
          <w:p w14:paraId="1700F37B">
            <w:pPr>
              <w:keepNext w:val="0"/>
              <w:keepLines w:val="0"/>
              <w:pageBreakBefore w:val="0"/>
              <w:widowControl w:val="0"/>
              <w:kinsoku/>
              <w:wordWrap/>
              <w:overflowPunct/>
              <w:topLinePunct w:val="0"/>
              <w:autoSpaceDE w:val="0"/>
              <w:autoSpaceDN w:val="0"/>
              <w:bidi w:val="0"/>
              <w:adjustRightInd w:val="0"/>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p>
          <w:p w14:paraId="252F2C88">
            <w:pPr>
              <w:keepNext w:val="0"/>
              <w:keepLines w:val="0"/>
              <w:pageBreakBefore w:val="0"/>
              <w:widowControl w:val="0"/>
              <w:kinsoku/>
              <w:wordWrap/>
              <w:overflowPunct/>
              <w:topLinePunct w:val="0"/>
              <w:autoSpaceDE w:val="0"/>
              <w:autoSpaceDN w:val="0"/>
              <w:bidi w:val="0"/>
              <w:adjustRightInd w:val="0"/>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p>
          <w:p w14:paraId="2A299CCE">
            <w:pPr>
              <w:keepNext w:val="0"/>
              <w:keepLines w:val="0"/>
              <w:pageBreakBefore w:val="0"/>
              <w:widowControl w:val="0"/>
              <w:kinsoku/>
              <w:wordWrap/>
              <w:overflowPunct/>
              <w:topLinePunct w:val="0"/>
              <w:autoSpaceDE w:val="0"/>
              <w:autoSpaceDN w:val="0"/>
              <w:bidi w:val="0"/>
              <w:adjustRightInd w:val="0"/>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p>
          <w:p w14:paraId="1A76D5FB">
            <w:pPr>
              <w:keepNext w:val="0"/>
              <w:keepLines w:val="0"/>
              <w:pageBreakBefore w:val="0"/>
              <w:widowControl w:val="0"/>
              <w:kinsoku/>
              <w:wordWrap/>
              <w:overflowPunct/>
              <w:topLinePunct w:val="0"/>
              <w:autoSpaceDE w:val="0"/>
              <w:autoSpaceDN w:val="0"/>
              <w:bidi w:val="0"/>
              <w:adjustRightInd w:val="0"/>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p>
          <w:p w14:paraId="29695E0C">
            <w:pPr>
              <w:keepNext w:val="0"/>
              <w:keepLines w:val="0"/>
              <w:pageBreakBefore w:val="0"/>
              <w:widowControl w:val="0"/>
              <w:kinsoku/>
              <w:wordWrap/>
              <w:overflowPunct/>
              <w:topLinePunct w:val="0"/>
              <w:autoSpaceDE w:val="0"/>
              <w:autoSpaceDN w:val="0"/>
              <w:bidi w:val="0"/>
              <w:adjustRightInd w:val="0"/>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p>
          <w:p w14:paraId="2BD9751B">
            <w:pPr>
              <w:keepNext w:val="0"/>
              <w:keepLines w:val="0"/>
              <w:pageBreakBefore w:val="0"/>
              <w:widowControl w:val="0"/>
              <w:kinsoku/>
              <w:wordWrap/>
              <w:overflowPunct/>
              <w:topLinePunct w:val="0"/>
              <w:autoSpaceDE w:val="0"/>
              <w:autoSpaceDN w:val="0"/>
              <w:bidi w:val="0"/>
              <w:adjustRightInd w:val="0"/>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p>
          <w:p w14:paraId="3241D9E7">
            <w:pPr>
              <w:keepNext w:val="0"/>
              <w:keepLines w:val="0"/>
              <w:pageBreakBefore w:val="0"/>
              <w:widowControl w:val="0"/>
              <w:kinsoku/>
              <w:wordWrap/>
              <w:overflowPunct/>
              <w:topLinePunct w:val="0"/>
              <w:autoSpaceDE w:val="0"/>
              <w:autoSpaceDN w:val="0"/>
              <w:bidi w:val="0"/>
              <w:adjustRightInd w:val="0"/>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p>
          <w:p w14:paraId="78788478">
            <w:pPr>
              <w:pStyle w:val="20"/>
              <w:jc w:val="both"/>
              <w:rPr>
                <w:rFonts w:hint="default" w:ascii="Times New Roman" w:hAnsi="Times New Roman" w:cs="Times New Roman"/>
                <w:b/>
                <w:color w:val="auto"/>
                <w:kern w:val="0"/>
                <w:sz w:val="26"/>
                <w:szCs w:val="26"/>
                <w:vertAlign w:val="baseline"/>
              </w:rPr>
            </w:pPr>
            <w:r>
              <w:rPr>
                <w:rFonts w:hint="default" w:ascii="Times New Roman" w:hAnsi="Times New Roman" w:cs="Times New Roman"/>
                <w:color w:val="auto"/>
                <w:sz w:val="26"/>
                <w:szCs w:val="26"/>
              </w:rPr>
              <w:t>工艺流程和产排污环节</w:t>
            </w:r>
          </w:p>
        </w:tc>
        <w:tc>
          <w:tcPr>
            <w:tcW w:w="12512" w:type="dxa"/>
            <w:tcBorders>
              <w:tl2br w:val="nil"/>
              <w:tr2bl w:val="nil"/>
            </w:tcBorders>
            <w:noWrap w:val="0"/>
            <w:vAlign w:val="top"/>
          </w:tcPr>
          <w:p w14:paraId="46DB73C9">
            <w:pPr>
              <w:pStyle w:val="20"/>
              <w:jc w:val="both"/>
              <w:rPr>
                <w:rFonts w:hint="default" w:ascii="Times New Roman" w:hAnsi="Times New Roman" w:cs="Times New Roman"/>
                <w:b/>
                <w:color w:val="auto"/>
                <w:kern w:val="0"/>
                <w:sz w:val="26"/>
                <w:szCs w:val="26"/>
                <w:vertAlign w:val="baseline"/>
              </w:rPr>
            </w:pPr>
            <w:r>
              <w:rPr>
                <w:rFonts w:hint="default" w:ascii="Times New Roman" w:hAnsi="Times New Roman" w:cs="Times New Roman"/>
                <w:b/>
                <w:color w:val="auto"/>
                <w:kern w:val="0"/>
                <w:sz w:val="26"/>
                <w:szCs w:val="26"/>
                <w:vertAlign w:val="baseline"/>
              </w:rPr>
              <w:object>
                <v:shape id="_x0000_i1027" o:spt="75" type="#_x0000_t75" style="height:352.5pt;width:651.75pt;" o:ole="t" filled="f" o:preferrelative="t" stroked="f" coordsize="21600,21600">
                  <v:path/>
                  <v:fill on="f" focussize="0,0"/>
                  <v:stroke on="f"/>
                  <v:imagedata r:id="rId17" o:title=""/>
                  <o:lock v:ext="edit" aspectratio="f"/>
                  <w10:wrap type="none"/>
                  <w10:anchorlock/>
                </v:shape>
                <o:OLEObject Type="Embed" ProgID="Visio.Drawing.15" ShapeID="_x0000_i1027" DrawAspect="Content" ObjectID="_1468075728" r:id="rId16">
                  <o:LockedField>false</o:LockedField>
                </o:OLEObject>
              </w:object>
            </w:r>
          </w:p>
          <w:p w14:paraId="70D96FD2">
            <w:pPr>
              <w:spacing w:line="460" w:lineRule="exact"/>
              <w:jc w:val="both"/>
              <w:rPr>
                <w:rFonts w:hint="eastAsia" w:ascii="Times New Roman" w:hAnsi="Times New Roman" w:eastAsia="宋体" w:cs="Times New Roman"/>
                <w:b/>
                <w:bCs/>
                <w:color w:val="auto"/>
                <w:sz w:val="26"/>
                <w:szCs w:val="26"/>
                <w:lang w:val="zh-CN" w:eastAsia="zh-CN"/>
              </w:rPr>
            </w:pPr>
          </w:p>
          <w:p w14:paraId="5EC35FDC">
            <w:pPr>
              <w:spacing w:line="460" w:lineRule="exact"/>
              <w:jc w:val="center"/>
              <w:rPr>
                <w:rFonts w:hint="eastAsia" w:ascii="Times New Roman" w:hAnsi="Times New Roman" w:eastAsia="宋体" w:cs="Times New Roman"/>
                <w:b/>
                <w:bCs/>
                <w:color w:val="auto"/>
                <w:sz w:val="26"/>
                <w:szCs w:val="26"/>
                <w:u w:val="single"/>
                <w:lang w:val="zh-CN" w:eastAsia="zh-CN"/>
              </w:rPr>
            </w:pPr>
            <w:r>
              <w:rPr>
                <w:rFonts w:hint="eastAsia" w:ascii="Times New Roman" w:hAnsi="Times New Roman" w:eastAsia="宋体" w:cs="Times New Roman"/>
                <w:b/>
                <w:bCs/>
                <w:color w:val="auto"/>
                <w:sz w:val="26"/>
                <w:szCs w:val="26"/>
                <w:u w:val="single"/>
                <w:lang w:val="zh-CN" w:eastAsia="zh-CN"/>
              </w:rPr>
              <w:t>图</w:t>
            </w:r>
            <w:r>
              <w:rPr>
                <w:rFonts w:hint="eastAsia" w:ascii="Times New Roman" w:hAnsi="Times New Roman" w:eastAsia="宋体" w:cs="Times New Roman"/>
                <w:b/>
                <w:bCs/>
                <w:color w:val="auto"/>
                <w:sz w:val="26"/>
                <w:szCs w:val="26"/>
                <w:u w:val="single"/>
                <w:lang w:val="en-US" w:eastAsia="zh-CN"/>
              </w:rPr>
              <w:t>2.11-1</w:t>
            </w:r>
            <w:r>
              <w:rPr>
                <w:rFonts w:hint="eastAsia" w:ascii="Times New Roman" w:hAnsi="Times New Roman" w:eastAsia="宋体" w:cs="Times New Roman"/>
                <w:b/>
                <w:bCs/>
                <w:color w:val="auto"/>
                <w:sz w:val="26"/>
                <w:szCs w:val="26"/>
                <w:u w:val="single"/>
                <w:lang w:val="zh-CN" w:eastAsia="zh-CN"/>
              </w:rPr>
              <w:t xml:space="preserve">  铝棒生产工艺流程及产污环节图</w:t>
            </w:r>
          </w:p>
          <w:p w14:paraId="3A66CD3D">
            <w:pPr>
              <w:spacing w:line="460" w:lineRule="exact"/>
              <w:jc w:val="center"/>
              <w:rPr>
                <w:rFonts w:hint="eastAsia" w:ascii="Times New Roman" w:hAnsi="Times New Roman" w:eastAsia="宋体" w:cs="Times New Roman"/>
                <w:b/>
                <w:bCs/>
                <w:color w:val="auto"/>
                <w:sz w:val="26"/>
                <w:szCs w:val="26"/>
                <w:u w:val="single"/>
                <w:lang w:val="zh-CN" w:eastAsia="zh-CN"/>
              </w:rPr>
            </w:pPr>
          </w:p>
          <w:p w14:paraId="34CD0C35">
            <w:pPr>
              <w:spacing w:line="460" w:lineRule="exact"/>
              <w:jc w:val="center"/>
              <w:rPr>
                <w:rFonts w:hint="default" w:ascii="Times New Roman" w:hAnsi="Times New Roman" w:eastAsia="宋体" w:cs="Times New Roman"/>
                <w:b/>
                <w:bCs/>
                <w:color w:val="auto"/>
                <w:sz w:val="26"/>
                <w:szCs w:val="26"/>
                <w:u w:val="single"/>
                <w:lang w:val="zh-CN" w:eastAsia="zh-CN"/>
              </w:rPr>
            </w:pPr>
          </w:p>
        </w:tc>
      </w:tr>
    </w:tbl>
    <w:p w14:paraId="18C4ADAB">
      <w:pPr>
        <w:pStyle w:val="20"/>
        <w:jc w:val="both"/>
        <w:rPr>
          <w:rFonts w:hint="default" w:ascii="Times New Roman" w:hAnsi="Times New Roman" w:eastAsia="黑体" w:cs="Times New Roman"/>
          <w:snapToGrid w:val="0"/>
          <w:color w:val="auto"/>
          <w:sz w:val="36"/>
          <w:szCs w:val="36"/>
        </w:rPr>
        <w:sectPr>
          <w:pgSz w:w="16838" w:h="11906" w:orient="landscape"/>
          <w:pgMar w:top="1191" w:right="1417" w:bottom="1191" w:left="141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0E600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823" w:type="dxa"/>
            <w:tcBorders>
              <w:tl2br w:val="nil"/>
              <w:tr2bl w:val="nil"/>
            </w:tcBorders>
            <w:noWrap w:val="0"/>
            <w:vAlign w:val="center"/>
          </w:tcPr>
          <w:p w14:paraId="2433E7D1">
            <w:pPr>
              <w:pStyle w:val="20"/>
              <w:adjustRightInd w:val="0"/>
              <w:snapToGrid w:val="0"/>
              <w:spacing w:before="0" w:beforeAutospacing="0" w:after="0" w:afterAutospacing="0"/>
              <w:jc w:val="center"/>
              <w:rPr>
                <w:rFonts w:hint="default" w:ascii="Times New Roman" w:hAnsi="Times New Roman" w:cs="Times New Roman"/>
                <w:color w:val="auto"/>
                <w:sz w:val="26"/>
                <w:szCs w:val="26"/>
              </w:rPr>
            </w:pPr>
            <w:r>
              <w:rPr>
                <w:rFonts w:hint="default" w:ascii="Times New Roman" w:hAnsi="Times New Roman" w:cs="Times New Roman"/>
                <w:color w:val="auto"/>
                <w:sz w:val="26"/>
                <w:szCs w:val="26"/>
              </w:rPr>
              <w:t>工艺流程和产排污环节</w:t>
            </w:r>
          </w:p>
        </w:tc>
        <w:tc>
          <w:tcPr>
            <w:tcW w:w="8161" w:type="dxa"/>
            <w:tcBorders>
              <w:tl2br w:val="nil"/>
              <w:tr2bl w:val="nil"/>
            </w:tcBorders>
            <w:noWrap w:val="0"/>
            <w:vAlign w:val="top"/>
          </w:tcPr>
          <w:p w14:paraId="2C0BF85C">
            <w:pPr>
              <w:keepNext w:val="0"/>
              <w:keepLines w:val="0"/>
              <w:pageBreakBefore w:val="0"/>
              <w:numPr>
                <w:ilvl w:val="0"/>
                <w:numId w:val="3"/>
              </w:numPr>
              <w:kinsoku/>
              <w:wordWrap/>
              <w:overflowPunct/>
              <w:topLinePunct w:val="0"/>
              <w:autoSpaceDE/>
              <w:autoSpaceDN/>
              <w:bidi w:val="0"/>
              <w:adjustRightInd/>
              <w:snapToGrid/>
              <w:spacing w:line="460" w:lineRule="exact"/>
              <w:ind w:firstLine="522" w:firstLineChars="200"/>
              <w:textAlignment w:val="auto"/>
              <w:rPr>
                <w:rFonts w:hint="default" w:ascii="Times New Roman" w:hAnsi="Times New Roman" w:eastAsia="宋体" w:cs="Times New Roman"/>
                <w:b/>
                <w:bCs/>
                <w:color w:val="auto"/>
                <w:kern w:val="2"/>
                <w:sz w:val="26"/>
                <w:szCs w:val="26"/>
                <w:highlight w:val="none"/>
                <w:lang w:val="en-US" w:eastAsia="zh-CN" w:bidi="ar-SA"/>
              </w:rPr>
            </w:pPr>
            <w:r>
              <w:rPr>
                <w:rFonts w:hint="default" w:ascii="Times New Roman" w:hAnsi="Times New Roman" w:eastAsia="宋体" w:cs="Times New Roman"/>
                <w:b/>
                <w:bCs/>
                <w:color w:val="auto"/>
                <w:sz w:val="26"/>
                <w:szCs w:val="26"/>
                <w:u w:val="none"/>
                <w:lang w:val="en-US" w:eastAsia="zh-CN"/>
              </w:rPr>
              <w:t>熔炼</w:t>
            </w:r>
          </w:p>
          <w:p w14:paraId="2E3195E6">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kern w:val="2"/>
                <w:sz w:val="26"/>
                <w:szCs w:val="26"/>
                <w:highlight w:val="none"/>
                <w:lang w:val="en-US" w:eastAsia="zh-CN" w:bidi="ar-SA"/>
              </w:rPr>
            </w:pPr>
            <w:r>
              <w:rPr>
                <w:rFonts w:hint="default" w:ascii="Times New Roman" w:hAnsi="Times New Roman" w:eastAsia="宋体" w:cs="Times New Roman"/>
                <w:color w:val="auto"/>
                <w:kern w:val="2"/>
                <w:sz w:val="26"/>
                <w:szCs w:val="26"/>
                <w:highlight w:val="none"/>
                <w:lang w:val="en-US" w:eastAsia="zh-CN" w:bidi="ar-SA"/>
              </w:rPr>
              <w:t>根据客户所需产品制定配料比例，将纯铝液和单质金属料利用叉车将其物料装入熔炼炉。该生产线采用蓄热式高效熔炼炉，蓄热式燃烧系统由两个交替工作的可燃气体通过的蓄热箱A、B组成，蓄热箱内含25 mm蓄热球。每个蓄热箱体前端对应一个烧嘴A、B，当A烧嘴燃烧时，高温烟气从B烧嘴对应蓄热箱中的蓄热球中经换热后排出，温度在2s内冷却到200℃以下后排出；当B烧嘴燃烧时冷空气穿过B烧嘴蓄热箱被蓄热球预热后（通常预热温度可达800℃以上）再进入炉膛燃烧，同时A烧嘴重复进行B烧嘴刚才的排烟蓄热操作。在PLC程序的自动控制下，三通换向阀以一定的频率进行切换，使两个燃烧器始终处于蓄热与放热交替工作状态。由于加热和冷却的交替进行，炉膛内的燃气始终在高温助燃空气中燃烧，既能有效地利用烟气余热，又可使燃料燃烧更加充分，提高热效率。</w:t>
            </w:r>
          </w:p>
          <w:p w14:paraId="3D79A6F3">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left"/>
              <w:textAlignment w:val="auto"/>
              <w:rPr>
                <w:rFonts w:hint="default" w:ascii="Times New Roman" w:hAnsi="Times New Roman" w:eastAsia="宋体" w:cs="Times New Roman"/>
                <w:color w:val="auto"/>
                <w:kern w:val="2"/>
                <w:sz w:val="26"/>
                <w:szCs w:val="26"/>
                <w:highlight w:val="none"/>
                <w:lang w:val="en-US" w:eastAsia="zh-CN" w:bidi="ar-SA"/>
              </w:rPr>
            </w:pPr>
            <w:r>
              <w:rPr>
                <w:rFonts w:hint="default" w:ascii="Times New Roman" w:hAnsi="Times New Roman" w:eastAsia="宋体" w:cs="Times New Roman"/>
                <w:color w:val="auto"/>
                <w:kern w:val="0"/>
                <w:sz w:val="26"/>
                <w:szCs w:val="26"/>
                <w:lang w:val="en-US" w:eastAsia="zh-CN" w:bidi="ar"/>
              </w:rPr>
              <w:t>熔池内铝液通过电磁搅拌器搅拌，可使池内炉内铝液充分循环起来，使加入的单质金属（硅、镁、铜</w:t>
            </w:r>
            <w:r>
              <w:rPr>
                <w:rFonts w:hint="eastAsia" w:ascii="Times New Roman" w:hAnsi="Times New Roman" w:eastAsia="宋体" w:cs="Times New Roman"/>
                <w:color w:val="auto"/>
                <w:kern w:val="0"/>
                <w:sz w:val="26"/>
                <w:szCs w:val="26"/>
                <w:lang w:val="en-US" w:eastAsia="zh-CN" w:bidi="ar"/>
              </w:rPr>
              <w:t>等</w:t>
            </w:r>
            <w:r>
              <w:rPr>
                <w:rFonts w:hint="default" w:ascii="Times New Roman" w:hAnsi="Times New Roman" w:eastAsia="宋体" w:cs="Times New Roman"/>
                <w:color w:val="auto"/>
                <w:kern w:val="0"/>
                <w:sz w:val="26"/>
                <w:szCs w:val="26"/>
                <w:lang w:val="en-US" w:eastAsia="zh-CN" w:bidi="ar"/>
              </w:rPr>
              <w:t>）加快熔化，可有效减低铝料烧损。</w:t>
            </w:r>
          </w:p>
          <w:p w14:paraId="41A6293B">
            <w:pPr>
              <w:keepNext w:val="0"/>
              <w:keepLines w:val="0"/>
              <w:pageBreakBefore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lang w:val="en-US" w:eastAsia="zh-CN"/>
              </w:rPr>
              <w:t>随后扒渣采用</w:t>
            </w:r>
            <w:r>
              <w:rPr>
                <w:rFonts w:hint="default" w:ascii="Times New Roman" w:hAnsi="Times New Roman" w:eastAsia="宋体" w:cs="Times New Roman"/>
                <w:color w:val="auto"/>
                <w:sz w:val="26"/>
                <w:szCs w:val="26"/>
              </w:rPr>
              <w:t>机械扒渣</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通过机械方式扒除表面的浮渣</w:t>
            </w:r>
            <w:r>
              <w:rPr>
                <w:rFonts w:hint="default" w:ascii="Times New Roman" w:hAnsi="Times New Roman" w:eastAsia="宋体" w:cs="Times New Roman"/>
                <w:color w:val="auto"/>
                <w:sz w:val="26"/>
                <w:szCs w:val="26"/>
                <w:lang w:val="en-US" w:eastAsia="zh-CN"/>
              </w:rPr>
              <w:t>，针对多批次铝液采取抽样</w:t>
            </w:r>
            <w:r>
              <w:rPr>
                <w:rFonts w:hint="default" w:ascii="Times New Roman" w:hAnsi="Times New Roman" w:eastAsia="宋体" w:cs="Times New Roman"/>
                <w:color w:val="auto"/>
                <w:sz w:val="26"/>
                <w:szCs w:val="26"/>
              </w:rPr>
              <w:t>提取</w:t>
            </w:r>
            <w:r>
              <w:rPr>
                <w:rFonts w:hint="default" w:ascii="Times New Roman" w:hAnsi="Times New Roman" w:eastAsia="宋体" w:cs="Times New Roman"/>
                <w:color w:val="auto"/>
                <w:sz w:val="26"/>
                <w:szCs w:val="26"/>
                <w:lang w:val="en-US" w:eastAsia="zh-CN"/>
              </w:rPr>
              <w:t>方式</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val="en-US" w:eastAsia="zh-CN"/>
              </w:rPr>
              <w:t>并委托西南铝集团实验室</w:t>
            </w:r>
            <w:r>
              <w:rPr>
                <w:rFonts w:hint="default" w:ascii="Times New Roman" w:hAnsi="Times New Roman" w:eastAsia="宋体" w:cs="Times New Roman"/>
                <w:color w:val="auto"/>
                <w:sz w:val="26"/>
                <w:szCs w:val="26"/>
              </w:rPr>
              <w:t>进行成分分析</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西南铝集团实验室距离本项目较近，满足生产时效性</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当分析结果</w:t>
            </w:r>
            <w:r>
              <w:rPr>
                <w:rFonts w:hint="default" w:ascii="Times New Roman" w:hAnsi="Times New Roman" w:eastAsia="宋体" w:cs="Times New Roman"/>
                <w:color w:val="auto"/>
                <w:sz w:val="26"/>
                <w:szCs w:val="26"/>
                <w:lang w:val="en-US" w:eastAsia="zh-CN"/>
              </w:rPr>
              <w:t>与</w:t>
            </w:r>
            <w:r>
              <w:rPr>
                <w:rFonts w:hint="default" w:ascii="Times New Roman" w:hAnsi="Times New Roman" w:eastAsia="宋体" w:cs="Times New Roman"/>
                <w:color w:val="auto"/>
                <w:sz w:val="26"/>
                <w:szCs w:val="26"/>
              </w:rPr>
              <w:t>合金标准或成分要求不相符时应调整成分，通过冲淡或补料调整</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直至合格</w:t>
            </w:r>
            <w:r>
              <w:rPr>
                <w:rFonts w:hint="default" w:ascii="Times New Roman" w:hAnsi="Times New Roman" w:eastAsia="宋体" w:cs="Times New Roman"/>
                <w:color w:val="auto"/>
                <w:sz w:val="26"/>
                <w:szCs w:val="26"/>
              </w:rPr>
              <w:t>。</w:t>
            </w:r>
          </w:p>
          <w:p w14:paraId="52785991">
            <w:pPr>
              <w:keepNext w:val="0"/>
              <w:keepLines w:val="0"/>
              <w:pageBreakBefore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该生产线</w:t>
            </w:r>
            <w:r>
              <w:rPr>
                <w:rFonts w:hint="default" w:ascii="Times New Roman" w:hAnsi="Times New Roman" w:eastAsia="宋体" w:cs="Times New Roman"/>
                <w:color w:val="auto"/>
                <w:sz w:val="26"/>
                <w:szCs w:val="26"/>
              </w:rPr>
              <w:t>熔池温度约750℃</w:t>
            </w:r>
            <w:r>
              <w:rPr>
                <w:rFonts w:hint="default" w:ascii="Times New Roman" w:hAnsi="Times New Roman" w:eastAsia="宋体" w:cs="Times New Roman"/>
                <w:color w:val="auto"/>
                <w:sz w:val="26"/>
                <w:szCs w:val="26"/>
                <w:lang w:val="en-US" w:eastAsia="zh-CN"/>
              </w:rPr>
              <w:t>~1080</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val="en-US" w:eastAsia="zh-CN"/>
              </w:rPr>
              <w:t>单批次</w:t>
            </w:r>
            <w:r>
              <w:rPr>
                <w:rFonts w:hint="default" w:ascii="Times New Roman" w:hAnsi="Times New Roman" w:eastAsia="宋体" w:cs="Times New Roman"/>
                <w:color w:val="auto"/>
                <w:sz w:val="26"/>
                <w:szCs w:val="26"/>
              </w:rPr>
              <w:t>熔炼工序时长约</w:t>
            </w:r>
            <w:r>
              <w:rPr>
                <w:rFonts w:hint="default" w:ascii="Times New Roman" w:hAnsi="Times New Roman" w:eastAsia="宋体" w:cs="Times New Roman"/>
                <w:color w:val="auto"/>
                <w:sz w:val="26"/>
                <w:szCs w:val="26"/>
                <w:lang w:val="en-US" w:eastAsia="zh-CN"/>
              </w:rPr>
              <w:t>2</w:t>
            </w:r>
            <w:r>
              <w:rPr>
                <w:rFonts w:hint="default" w:ascii="Times New Roman" w:hAnsi="Times New Roman" w:eastAsia="宋体" w:cs="Times New Roman"/>
                <w:color w:val="auto"/>
                <w:sz w:val="26"/>
                <w:szCs w:val="26"/>
              </w:rPr>
              <w:t>h</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炉料按批次添加，</w:t>
            </w:r>
            <w:r>
              <w:rPr>
                <w:rFonts w:hint="default" w:ascii="Times New Roman" w:hAnsi="Times New Roman" w:eastAsia="宋体" w:cs="Times New Roman"/>
                <w:color w:val="auto"/>
                <w:sz w:val="26"/>
                <w:szCs w:val="26"/>
                <w:lang w:val="en-US" w:eastAsia="zh-CN"/>
              </w:rPr>
              <w:t>25t炉年</w:t>
            </w:r>
            <w:r>
              <w:rPr>
                <w:rFonts w:hint="eastAsia" w:ascii="Times New Roman" w:hAnsi="Times New Roman" w:eastAsia="宋体" w:cs="Times New Roman"/>
                <w:color w:val="auto"/>
                <w:sz w:val="26"/>
                <w:szCs w:val="26"/>
                <w:lang w:val="en-US" w:eastAsia="zh-CN"/>
              </w:rPr>
              <w:t>708</w:t>
            </w:r>
            <w:r>
              <w:rPr>
                <w:rFonts w:hint="default" w:ascii="Times New Roman" w:hAnsi="Times New Roman" w:eastAsia="宋体" w:cs="Times New Roman"/>
                <w:color w:val="auto"/>
                <w:sz w:val="26"/>
                <w:szCs w:val="26"/>
                <w:lang w:val="en-US" w:eastAsia="zh-CN"/>
              </w:rPr>
              <w:t>批次，单批次</w:t>
            </w:r>
            <w:r>
              <w:rPr>
                <w:rFonts w:hint="default" w:ascii="Times New Roman" w:hAnsi="Times New Roman" w:eastAsia="宋体" w:cs="Times New Roman"/>
                <w:color w:val="auto"/>
                <w:sz w:val="26"/>
                <w:szCs w:val="26"/>
              </w:rPr>
              <w:t>物料添加量为</w:t>
            </w:r>
            <w:r>
              <w:rPr>
                <w:rFonts w:hint="default" w:ascii="Times New Roman" w:hAnsi="Times New Roman" w:eastAsia="宋体" w:cs="Times New Roman"/>
                <w:color w:val="auto"/>
                <w:sz w:val="26"/>
                <w:szCs w:val="26"/>
                <w:lang w:val="en-US" w:eastAsia="zh-CN"/>
              </w:rPr>
              <w:t>25</w:t>
            </w:r>
            <w:r>
              <w:rPr>
                <w:rFonts w:hint="default" w:ascii="Times New Roman" w:hAnsi="Times New Roman" w:eastAsia="宋体" w:cs="Times New Roman"/>
                <w:color w:val="auto"/>
                <w:sz w:val="26"/>
                <w:szCs w:val="26"/>
              </w:rPr>
              <w:t>t</w:t>
            </w:r>
            <w:r>
              <w:rPr>
                <w:rFonts w:hint="default" w:ascii="Times New Roman" w:hAnsi="Times New Roman" w:eastAsia="宋体" w:cs="Times New Roman"/>
                <w:color w:val="auto"/>
                <w:sz w:val="26"/>
                <w:szCs w:val="26"/>
                <w:lang w:val="en-US" w:eastAsia="zh-CN"/>
              </w:rPr>
              <w:t>左右，16t炉年</w:t>
            </w:r>
            <w:r>
              <w:rPr>
                <w:rFonts w:hint="eastAsia" w:ascii="Times New Roman" w:hAnsi="Times New Roman" w:eastAsia="宋体" w:cs="Times New Roman"/>
                <w:color w:val="auto"/>
                <w:sz w:val="26"/>
                <w:szCs w:val="26"/>
                <w:lang w:val="en-US" w:eastAsia="zh-CN"/>
              </w:rPr>
              <w:t>1180</w:t>
            </w:r>
            <w:r>
              <w:rPr>
                <w:rFonts w:hint="default" w:ascii="Times New Roman" w:hAnsi="Times New Roman" w:eastAsia="宋体" w:cs="Times New Roman"/>
                <w:color w:val="auto"/>
                <w:sz w:val="26"/>
                <w:szCs w:val="26"/>
                <w:lang w:val="en-US" w:eastAsia="zh-CN"/>
              </w:rPr>
              <w:t>批次，单批次</w:t>
            </w:r>
            <w:r>
              <w:rPr>
                <w:rFonts w:hint="default" w:ascii="Times New Roman" w:hAnsi="Times New Roman" w:eastAsia="宋体" w:cs="Times New Roman"/>
                <w:color w:val="auto"/>
                <w:sz w:val="26"/>
                <w:szCs w:val="26"/>
              </w:rPr>
              <w:t>物料添加量为</w:t>
            </w:r>
            <w:r>
              <w:rPr>
                <w:rFonts w:hint="default" w:ascii="Times New Roman" w:hAnsi="Times New Roman" w:eastAsia="宋体" w:cs="Times New Roman"/>
                <w:color w:val="auto"/>
                <w:sz w:val="26"/>
                <w:szCs w:val="26"/>
                <w:lang w:val="en-US" w:eastAsia="zh-CN"/>
              </w:rPr>
              <w:t>16t左右</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熔体</w:t>
            </w:r>
            <w:r>
              <w:rPr>
                <w:rFonts w:hint="default" w:ascii="Times New Roman" w:hAnsi="Times New Roman" w:eastAsia="宋体" w:cs="Times New Roman"/>
                <w:color w:val="auto"/>
                <w:sz w:val="26"/>
                <w:szCs w:val="26"/>
                <w:lang w:val="en-US" w:eastAsia="zh-CN"/>
              </w:rPr>
              <w:t>加料、扒渣、取样分析过程需要开启炉门，每批次熔炼过程一般需开启炉门3次，每次开启时间5~15min，每批次熔炼过程开启炉门时长约</w:t>
            </w:r>
            <w:r>
              <w:rPr>
                <w:rFonts w:hint="eastAsia" w:ascii="Times New Roman" w:hAnsi="Times New Roman" w:eastAsia="宋体" w:cs="Times New Roman"/>
                <w:color w:val="auto"/>
                <w:sz w:val="26"/>
                <w:szCs w:val="26"/>
                <w:lang w:val="en-US" w:eastAsia="zh-CN"/>
              </w:rPr>
              <w:t>45</w:t>
            </w:r>
            <w:r>
              <w:rPr>
                <w:rFonts w:hint="default" w:ascii="Times New Roman" w:hAnsi="Times New Roman" w:eastAsia="宋体" w:cs="Times New Roman"/>
                <w:color w:val="auto"/>
                <w:sz w:val="26"/>
                <w:szCs w:val="26"/>
                <w:lang w:val="en-US" w:eastAsia="zh-CN"/>
              </w:rPr>
              <w:t>min，则25t炉熔炼阶段炉门开启时长年约</w:t>
            </w:r>
            <w:r>
              <w:rPr>
                <w:rFonts w:hint="eastAsia" w:ascii="Times New Roman" w:hAnsi="Times New Roman" w:eastAsia="宋体" w:cs="Times New Roman"/>
                <w:color w:val="auto"/>
                <w:sz w:val="26"/>
                <w:szCs w:val="26"/>
                <w:lang w:val="en-US" w:eastAsia="zh-CN"/>
              </w:rPr>
              <w:t>531h</w:t>
            </w:r>
            <w:r>
              <w:rPr>
                <w:rFonts w:hint="default" w:ascii="Times New Roman" w:hAnsi="Times New Roman" w:eastAsia="宋体" w:cs="Times New Roman"/>
                <w:color w:val="auto"/>
                <w:sz w:val="26"/>
                <w:szCs w:val="26"/>
                <w:lang w:val="en-US" w:eastAsia="zh-CN"/>
              </w:rPr>
              <w:t>，16t炉熔炼阶段炉门开启时长年约</w:t>
            </w:r>
            <w:r>
              <w:rPr>
                <w:rFonts w:hint="eastAsia" w:ascii="Times New Roman" w:hAnsi="Times New Roman" w:eastAsia="宋体" w:cs="Times New Roman"/>
                <w:color w:val="auto"/>
                <w:sz w:val="26"/>
                <w:szCs w:val="26"/>
                <w:lang w:val="en-US" w:eastAsia="zh-CN"/>
              </w:rPr>
              <w:t>885</w:t>
            </w:r>
            <w:r>
              <w:rPr>
                <w:rFonts w:hint="default" w:ascii="Times New Roman" w:hAnsi="Times New Roman" w:eastAsia="宋体" w:cs="Times New Roman"/>
                <w:color w:val="auto"/>
                <w:sz w:val="26"/>
                <w:szCs w:val="26"/>
                <w:lang w:val="en-US" w:eastAsia="zh-CN"/>
              </w:rPr>
              <w:t>h，炉门开启时天然气停止燃烧。</w:t>
            </w:r>
          </w:p>
          <w:p w14:paraId="37B80F54">
            <w:pPr>
              <w:keepNext w:val="0"/>
              <w:keepLines w:val="0"/>
              <w:pageBreakBefore w:val="0"/>
              <w:kinsoku/>
              <w:wordWrap/>
              <w:overflowPunct/>
              <w:topLinePunct w:val="0"/>
              <w:autoSpaceDE/>
              <w:autoSpaceDN/>
              <w:bidi w:val="0"/>
              <w:adjustRightInd/>
              <w:snapToGrid/>
              <w:spacing w:line="460" w:lineRule="exact"/>
              <w:ind w:firstLine="522" w:firstLineChars="200"/>
              <w:textAlignment w:val="auto"/>
              <w:rPr>
                <w:rFonts w:hint="default" w:ascii="Times New Roman" w:hAnsi="Times New Roman" w:eastAsia="宋体" w:cs="Times New Roman"/>
                <w:b/>
                <w:bCs/>
                <w:color w:val="auto"/>
                <w:sz w:val="26"/>
                <w:szCs w:val="26"/>
                <w:u w:val="none"/>
                <w:lang w:val="en-US" w:eastAsia="zh-CN"/>
              </w:rPr>
            </w:pPr>
            <w:r>
              <w:rPr>
                <w:rFonts w:hint="eastAsia" w:ascii="Times New Roman" w:hAnsi="Times New Roman" w:eastAsia="宋体" w:cs="Times New Roman"/>
                <w:b/>
                <w:bCs/>
                <w:color w:val="auto"/>
                <w:sz w:val="26"/>
                <w:szCs w:val="26"/>
                <w:u w:val="none"/>
                <w:lang w:val="en-US" w:eastAsia="zh-CN"/>
              </w:rPr>
              <w:t>（2）</w:t>
            </w:r>
            <w:r>
              <w:rPr>
                <w:rFonts w:hint="default" w:ascii="Times New Roman" w:hAnsi="Times New Roman" w:eastAsia="宋体" w:cs="Times New Roman"/>
                <w:b/>
                <w:bCs/>
                <w:color w:val="auto"/>
                <w:sz w:val="26"/>
                <w:szCs w:val="26"/>
                <w:u w:val="none"/>
                <w:lang w:val="en-US" w:eastAsia="zh-CN"/>
              </w:rPr>
              <w:t>精炼</w:t>
            </w:r>
          </w:p>
          <w:p w14:paraId="4F4CCF86">
            <w:pPr>
              <w:keepNext w:val="0"/>
              <w:keepLines w:val="0"/>
              <w:pageBreakBefore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精炼保温阶段需向熔炼炉</w:t>
            </w:r>
            <w:r>
              <w:rPr>
                <w:rFonts w:hint="default" w:ascii="Times New Roman" w:hAnsi="Times New Roman" w:eastAsia="宋体" w:cs="Times New Roman"/>
                <w:b w:val="0"/>
                <w:bCs w:val="0"/>
                <w:color w:val="auto"/>
                <w:sz w:val="26"/>
                <w:szCs w:val="26"/>
                <w:lang w:val="en-US" w:eastAsia="zh-CN"/>
              </w:rPr>
              <w:t>内投加除渣剂，除渣</w:t>
            </w:r>
            <w:r>
              <w:rPr>
                <w:rFonts w:hint="default" w:ascii="Times New Roman" w:hAnsi="Times New Roman" w:eastAsia="宋体" w:cs="Times New Roman"/>
                <w:color w:val="auto"/>
                <w:sz w:val="26"/>
                <w:szCs w:val="26"/>
                <w:lang w:val="en-US" w:eastAsia="zh-CN"/>
              </w:rPr>
              <w:t>剂浮在铝液表面，通入氩气作为载气避免炉料再次氧化。氩气将除渣剂携带入铝液后，形成许多气泡，杂质易被吸附在气泡表面上并随气泡浮至铝熔体表面，同时清除铝液内部的氢气泡，以获得更加纯净的铝液。</w:t>
            </w:r>
          </w:p>
          <w:p w14:paraId="5E7D4403">
            <w:pPr>
              <w:keepNext w:val="0"/>
              <w:keepLines w:val="0"/>
              <w:pageBreakBefore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随后采用</w:t>
            </w:r>
            <w:r>
              <w:rPr>
                <w:rFonts w:hint="default" w:ascii="Times New Roman" w:hAnsi="Times New Roman" w:eastAsia="宋体" w:cs="Times New Roman"/>
                <w:color w:val="auto"/>
                <w:sz w:val="26"/>
                <w:szCs w:val="26"/>
              </w:rPr>
              <w:t>机械扒渣</w:t>
            </w:r>
            <w:r>
              <w:rPr>
                <w:rFonts w:hint="default" w:ascii="Times New Roman" w:hAnsi="Times New Roman" w:eastAsia="宋体" w:cs="Times New Roman"/>
                <w:color w:val="auto"/>
                <w:sz w:val="26"/>
                <w:szCs w:val="26"/>
                <w:lang w:val="en-US" w:eastAsia="zh-CN"/>
              </w:rPr>
              <w:t>去除</w:t>
            </w:r>
            <w:r>
              <w:rPr>
                <w:rFonts w:hint="default" w:ascii="Times New Roman" w:hAnsi="Times New Roman" w:eastAsia="宋体" w:cs="Times New Roman"/>
                <w:color w:val="auto"/>
                <w:sz w:val="26"/>
                <w:szCs w:val="26"/>
              </w:rPr>
              <w:t>熔体表面的浮渣</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保持静置（10～20min）。该生产线精炼温度约700℃~740℃，单批次精炼工序时长约1h，添加辅料、扒渣、取样分析过程需要开启炉门，每批次精炼过程一般需开启炉门3次，每次开启时间约10min，每批次精炼过程炉门开启时长约30min，则25t炉精炼阶段炉门开启时长年约</w:t>
            </w:r>
            <w:r>
              <w:rPr>
                <w:rFonts w:hint="eastAsia" w:ascii="Times New Roman" w:hAnsi="Times New Roman" w:eastAsia="宋体" w:cs="Times New Roman"/>
                <w:color w:val="auto"/>
                <w:sz w:val="26"/>
                <w:szCs w:val="26"/>
                <w:lang w:val="en-US" w:eastAsia="zh-CN"/>
              </w:rPr>
              <w:t>354</w:t>
            </w:r>
            <w:r>
              <w:rPr>
                <w:rFonts w:hint="default" w:ascii="Times New Roman" w:hAnsi="Times New Roman" w:eastAsia="宋体" w:cs="Times New Roman"/>
                <w:color w:val="auto"/>
                <w:sz w:val="26"/>
                <w:szCs w:val="26"/>
                <w:lang w:val="en-US" w:eastAsia="zh-CN"/>
              </w:rPr>
              <w:t>h，16t炉熔炼阶段炉门开启时长年约</w:t>
            </w:r>
            <w:r>
              <w:rPr>
                <w:rFonts w:hint="eastAsia" w:ascii="Times New Roman" w:hAnsi="Times New Roman" w:eastAsia="宋体" w:cs="Times New Roman"/>
                <w:color w:val="auto"/>
                <w:sz w:val="26"/>
                <w:szCs w:val="26"/>
                <w:lang w:val="en-US" w:eastAsia="zh-CN"/>
              </w:rPr>
              <w:t>590</w:t>
            </w:r>
            <w:r>
              <w:rPr>
                <w:rFonts w:hint="default" w:ascii="Times New Roman" w:hAnsi="Times New Roman" w:eastAsia="宋体" w:cs="Times New Roman"/>
                <w:color w:val="auto"/>
                <w:sz w:val="26"/>
                <w:szCs w:val="26"/>
                <w:lang w:val="en-US" w:eastAsia="zh-CN"/>
              </w:rPr>
              <w:t>h。炉门开启时天然气停止燃烧。</w:t>
            </w:r>
          </w:p>
          <w:p w14:paraId="6DBC6283">
            <w:pPr>
              <w:keepNext w:val="0"/>
              <w:keepLines w:val="0"/>
              <w:pageBreakBefore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熔炼和精炼过程产生熔炼废气G1、铝灰渣S1。</w:t>
            </w:r>
          </w:p>
          <w:p w14:paraId="60F66C31">
            <w:pPr>
              <w:keepNext w:val="0"/>
              <w:keepLines w:val="0"/>
              <w:pageBreakBefore w:val="0"/>
              <w:kinsoku/>
              <w:wordWrap/>
              <w:overflowPunct/>
              <w:topLinePunct w:val="0"/>
              <w:autoSpaceDE/>
              <w:autoSpaceDN/>
              <w:bidi w:val="0"/>
              <w:adjustRightInd/>
              <w:snapToGrid/>
              <w:spacing w:line="460" w:lineRule="exact"/>
              <w:ind w:firstLine="522" w:firstLineChars="200"/>
              <w:textAlignment w:val="auto"/>
              <w:rPr>
                <w:rFonts w:hint="default" w:ascii="Times New Roman" w:hAnsi="Times New Roman" w:eastAsia="宋体" w:cs="Times New Roman"/>
                <w:b/>
                <w:bCs/>
                <w:color w:val="auto"/>
                <w:sz w:val="26"/>
                <w:szCs w:val="26"/>
                <w:u w:val="none"/>
                <w:lang w:val="en-US" w:eastAsia="zh-CN"/>
              </w:rPr>
            </w:pPr>
            <w:r>
              <w:rPr>
                <w:rFonts w:hint="eastAsia" w:ascii="Times New Roman" w:hAnsi="Times New Roman" w:eastAsia="宋体" w:cs="Times New Roman"/>
                <w:b/>
                <w:bCs/>
                <w:color w:val="auto"/>
                <w:sz w:val="26"/>
                <w:szCs w:val="26"/>
                <w:u w:val="none"/>
                <w:lang w:val="en-US" w:eastAsia="zh-CN"/>
              </w:rPr>
              <w:t>（3）</w:t>
            </w:r>
            <w:r>
              <w:rPr>
                <w:rFonts w:hint="default" w:ascii="Times New Roman" w:hAnsi="Times New Roman" w:eastAsia="宋体" w:cs="Times New Roman"/>
                <w:b/>
                <w:bCs/>
                <w:color w:val="auto"/>
                <w:sz w:val="26"/>
                <w:szCs w:val="26"/>
                <w:u w:val="none"/>
                <w:lang w:val="en-US" w:eastAsia="zh-CN"/>
              </w:rPr>
              <w:t>在线过滤</w:t>
            </w:r>
          </w:p>
          <w:p w14:paraId="1D6CB09A">
            <w:pPr>
              <w:keepNext w:val="0"/>
              <w:keepLines w:val="0"/>
              <w:pageBreakBefore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lang w:eastAsia="zh-CN"/>
              </w:rPr>
            </w:pPr>
            <w:r>
              <w:rPr>
                <w:rFonts w:hint="default" w:ascii="Times New Roman" w:hAnsi="Times New Roman" w:eastAsia="宋体" w:cs="Times New Roman"/>
                <w:color w:val="auto"/>
                <w:sz w:val="26"/>
                <w:szCs w:val="26"/>
                <w:lang w:val="en-US" w:eastAsia="zh-CN"/>
              </w:rPr>
              <w:t>取样分析</w:t>
            </w:r>
            <w:r>
              <w:rPr>
                <w:rFonts w:hint="default" w:ascii="Times New Roman" w:hAnsi="Times New Roman" w:eastAsia="宋体" w:cs="Times New Roman"/>
                <w:color w:val="auto"/>
                <w:sz w:val="26"/>
                <w:szCs w:val="26"/>
              </w:rPr>
              <w:t>检验合格后的铝液进入在线除气、过滤</w:t>
            </w:r>
            <w:r>
              <w:rPr>
                <w:rFonts w:hint="default" w:ascii="Times New Roman" w:hAnsi="Times New Roman" w:eastAsia="宋体" w:cs="Times New Roman"/>
                <w:color w:val="auto"/>
                <w:sz w:val="26"/>
                <w:szCs w:val="26"/>
                <w:lang w:val="en-US" w:eastAsia="zh-CN"/>
              </w:rPr>
              <w:t>设备</w:t>
            </w:r>
            <w:r>
              <w:rPr>
                <w:rFonts w:hint="default" w:ascii="Times New Roman" w:hAnsi="Times New Roman" w:eastAsia="宋体" w:cs="Times New Roman"/>
                <w:color w:val="auto"/>
                <w:sz w:val="26"/>
                <w:szCs w:val="26"/>
              </w:rPr>
              <w:t>进行熔体晶粒细化</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除气</w:t>
            </w:r>
            <w:r>
              <w:rPr>
                <w:rFonts w:hint="default" w:ascii="Times New Roman" w:hAnsi="Times New Roman" w:eastAsia="宋体" w:cs="Times New Roman"/>
                <w:color w:val="auto"/>
                <w:sz w:val="26"/>
                <w:szCs w:val="26"/>
                <w:lang w:val="en-US" w:eastAsia="zh-CN"/>
              </w:rPr>
              <w:t>及过滤</w:t>
            </w:r>
            <w:r>
              <w:rPr>
                <w:rFonts w:hint="default" w:ascii="Times New Roman" w:hAnsi="Times New Roman" w:eastAsia="宋体" w:cs="Times New Roman"/>
                <w:color w:val="auto"/>
                <w:sz w:val="26"/>
                <w:szCs w:val="26"/>
              </w:rPr>
              <w:t>。晶粒细化采用炉外加入铝-钛-硼线杆</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添加剂</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，从而达到铝熔体晶粒细化的目的</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利于</w:t>
            </w:r>
            <w:r>
              <w:rPr>
                <w:rFonts w:hint="default" w:ascii="Times New Roman" w:hAnsi="Times New Roman" w:eastAsia="宋体" w:cs="Times New Roman"/>
                <w:color w:val="auto"/>
                <w:sz w:val="26"/>
                <w:szCs w:val="26"/>
              </w:rPr>
              <w:t>铸造及随后的塑性加工</w:t>
            </w:r>
            <w:r>
              <w:rPr>
                <w:rFonts w:hint="default"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lang w:val="en-US" w:eastAsia="zh-CN"/>
              </w:rPr>
              <w:t>使最终的铸锭截面具有均匀、细小的等轴晶</w:t>
            </w:r>
            <w:r>
              <w:rPr>
                <w:rFonts w:hint="default" w:ascii="Times New Roman" w:hAnsi="Times New Roman" w:eastAsia="宋体" w:cs="Times New Roman"/>
                <w:color w:val="auto"/>
                <w:sz w:val="26"/>
                <w:szCs w:val="26"/>
              </w:rPr>
              <w:t>。晶粒细化后的熔体进入除气箱</w:t>
            </w:r>
            <w:r>
              <w:rPr>
                <w:rFonts w:hint="default" w:ascii="Times New Roman" w:hAnsi="Times New Roman" w:eastAsia="宋体" w:cs="Times New Roman"/>
                <w:color w:val="auto"/>
                <w:sz w:val="26"/>
                <w:szCs w:val="26"/>
                <w:lang w:val="en-US" w:eastAsia="zh-CN"/>
              </w:rPr>
              <w:t>采用氩气</w:t>
            </w:r>
            <w:r>
              <w:rPr>
                <w:rFonts w:hint="default" w:ascii="Times New Roman" w:hAnsi="Times New Roman" w:eastAsia="宋体" w:cs="Times New Roman"/>
                <w:color w:val="auto"/>
                <w:sz w:val="26"/>
                <w:szCs w:val="26"/>
              </w:rPr>
              <w:t>进行除气、除渣。除气、除渣后的</w:t>
            </w:r>
            <w:r>
              <w:rPr>
                <w:rFonts w:hint="default" w:ascii="Times New Roman" w:hAnsi="Times New Roman" w:eastAsia="宋体" w:cs="Times New Roman"/>
                <w:color w:val="auto"/>
                <w:sz w:val="26"/>
                <w:szCs w:val="26"/>
                <w:lang w:val="en-US" w:eastAsia="zh-CN"/>
              </w:rPr>
              <w:t>铝液</w:t>
            </w:r>
            <w:r>
              <w:rPr>
                <w:rFonts w:hint="default" w:ascii="Times New Roman" w:hAnsi="Times New Roman" w:eastAsia="宋体" w:cs="Times New Roman"/>
                <w:color w:val="auto"/>
                <w:sz w:val="26"/>
                <w:szCs w:val="26"/>
              </w:rPr>
              <w:t>进入陶瓷板过滤工序，对</w:t>
            </w:r>
            <w:r>
              <w:rPr>
                <w:rFonts w:hint="default" w:ascii="Times New Roman" w:hAnsi="Times New Roman" w:eastAsia="宋体" w:cs="Times New Roman"/>
                <w:color w:val="auto"/>
                <w:sz w:val="26"/>
                <w:szCs w:val="26"/>
                <w:lang w:val="en-US" w:eastAsia="zh-CN"/>
              </w:rPr>
              <w:t>铝液</w:t>
            </w:r>
            <w:r>
              <w:rPr>
                <w:rFonts w:hint="default" w:ascii="Times New Roman" w:hAnsi="Times New Roman" w:eastAsia="宋体" w:cs="Times New Roman"/>
                <w:color w:val="auto"/>
                <w:sz w:val="26"/>
                <w:szCs w:val="26"/>
              </w:rPr>
              <w:t>进行进一步物理过滤。</w:t>
            </w:r>
            <w:r>
              <w:rPr>
                <w:rFonts w:hint="default" w:ascii="Times New Roman" w:hAnsi="Times New Roman" w:eastAsia="宋体" w:cs="Times New Roman"/>
                <w:color w:val="auto"/>
                <w:sz w:val="26"/>
                <w:szCs w:val="26"/>
                <w:lang w:eastAsia="zh-CN"/>
              </w:rPr>
              <w:t>该过程产生</w:t>
            </w:r>
            <w:r>
              <w:rPr>
                <w:rFonts w:hint="default" w:ascii="Times New Roman" w:hAnsi="Times New Roman" w:eastAsia="宋体" w:cs="Times New Roman"/>
                <w:color w:val="auto"/>
                <w:sz w:val="26"/>
                <w:szCs w:val="26"/>
                <w:lang w:val="en-US" w:eastAsia="zh-CN"/>
              </w:rPr>
              <w:t>铝灰渣S1。</w:t>
            </w:r>
          </w:p>
          <w:p w14:paraId="6DC79089">
            <w:pPr>
              <w:keepNext w:val="0"/>
              <w:keepLines w:val="0"/>
              <w:pageBreakBefore w:val="0"/>
              <w:kinsoku/>
              <w:wordWrap/>
              <w:overflowPunct/>
              <w:topLinePunct w:val="0"/>
              <w:autoSpaceDE/>
              <w:autoSpaceDN/>
              <w:bidi w:val="0"/>
              <w:adjustRightInd/>
              <w:snapToGrid/>
              <w:spacing w:line="460" w:lineRule="exact"/>
              <w:ind w:firstLine="522" w:firstLineChars="200"/>
              <w:textAlignment w:val="auto"/>
              <w:rPr>
                <w:rFonts w:hint="default"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（4）</w:t>
            </w:r>
            <w:r>
              <w:rPr>
                <w:rFonts w:hint="default" w:ascii="Times New Roman" w:hAnsi="Times New Roman" w:eastAsia="宋体" w:cs="Times New Roman"/>
                <w:b/>
                <w:bCs/>
                <w:color w:val="auto"/>
                <w:sz w:val="26"/>
                <w:szCs w:val="26"/>
                <w:lang w:val="en-US" w:eastAsia="zh-CN"/>
              </w:rPr>
              <w:t>铸造</w:t>
            </w:r>
          </w:p>
          <w:p w14:paraId="7B1E37A8">
            <w:pPr>
              <w:keepNext w:val="0"/>
              <w:keepLines w:val="0"/>
              <w:pageBreakBefore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kern w:val="2"/>
                <w:sz w:val="26"/>
                <w:szCs w:val="26"/>
                <w:highlight w:val="none"/>
                <w:lang w:val="en-US" w:eastAsia="zh-CN" w:bidi="ar-SA"/>
              </w:rPr>
            </w:pPr>
            <w:r>
              <w:rPr>
                <w:rFonts w:hint="default" w:ascii="Times New Roman" w:hAnsi="Times New Roman" w:eastAsia="宋体" w:cs="Times New Roman"/>
                <w:color w:val="auto"/>
                <w:kern w:val="2"/>
                <w:sz w:val="26"/>
                <w:szCs w:val="26"/>
                <w:highlight w:val="none"/>
                <w:lang w:val="en-US" w:eastAsia="zh-CN" w:bidi="ar-SA"/>
              </w:rPr>
              <w:t>将炉内金属取样合格后的铝液导入铸造工段。铸造采用连续铸造，铸模依次前进，铝液逐渐冷却（使用水循环冷却），当铝液到达铸造机顶端时，已经完全凝固成铝棒，铸模翻转，铝棒脱模，由天车吊运至半成品堆存，便于后续的均质或机加。自动连续铸锭系统由铸造平台、升降台、传送装置、铸锭底座、水冷系统等组成。项目使用石墨模具，不使用脱模剂。该过程产生铸造废气G2、铸造漏料S2。</w:t>
            </w:r>
          </w:p>
          <w:p w14:paraId="17E6125E">
            <w:pPr>
              <w:keepNext w:val="0"/>
              <w:keepLines w:val="0"/>
              <w:pageBreakBefore w:val="0"/>
              <w:widowControl/>
              <w:suppressLineNumbers w:val="0"/>
              <w:kinsoku/>
              <w:wordWrap/>
              <w:overflowPunct/>
              <w:topLinePunct w:val="0"/>
              <w:autoSpaceDE/>
              <w:autoSpaceDN/>
              <w:bidi w:val="0"/>
              <w:adjustRightInd/>
              <w:snapToGrid/>
              <w:spacing w:line="460" w:lineRule="exact"/>
              <w:ind w:firstLine="522" w:firstLineChars="200"/>
              <w:jc w:val="left"/>
              <w:textAlignment w:val="auto"/>
              <w:rPr>
                <w:rFonts w:hint="default"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（5）</w:t>
            </w:r>
            <w:r>
              <w:rPr>
                <w:rFonts w:hint="default" w:ascii="Times New Roman" w:hAnsi="Times New Roman" w:eastAsia="宋体" w:cs="Times New Roman"/>
                <w:b/>
                <w:bCs/>
                <w:color w:val="auto"/>
                <w:sz w:val="26"/>
                <w:szCs w:val="26"/>
                <w:lang w:val="en-US" w:eastAsia="zh-CN"/>
              </w:rPr>
              <w:t>均质</w:t>
            </w:r>
          </w:p>
          <w:p w14:paraId="109A603C">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left"/>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kern w:val="0"/>
                <w:sz w:val="26"/>
                <w:szCs w:val="26"/>
                <w:lang w:val="en-US" w:eastAsia="zh-CN" w:bidi="ar"/>
              </w:rPr>
              <w:t>对铝棒进行加热均质，达到改善成品表面质量及力学性能。</w:t>
            </w:r>
            <w:r>
              <w:rPr>
                <w:rFonts w:hint="default" w:ascii="Times New Roman" w:hAnsi="Times New Roman" w:eastAsia="宋体" w:cs="Times New Roman"/>
                <w:color w:val="auto"/>
                <w:sz w:val="26"/>
                <w:szCs w:val="26"/>
                <w:lang w:val="en-US" w:eastAsia="zh-CN"/>
              </w:rPr>
              <w:t>该生产线利用现有一台50t均质炉，采用天然气直接加热的形式进行加热。该过程产生均质废气G3。</w:t>
            </w:r>
          </w:p>
          <w:p w14:paraId="6628E23E">
            <w:pPr>
              <w:keepNext w:val="0"/>
              <w:keepLines w:val="0"/>
              <w:pageBreakBefore w:val="0"/>
              <w:widowControl/>
              <w:suppressLineNumbers w:val="0"/>
              <w:kinsoku/>
              <w:wordWrap/>
              <w:overflowPunct/>
              <w:topLinePunct w:val="0"/>
              <w:autoSpaceDE/>
              <w:autoSpaceDN/>
              <w:bidi w:val="0"/>
              <w:adjustRightInd/>
              <w:snapToGrid/>
              <w:spacing w:line="460" w:lineRule="exact"/>
              <w:ind w:firstLine="522" w:firstLineChars="200"/>
              <w:jc w:val="left"/>
              <w:textAlignment w:val="auto"/>
              <w:rPr>
                <w:rFonts w:hint="default" w:ascii="Times New Roman" w:hAnsi="Times New Roman" w:eastAsia="宋体" w:cs="Times New Roman"/>
                <w:b/>
                <w:bCs/>
                <w:color w:val="auto"/>
                <w:sz w:val="26"/>
                <w:szCs w:val="26"/>
                <w:lang w:eastAsia="zh-CN"/>
              </w:rPr>
            </w:pPr>
            <w:r>
              <w:rPr>
                <w:rFonts w:hint="eastAsia" w:ascii="Times New Roman" w:hAnsi="Times New Roman" w:eastAsia="宋体" w:cs="Times New Roman"/>
                <w:b/>
                <w:bCs/>
                <w:color w:val="auto"/>
                <w:sz w:val="26"/>
                <w:szCs w:val="26"/>
                <w:lang w:eastAsia="zh-CN"/>
              </w:rPr>
              <w:t>（</w:t>
            </w:r>
            <w:r>
              <w:rPr>
                <w:rFonts w:hint="eastAsia" w:ascii="Times New Roman" w:hAnsi="Times New Roman" w:eastAsia="宋体" w:cs="Times New Roman"/>
                <w:b/>
                <w:bCs/>
                <w:color w:val="auto"/>
                <w:sz w:val="26"/>
                <w:szCs w:val="26"/>
                <w:lang w:val="en-US" w:eastAsia="zh-CN"/>
              </w:rPr>
              <w:t>6</w:t>
            </w:r>
            <w:r>
              <w:rPr>
                <w:rFonts w:hint="eastAsia" w:ascii="Times New Roman" w:hAnsi="Times New Roman" w:eastAsia="宋体" w:cs="Times New Roman"/>
                <w:b/>
                <w:bCs/>
                <w:color w:val="auto"/>
                <w:sz w:val="26"/>
                <w:szCs w:val="26"/>
                <w:lang w:eastAsia="zh-CN"/>
              </w:rPr>
              <w:t>）</w:t>
            </w:r>
            <w:r>
              <w:rPr>
                <w:rFonts w:hint="default" w:ascii="Times New Roman" w:hAnsi="Times New Roman" w:eastAsia="宋体" w:cs="Times New Roman"/>
                <w:b/>
                <w:bCs/>
                <w:color w:val="auto"/>
                <w:sz w:val="26"/>
                <w:szCs w:val="26"/>
              </w:rPr>
              <w:t>锯切、剥皮</w:t>
            </w:r>
          </w:p>
          <w:p w14:paraId="084EFA05">
            <w:pPr>
              <w:keepNext w:val="0"/>
              <w:keepLines w:val="0"/>
              <w:pageBreakBefore w:val="0"/>
              <w:widowControl/>
              <w:suppressLineNumbers w:val="0"/>
              <w:kinsoku/>
              <w:wordWrap/>
              <w:overflowPunct/>
              <w:topLinePunct w:val="0"/>
              <w:autoSpaceDE/>
              <w:autoSpaceDN/>
              <w:bidi w:val="0"/>
              <w:adjustRightInd/>
              <w:snapToGrid/>
              <w:spacing w:line="460" w:lineRule="exact"/>
              <w:ind w:firstLine="520" w:firstLineChars="200"/>
              <w:jc w:val="left"/>
              <w:textAlignment w:val="auto"/>
              <w:rPr>
                <w:rFonts w:hint="default"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kern w:val="0"/>
                <w:sz w:val="26"/>
                <w:szCs w:val="26"/>
                <w:lang w:val="en-US" w:eastAsia="zh-CN" w:bidi="ar"/>
              </w:rPr>
              <w:t>采用锯切机、车床等对部分铝棒进行处理，达到客户所需的尺寸和要求后的产品即为成品外卖</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val="en-US" w:eastAsia="zh-CN"/>
              </w:rPr>
              <w:t>该过程中产生噪声和一定量的废</w:t>
            </w:r>
            <w:r>
              <w:rPr>
                <w:rFonts w:hint="default" w:ascii="Times New Roman" w:hAnsi="Times New Roman" w:eastAsia="宋体" w:cs="Times New Roman"/>
                <w:color w:val="auto"/>
                <w:sz w:val="26"/>
                <w:szCs w:val="26"/>
              </w:rPr>
              <w:t>铝</w:t>
            </w:r>
            <w:r>
              <w:rPr>
                <w:rFonts w:hint="default" w:ascii="Times New Roman" w:hAnsi="Times New Roman" w:eastAsia="宋体" w:cs="Times New Roman"/>
                <w:color w:val="auto"/>
                <w:sz w:val="26"/>
                <w:szCs w:val="26"/>
                <w:lang w:val="en-US" w:eastAsia="zh-CN"/>
              </w:rPr>
              <w:t>料S3，锯切及剥皮工序使用切削液，</w:t>
            </w:r>
            <w:r>
              <w:rPr>
                <w:rFonts w:hint="default" w:ascii="Times New Roman" w:hAnsi="Times New Roman" w:eastAsia="宋体" w:cs="Times New Roman"/>
                <w:color w:val="auto"/>
                <w:sz w:val="26"/>
                <w:szCs w:val="26"/>
                <w:highlight w:val="none"/>
                <w:lang w:val="en-US" w:eastAsia="zh-CN"/>
              </w:rPr>
              <w:t>切削液循环使用产生，在使用期间产生极少量的机加废气G4。</w:t>
            </w:r>
          </w:p>
          <w:p w14:paraId="5B93C7A9">
            <w:pPr>
              <w:spacing w:line="460" w:lineRule="exact"/>
              <w:ind w:firstLine="520" w:firstLineChars="200"/>
              <w:rPr>
                <w:rFonts w:hint="eastAsia"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具体工艺流程如下：首先针对铝棒进行齐头锯切，切除铝棒前端尾端因铸造产生的缩孔、夹渣等不良部分去除，为后续工序做准备。车皮主要作用为去除铝棒表面的氧化层、偏析层、杂质和轻微缺陷，获得光洁、尺寸精确的棒坯。安装在刀盘上的硬质合金刀具向旋转的铝棒径向进给，刀具沿铝棒轴向匀速移动，将整个表面一层薄薄的材料（通常1-2mm）连续切削下来，形成螺旋状的铝屑。最后采用定尺锯切将经过车皮处理的长铝棒，按照挤压工序要求的定尺长度锯切成段。</w:t>
            </w:r>
          </w:p>
          <w:p w14:paraId="14B1643E">
            <w:pPr>
              <w:keepNext w:val="0"/>
              <w:keepLines w:val="0"/>
              <w:pageBreakBefore w:val="0"/>
              <w:widowControl w:val="0"/>
              <w:kinsoku/>
              <w:wordWrap/>
              <w:overflowPunct/>
              <w:topLinePunct w:val="0"/>
              <w:autoSpaceDE w:val="0"/>
              <w:autoSpaceDN w:val="0"/>
              <w:bidi w:val="0"/>
              <w:adjustRightInd w:val="0"/>
              <w:spacing w:line="460" w:lineRule="exact"/>
              <w:ind w:firstLine="520" w:firstLineChars="200"/>
              <w:textAlignment w:val="auto"/>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highlight w:val="none"/>
                <w:lang w:val="en-US" w:eastAsia="zh-CN"/>
              </w:rPr>
              <w:t>该环节废料产生量较大，约占半成品量30%，主要为齐头锯切产生的去头去尾料以及车皮产生的铝屑（去头去尾料占绝大量）。由于车皮刀具需采用切削液进行润滑、冷却，产生的铝屑易沾染废切削液，作为危险废物处置。去头去尾料由于对切口平整程度无要求，锯切期间可不使用切削液，未沾染铝料作为不含油废料，回炉重熔。生产期间严控</w:t>
            </w:r>
            <w:r>
              <w:rPr>
                <w:rFonts w:hint="eastAsia" w:ascii="Times New Roman" w:hAnsi="Times New Roman" w:eastAsia="宋体" w:cs="Times New Roman"/>
                <w:color w:val="auto"/>
                <w:kern w:val="2"/>
                <w:sz w:val="26"/>
                <w:szCs w:val="26"/>
                <w:highlight w:val="none"/>
                <w:lang w:val="en-US" w:eastAsia="zh-CN" w:bidi="ar-SA"/>
              </w:rPr>
              <w:t>回炉废料管理，禁止将含油废料回炉重熔</w:t>
            </w:r>
            <w:r>
              <w:rPr>
                <w:rFonts w:hint="eastAsia" w:ascii="Times New Roman" w:hAnsi="Times New Roman" w:eastAsia="宋体" w:cs="Times New Roman"/>
                <w:color w:val="auto"/>
                <w:sz w:val="26"/>
                <w:szCs w:val="26"/>
              </w:rPr>
              <w:t>。</w:t>
            </w:r>
          </w:p>
          <w:p w14:paraId="499C42C2">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（7）铝灰处理</w:t>
            </w:r>
          </w:p>
          <w:p w14:paraId="5D4E529F">
            <w:pPr>
              <w:keepNext w:val="0"/>
              <w:keepLines w:val="0"/>
              <w:pageBreakBefore w:val="0"/>
              <w:widowControl w:val="0"/>
              <w:kinsoku/>
              <w:wordWrap/>
              <w:overflowPunct/>
              <w:topLinePunct w:val="0"/>
              <w:autoSpaceDE w:val="0"/>
              <w:autoSpaceDN w:val="0"/>
              <w:bidi w:val="0"/>
              <w:adjustRightInd w:val="0"/>
              <w:spacing w:line="460" w:lineRule="exact"/>
              <w:ind w:firstLine="520" w:firstLineChars="200"/>
              <w:textAlignment w:val="auto"/>
              <w:rPr>
                <w:rFonts w:hint="eastAsia"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本项目依托《</w:t>
            </w:r>
            <w:r>
              <w:rPr>
                <w:rFonts w:hint="default" w:ascii="Times New Roman" w:hAnsi="Times New Roman" w:eastAsia="宋体" w:cs="Times New Roman"/>
                <w:color w:val="auto"/>
                <w:sz w:val="26"/>
                <w:szCs w:val="26"/>
                <w:highlight w:val="none"/>
                <w:lang w:val="en-US" w:eastAsia="zh-CN"/>
              </w:rPr>
              <w:t>铝合金深加工智能化生产线建设项目（重新报批）</w:t>
            </w:r>
            <w:r>
              <w:rPr>
                <w:rFonts w:hint="eastAsia" w:ascii="Times New Roman" w:hAnsi="Times New Roman" w:eastAsia="宋体" w:cs="Times New Roman"/>
                <w:color w:val="auto"/>
                <w:sz w:val="26"/>
                <w:szCs w:val="26"/>
                <w:highlight w:val="none"/>
                <w:lang w:val="en-US" w:eastAsia="zh-CN"/>
              </w:rPr>
              <w:t>》设置的铝回收装置处理铝灰。铝回收装置即灰渣分离系统为一体式密闭设备，扒渣除杂产生的热铝渣装入炒灰锅（转运容器），用叉车倒进铝回收装置中，经高速搅拌分离得到的较纯铝液返回熔炼炉作为原料利用。剩余铝灰渣（即一次铝灰）经过灰槽自动流进冷灰桶（采用冷却水间接降温冷却）冷却后进行筛灰，分离出铝块（回炉熔炼）及二次铝灰（危废处置）。</w:t>
            </w:r>
          </w:p>
          <w:p w14:paraId="386442C2">
            <w:pPr>
              <w:keepNext w:val="0"/>
              <w:keepLines w:val="0"/>
              <w:pageBreakBefore w:val="0"/>
              <w:widowControl w:val="0"/>
              <w:kinsoku/>
              <w:wordWrap/>
              <w:overflowPunct/>
              <w:topLinePunct w:val="0"/>
              <w:autoSpaceDE w:val="0"/>
              <w:autoSpaceDN w:val="0"/>
              <w:bidi w:val="0"/>
              <w:adjustRightInd w:val="0"/>
              <w:spacing w:line="460" w:lineRule="exact"/>
              <w:ind w:firstLine="520" w:firstLineChars="200"/>
              <w:textAlignment w:val="auto"/>
              <w:rPr>
                <w:rFonts w:hint="default"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铝灰处理工作原理主要是利用铝液与灰渣的密度差，并通过搅拌创造铝液液滴聚集、沉降分离的条件，最大限度地回收铝灰渣中蕴含的液态金属铝，是铝加工行业中相当成熟的工艺。</w:t>
            </w:r>
          </w:p>
          <w:p w14:paraId="09D722CB">
            <w:pPr>
              <w:keepNext w:val="0"/>
              <w:keepLines w:val="0"/>
              <w:pageBreakBefore w:val="0"/>
              <w:widowControl w:val="0"/>
              <w:kinsoku/>
              <w:wordWrap/>
              <w:overflowPunct/>
              <w:topLinePunct w:val="0"/>
              <w:autoSpaceDE w:val="0"/>
              <w:autoSpaceDN w:val="0"/>
              <w:bidi w:val="0"/>
              <w:adjustRightInd w:val="0"/>
              <w:spacing w:line="460" w:lineRule="exact"/>
              <w:ind w:firstLine="520" w:firstLineChars="200"/>
              <w:textAlignment w:val="auto"/>
              <w:rPr>
                <w:rFonts w:hint="eastAsia"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熔炼炉中扒渣扒出的铝灰渣在仍处于高温状态下倒入炒灰机（倾斜的、可旋转的圆筒形锅体内），锅体内部装有带有多组叶片的中心轴。当设备启动时，锅体缓慢旋转，同时中心轴上的叶片开始对热灰渣进行缓慢而充分地搅拌和翻转。搅拌过程能打破氧化铝灰渣对细小铝液珠的包裹。在不断的搅拌和翻滚中，细小的铝液珠相互碰撞、合并，聚集成更大的铝液滴。由于金属铝的密度远大于氧化铝灰渣的密度，因此在搅拌创造出的流动性下，较大的铝液滴由于自重会沉降到锅体的底部。炒灰机的锅体底部设有出铝口（通常由一个塞子或阀门堵住）。当铝液在底部积聚到一定量时，操作人员打开出铝口后，高纯度的液态铝就会因重力流出，被收集到下方的铝锭模具，经冷却成型后可直接回用。每炉铝灰渣产生后立即进行炒灰，回收的铝料回同炉再熔。</w:t>
            </w:r>
          </w:p>
          <w:p w14:paraId="739FC480">
            <w:pPr>
              <w:keepNext w:val="0"/>
              <w:keepLines w:val="0"/>
              <w:pageBreakBefore w:val="0"/>
              <w:widowControl w:val="0"/>
              <w:kinsoku/>
              <w:wordWrap/>
              <w:overflowPunct/>
              <w:topLinePunct w:val="0"/>
              <w:autoSpaceDE w:val="0"/>
              <w:autoSpaceDN w:val="0"/>
              <w:bidi w:val="0"/>
              <w:adjustRightInd w:val="0"/>
              <w:spacing w:line="460" w:lineRule="exact"/>
              <w:ind w:firstLine="520" w:firstLineChars="200"/>
              <w:textAlignment w:val="auto"/>
              <w:rPr>
                <w:rFonts w:hint="eastAsia"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w:t>
            </w:r>
            <w:r>
              <w:rPr>
                <w:rFonts w:hint="default" w:ascii="Times New Roman" w:hAnsi="Times New Roman" w:eastAsia="宋体" w:cs="Times New Roman"/>
                <w:color w:val="auto"/>
                <w:sz w:val="26"/>
                <w:szCs w:val="26"/>
                <w:highlight w:val="none"/>
                <w:lang w:val="en-US" w:eastAsia="zh-CN"/>
              </w:rPr>
              <w:t>铝合金深加工智能化生产线建设项目（重新报批）</w:t>
            </w:r>
            <w:r>
              <w:rPr>
                <w:rFonts w:hint="eastAsia" w:ascii="Times New Roman" w:hAnsi="Times New Roman" w:eastAsia="宋体" w:cs="Times New Roman"/>
                <w:color w:val="auto"/>
                <w:sz w:val="26"/>
                <w:szCs w:val="26"/>
                <w:highlight w:val="none"/>
                <w:lang w:val="en-US" w:eastAsia="zh-CN"/>
              </w:rPr>
              <w:t>》设置的铝回收装置为一体式密闭设备，回收工艺流程为“炒灰-冷灰-筛选”，在设备顶部、进料和出料口等部位配置集尘（吸气罩）设施，具有自动化程度高，铝液回收率高、作业环境好等优点。</w:t>
            </w:r>
          </w:p>
          <w:p w14:paraId="4C562778">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19BA6314">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5DCE5B94">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5C396F7C">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39A5514E">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5BF1F474">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6DAC217F">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28FB4616">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66432577">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5FC732ED">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53C1C504">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5E02E19D">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7D42797D">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0862677E">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71B7A0F8">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pict>
                <v:shape id="Object 167" o:spid="_x0000_s2215" o:spt="75" type="#_x0000_t75" style="position:absolute;left:0pt;margin-left:30.35pt;margin-top:12.8pt;height:322.55pt;width:326.3pt;z-index:251661312;mso-width-relative:page;mso-height-relative:page;" o:ole="t" filled="f" o:preferrelative="t" stroked="f" coordsize="21600,21600">
                  <v:path/>
                  <v:fill on="f" focussize="0,0"/>
                  <v:stroke on="f"/>
                  <v:imagedata r:id="rId19" cropbottom="2884f" o:title=""/>
                  <o:lock v:ext="edit" aspectratio="f"/>
                </v:shape>
                <o:OLEObject Type="Embed" ProgID="Visio.Drawing.15" ShapeID="Object 167" DrawAspect="Content" ObjectID="_1468075729" r:id="rId18">
                  <o:LockedField>false</o:LockedField>
                </o:OLEObject>
              </w:pict>
            </w:r>
          </w:p>
          <w:p w14:paraId="5BEC2A05">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14E6ECEE">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6B2FDD54">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786705DF">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4AEED786">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445772AB">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38A4A66D">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2EE20A20">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789BF970">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508FF056">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13F6C58B">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7EB92F62">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6BB73724">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6D3FB0AD">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65C471A5">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p>
          <w:p w14:paraId="7103A70B">
            <w:pPr>
              <w:spacing w:line="460" w:lineRule="exact"/>
              <w:jc w:val="center"/>
              <w:rPr>
                <w:rFonts w:hint="eastAsia" w:ascii="Times New Roman" w:hAnsi="Times New Roman" w:eastAsia="宋体" w:cs="Times New Roman"/>
                <w:b/>
                <w:bCs/>
                <w:color w:val="auto"/>
                <w:sz w:val="26"/>
                <w:szCs w:val="26"/>
                <w:u w:val="single"/>
                <w:lang w:val="zh-CN" w:eastAsia="zh-CN"/>
              </w:rPr>
            </w:pPr>
            <w:r>
              <w:rPr>
                <w:rFonts w:hint="eastAsia" w:ascii="Times New Roman" w:hAnsi="Times New Roman" w:eastAsia="宋体" w:cs="Times New Roman"/>
                <w:b/>
                <w:bCs/>
                <w:color w:val="auto"/>
                <w:sz w:val="26"/>
                <w:szCs w:val="26"/>
                <w:u w:val="single"/>
                <w:lang w:val="zh-CN" w:eastAsia="zh-CN"/>
              </w:rPr>
              <w:t>图</w:t>
            </w:r>
            <w:r>
              <w:rPr>
                <w:rFonts w:hint="eastAsia" w:ascii="Times New Roman" w:hAnsi="Times New Roman" w:eastAsia="宋体" w:cs="Times New Roman"/>
                <w:b/>
                <w:bCs/>
                <w:color w:val="auto"/>
                <w:sz w:val="26"/>
                <w:szCs w:val="26"/>
                <w:u w:val="single"/>
                <w:lang w:val="en-US" w:eastAsia="zh-CN"/>
              </w:rPr>
              <w:t>2.11-2</w:t>
            </w:r>
            <w:r>
              <w:rPr>
                <w:rFonts w:hint="eastAsia" w:ascii="Times New Roman" w:hAnsi="Times New Roman" w:eastAsia="宋体" w:cs="Times New Roman"/>
                <w:b/>
                <w:bCs/>
                <w:color w:val="auto"/>
                <w:sz w:val="26"/>
                <w:szCs w:val="26"/>
                <w:u w:val="single"/>
                <w:lang w:val="zh-CN" w:eastAsia="zh-CN"/>
              </w:rPr>
              <w:t xml:space="preserve">  铝回收装置生产工艺流程及产污环节图</w:t>
            </w:r>
          </w:p>
          <w:p w14:paraId="138B7BBD">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工艺流程简述：</w:t>
            </w:r>
          </w:p>
          <w:p w14:paraId="7EB183B4">
            <w:pPr>
              <w:keepNext w:val="0"/>
              <w:keepLines w:val="0"/>
              <w:pageBreakBefore w:val="0"/>
              <w:widowControl w:val="0"/>
              <w:kinsoku/>
              <w:wordWrap/>
              <w:overflowPunct/>
              <w:topLinePunct w:val="0"/>
              <w:autoSpaceDE w:val="0"/>
              <w:autoSpaceDN w:val="0"/>
              <w:bidi w:val="0"/>
              <w:adjustRightInd w:val="0"/>
              <w:snapToGrid/>
              <w:spacing w:line="460" w:lineRule="exact"/>
              <w:ind w:firstLine="522"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bCs/>
                <w:color w:val="auto"/>
                <w:sz w:val="26"/>
                <w:szCs w:val="26"/>
                <w:highlight w:val="none"/>
                <w:lang w:val="en-US" w:eastAsia="zh-CN"/>
              </w:rPr>
              <w:t>装锅转运：</w:t>
            </w:r>
            <w:r>
              <w:rPr>
                <w:rFonts w:hint="eastAsia" w:ascii="Times New Roman" w:hAnsi="Times New Roman" w:eastAsia="宋体" w:cs="Times New Roman"/>
                <w:b w:val="0"/>
                <w:bCs w:val="0"/>
                <w:color w:val="auto"/>
                <w:sz w:val="26"/>
                <w:szCs w:val="26"/>
                <w:highlight w:val="none"/>
                <w:lang w:val="en-US" w:eastAsia="zh-CN"/>
              </w:rPr>
              <w:t>将扒渣除杂工序产生的铝灰渣（即一次铝灰）装入炒灰锅。</w:t>
            </w:r>
          </w:p>
          <w:p w14:paraId="2A1F0D85">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主要产污环节为设备运行噪声。</w:t>
            </w:r>
          </w:p>
          <w:p w14:paraId="6E38C2AA">
            <w:pPr>
              <w:keepNext w:val="0"/>
              <w:keepLines w:val="0"/>
              <w:pageBreakBefore w:val="0"/>
              <w:widowControl w:val="0"/>
              <w:kinsoku/>
              <w:wordWrap/>
              <w:overflowPunct/>
              <w:topLinePunct w:val="0"/>
              <w:autoSpaceDE w:val="0"/>
              <w:autoSpaceDN w:val="0"/>
              <w:bidi w:val="0"/>
              <w:adjustRightInd w:val="0"/>
              <w:snapToGrid/>
              <w:spacing w:line="460" w:lineRule="exact"/>
              <w:ind w:firstLine="522"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bCs/>
                <w:color w:val="auto"/>
                <w:sz w:val="26"/>
                <w:szCs w:val="26"/>
                <w:highlight w:val="none"/>
                <w:lang w:val="en-US" w:eastAsia="zh-CN"/>
              </w:rPr>
              <w:t>搅拌分离：</w:t>
            </w:r>
            <w:r>
              <w:rPr>
                <w:rFonts w:hint="eastAsia" w:ascii="Times New Roman" w:hAnsi="Times New Roman" w:eastAsia="宋体" w:cs="Times New Roman"/>
                <w:b w:val="0"/>
                <w:bCs w:val="0"/>
                <w:color w:val="auto"/>
                <w:sz w:val="26"/>
                <w:szCs w:val="26"/>
                <w:highlight w:val="none"/>
                <w:lang w:val="en-US" w:eastAsia="zh-CN"/>
              </w:rPr>
              <w:t>打渣和除杂工序产生的铝渣送至铝回收装置（炒灰机）进一步处理。对炒灰锅里的铝渣用叉车倒进铝回收装置（炒灰机）中，利用铝渣自身热能并进行高速搅拌，搅拌过程中温度保持在800℃左右，加入1%的除渣剂（精炼剂），将铝渣中铝液富集在一起，铝液通过分离器液体出口流至铝水包（转运容器），送回熔炼炉进行处理。</w:t>
            </w:r>
          </w:p>
          <w:p w14:paraId="40ED8F9A">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主要产污环节为炒灰过程产生的铝回收装置废气G7及设备运行噪声。</w:t>
            </w:r>
          </w:p>
          <w:p w14:paraId="1A9DE94F">
            <w:pPr>
              <w:keepNext w:val="0"/>
              <w:keepLines w:val="0"/>
              <w:pageBreakBefore w:val="0"/>
              <w:widowControl w:val="0"/>
              <w:kinsoku/>
              <w:wordWrap/>
              <w:overflowPunct/>
              <w:topLinePunct w:val="0"/>
              <w:autoSpaceDE w:val="0"/>
              <w:autoSpaceDN w:val="0"/>
              <w:bidi w:val="0"/>
              <w:adjustRightInd w:val="0"/>
              <w:snapToGrid/>
              <w:spacing w:line="460" w:lineRule="exact"/>
              <w:ind w:firstLine="522"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bCs/>
                <w:color w:val="auto"/>
                <w:sz w:val="26"/>
                <w:szCs w:val="26"/>
                <w:highlight w:val="none"/>
                <w:lang w:val="en-US" w:eastAsia="zh-CN"/>
              </w:rPr>
              <w:t>冷却：</w:t>
            </w:r>
            <w:r>
              <w:rPr>
                <w:rFonts w:hint="eastAsia" w:ascii="Times New Roman" w:hAnsi="Times New Roman" w:eastAsia="宋体" w:cs="Times New Roman"/>
                <w:b w:val="0"/>
                <w:bCs w:val="0"/>
                <w:color w:val="auto"/>
                <w:sz w:val="26"/>
                <w:szCs w:val="26"/>
                <w:highlight w:val="none"/>
                <w:lang w:val="en-US" w:eastAsia="zh-CN"/>
              </w:rPr>
              <w:t>经高速搅拌分离出铝液返回熔炼炉回用作为原料，铝灰渣则进入冷灰桶工段冷却，冷灰桶采用喷淋式循环水间接冷却降温。将铝灰渣中的铝液冷却降温成块。</w:t>
            </w:r>
          </w:p>
          <w:p w14:paraId="148FD478">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主要产污环节为设备运行噪声。</w:t>
            </w:r>
          </w:p>
          <w:p w14:paraId="00947381">
            <w:pPr>
              <w:keepNext w:val="0"/>
              <w:keepLines w:val="0"/>
              <w:pageBreakBefore w:val="0"/>
              <w:widowControl w:val="0"/>
              <w:kinsoku/>
              <w:wordWrap/>
              <w:overflowPunct/>
              <w:topLinePunct w:val="0"/>
              <w:autoSpaceDE w:val="0"/>
              <w:autoSpaceDN w:val="0"/>
              <w:bidi w:val="0"/>
              <w:adjustRightInd w:val="0"/>
              <w:snapToGrid/>
              <w:spacing w:line="460" w:lineRule="exact"/>
              <w:ind w:firstLine="522"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bCs/>
                <w:color w:val="auto"/>
                <w:sz w:val="26"/>
                <w:szCs w:val="26"/>
                <w:highlight w:val="none"/>
                <w:lang w:val="en-US" w:eastAsia="zh-CN"/>
              </w:rPr>
              <w:t>筛分：</w:t>
            </w:r>
            <w:r>
              <w:rPr>
                <w:rFonts w:hint="eastAsia" w:ascii="Times New Roman" w:hAnsi="Times New Roman" w:eastAsia="宋体" w:cs="Times New Roman"/>
                <w:b w:val="0"/>
                <w:bCs w:val="0"/>
                <w:color w:val="auto"/>
                <w:sz w:val="26"/>
                <w:szCs w:val="26"/>
                <w:highlight w:val="none"/>
                <w:lang w:val="en-US" w:eastAsia="zh-CN"/>
              </w:rPr>
              <w:t>由于冷灰桶出来的铝灰渣中仍含有10%-20%的铝，经冷灰后的铝灰渣通过筛选区，筛分出不同粒度的铝灰渣，其中大颗粒铝灰渣返回熔炼炉回收金属铝，小颗粒的灰渣则采用袋装收集后交由有资质单位处置。</w:t>
            </w:r>
          </w:p>
          <w:p w14:paraId="008DEA9F">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主要产污环节为出料过程产生的铝回收装置废气G7、设备运行噪声及二次铝灰S4。</w:t>
            </w:r>
          </w:p>
          <w:p w14:paraId="148054A6">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由于炒灰作业无外界热源，完全依靠铝灰渣（即一次铝灰）自身氧化热量进行，故扒渣后产生的铝灰渣需立即进行处理。同时为不影响产品质量，本项目回收铝料对应本项目生产熔炼炉。</w:t>
            </w:r>
          </w:p>
          <w:p w14:paraId="5B4A46B0">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厂区原辅料转运主要采用人工及燃油叉车，铝灰渣（即一次铝灰）装入炒灰锅采用燃油叉车转运，二次铝灰装入吨袋采用燃油叉车转运。</w:t>
            </w:r>
          </w:p>
          <w:p w14:paraId="4F5B7AA2">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根据《重庆市生态环境局等9部门关于加强非道路移动机械排放监管工作的通知》（渝环规〔2024〕1号），“非道路移动机械环保编码登记全覆盖。全市范围内使用的非道路移动机械，均应由非道路移动机械所有者通过‘重庆市非道路移动机械监管平台’微信小程序向生态环境部门申请环保编码登记，获得环保编码。</w:t>
            </w:r>
          </w:p>
          <w:p w14:paraId="2E85E7EC">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新购置或转入我市使用且尚未申请环保编码登记的，机械所有者应自购置及转入之日起30日内在我市申请机械编码登记。已在全国其它省市(自治区)申请环保编码登记的，不需在我市重复申请。”</w:t>
            </w:r>
          </w:p>
          <w:p w14:paraId="42B92EC5">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本项目所用柴油叉车属于非道路移动机械，评价要求建设单位按要求进行相应的环保编码登记，进、出作业现场做好进出场登记、填写燃料和氮氧化物还原剂使用台账，同时要确保设备达标排放。</w:t>
            </w:r>
          </w:p>
          <w:p w14:paraId="6F0BF696">
            <w:pPr>
              <w:keepNext w:val="0"/>
              <w:keepLines w:val="0"/>
              <w:pageBreakBefore w:val="0"/>
              <w:widowControl w:val="0"/>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b/>
                <w:bCs/>
                <w:color w:val="auto"/>
                <w:sz w:val="26"/>
                <w:szCs w:val="26"/>
                <w:lang w:val="en-US" w:eastAsia="zh-CN"/>
              </w:rPr>
              <w:t>2.11.2产污环节统计</w:t>
            </w:r>
          </w:p>
          <w:p w14:paraId="38F68020">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本</w:t>
            </w:r>
            <w:r>
              <w:rPr>
                <w:rFonts w:hint="default" w:ascii="Times New Roman" w:hAnsi="Times New Roman" w:eastAsia="宋体" w:cs="Times New Roman"/>
                <w:color w:val="auto"/>
                <w:sz w:val="26"/>
                <w:szCs w:val="26"/>
                <w:lang w:val="en-US" w:eastAsia="zh-CN"/>
              </w:rPr>
              <w:t>项目主要</w:t>
            </w:r>
            <w:r>
              <w:rPr>
                <w:rFonts w:hint="eastAsia" w:ascii="Times New Roman" w:hAnsi="Times New Roman" w:eastAsia="宋体" w:cs="Times New Roman"/>
                <w:color w:val="auto"/>
                <w:sz w:val="26"/>
                <w:szCs w:val="26"/>
                <w:lang w:val="en-US" w:eastAsia="zh-CN"/>
              </w:rPr>
              <w:t>产排污</w:t>
            </w:r>
            <w:r>
              <w:rPr>
                <w:rFonts w:hint="default" w:ascii="Times New Roman" w:hAnsi="Times New Roman" w:eastAsia="宋体" w:cs="Times New Roman"/>
                <w:color w:val="auto"/>
                <w:sz w:val="26"/>
                <w:szCs w:val="26"/>
                <w:lang w:val="en-US" w:eastAsia="zh-CN"/>
              </w:rPr>
              <w:t>见</w:t>
            </w:r>
            <w:r>
              <w:rPr>
                <w:rFonts w:hint="eastAsia" w:ascii="Times New Roman" w:hAnsi="Times New Roman" w:eastAsia="宋体" w:cs="Times New Roman"/>
                <w:color w:val="auto"/>
                <w:sz w:val="26"/>
                <w:szCs w:val="26"/>
                <w:lang w:val="en-US" w:eastAsia="zh-CN"/>
              </w:rPr>
              <w:t>表2.11-1所示</w:t>
            </w:r>
            <w:r>
              <w:rPr>
                <w:rFonts w:hint="default" w:ascii="Times New Roman" w:hAnsi="Times New Roman" w:eastAsia="宋体" w:cs="Times New Roman"/>
                <w:color w:val="auto"/>
                <w:sz w:val="26"/>
                <w:szCs w:val="26"/>
                <w:lang w:val="en-US" w:eastAsia="zh-CN"/>
              </w:rPr>
              <w:t>。</w:t>
            </w:r>
          </w:p>
          <w:p w14:paraId="27AA8FE7">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p>
          <w:p w14:paraId="4964AA65">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p>
          <w:p w14:paraId="46CFA431">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default" w:ascii="Times New Roman" w:hAnsi="Times New Roman" w:eastAsia="宋体" w:cs="Times New Roman"/>
                <w:b/>
                <w:bCs/>
                <w:color w:val="auto"/>
                <w:sz w:val="26"/>
                <w:szCs w:val="26"/>
                <w:lang w:val="en-US" w:eastAsia="zh-CN"/>
              </w:rPr>
            </w:pPr>
            <w:r>
              <w:rPr>
                <w:rFonts w:hint="default" w:ascii="Times New Roman" w:hAnsi="Times New Roman" w:eastAsia="宋体" w:cs="Times New Roman"/>
                <w:b/>
                <w:bCs/>
                <w:color w:val="auto"/>
                <w:sz w:val="26"/>
                <w:szCs w:val="26"/>
                <w:lang w:val="en-US" w:eastAsia="zh-CN"/>
              </w:rPr>
              <w:t>表</w:t>
            </w:r>
            <w:r>
              <w:rPr>
                <w:rFonts w:hint="eastAsia" w:ascii="Times New Roman" w:hAnsi="Times New Roman" w:eastAsia="宋体" w:cs="Times New Roman"/>
                <w:b/>
                <w:bCs/>
                <w:color w:val="auto"/>
                <w:sz w:val="26"/>
                <w:szCs w:val="26"/>
                <w:lang w:val="en-US" w:eastAsia="zh-CN"/>
              </w:rPr>
              <w:t>2.11-1</w:t>
            </w:r>
            <w:r>
              <w:rPr>
                <w:rFonts w:hint="default" w:ascii="Times New Roman" w:hAnsi="Times New Roman" w:eastAsia="宋体" w:cs="Times New Roman"/>
                <w:b/>
                <w:bCs/>
                <w:color w:val="auto"/>
                <w:sz w:val="26"/>
                <w:szCs w:val="26"/>
                <w:lang w:val="en-US" w:eastAsia="zh-CN"/>
              </w:rPr>
              <w:t xml:space="preserve">  </w:t>
            </w:r>
            <w:r>
              <w:rPr>
                <w:rFonts w:hint="eastAsia" w:ascii="Times New Roman" w:hAnsi="Times New Roman" w:eastAsia="宋体" w:cs="Times New Roman"/>
                <w:b/>
                <w:bCs/>
                <w:color w:val="auto"/>
                <w:sz w:val="26"/>
                <w:szCs w:val="26"/>
                <w:lang w:val="en-US" w:eastAsia="zh-CN"/>
              </w:rPr>
              <w:t>本项目</w:t>
            </w:r>
            <w:r>
              <w:rPr>
                <w:rFonts w:hint="default" w:ascii="Times New Roman" w:hAnsi="Times New Roman" w:eastAsia="宋体" w:cs="Times New Roman"/>
                <w:b/>
                <w:bCs/>
                <w:color w:val="auto"/>
                <w:sz w:val="26"/>
                <w:szCs w:val="26"/>
                <w:lang w:val="en-US" w:eastAsia="zh-CN"/>
              </w:rPr>
              <w:t>主要污染工序一览表</w:t>
            </w:r>
          </w:p>
          <w:tbl>
            <w:tblPr>
              <w:tblStyle w:val="25"/>
              <w:tblW w:w="484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7"/>
              <w:gridCol w:w="644"/>
              <w:gridCol w:w="662"/>
              <w:gridCol w:w="1779"/>
              <w:gridCol w:w="1497"/>
              <w:gridCol w:w="688"/>
              <w:gridCol w:w="1978"/>
            </w:tblGrid>
            <w:tr w14:paraId="66665D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tcBorders>
                    <w:tl2br w:val="nil"/>
                    <w:tr2bl w:val="nil"/>
                  </w:tcBorders>
                  <w:noWrap w:val="0"/>
                  <w:vAlign w:val="center"/>
                </w:tcPr>
                <w:p w14:paraId="6182063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时段</w:t>
                  </w:r>
                </w:p>
              </w:tc>
              <w:tc>
                <w:tcPr>
                  <w:tcW w:w="644" w:type="dxa"/>
                  <w:tcBorders>
                    <w:tl2br w:val="nil"/>
                    <w:tr2bl w:val="nil"/>
                  </w:tcBorders>
                  <w:noWrap w:val="0"/>
                  <w:vAlign w:val="center"/>
                </w:tcPr>
                <w:p w14:paraId="32916AD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污染因子</w:t>
                  </w:r>
                </w:p>
              </w:tc>
              <w:tc>
                <w:tcPr>
                  <w:tcW w:w="662" w:type="dxa"/>
                  <w:tcBorders>
                    <w:tl2br w:val="nil"/>
                    <w:tr2bl w:val="nil"/>
                  </w:tcBorders>
                  <w:noWrap w:val="0"/>
                  <w:vAlign w:val="center"/>
                </w:tcPr>
                <w:p w14:paraId="74B0076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编号</w:t>
                  </w:r>
                </w:p>
              </w:tc>
              <w:tc>
                <w:tcPr>
                  <w:tcW w:w="1779" w:type="dxa"/>
                  <w:tcBorders>
                    <w:tl2br w:val="nil"/>
                    <w:tr2bl w:val="nil"/>
                  </w:tcBorders>
                  <w:noWrap w:val="0"/>
                  <w:vAlign w:val="center"/>
                </w:tcPr>
                <w:p w14:paraId="3AE3BB7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名称</w:t>
                  </w:r>
                </w:p>
              </w:tc>
              <w:tc>
                <w:tcPr>
                  <w:tcW w:w="1497" w:type="dxa"/>
                  <w:tcBorders>
                    <w:tl2br w:val="nil"/>
                    <w:tr2bl w:val="nil"/>
                  </w:tcBorders>
                  <w:noWrap w:val="0"/>
                  <w:vAlign w:val="center"/>
                </w:tcPr>
                <w:p w14:paraId="6C66057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污染物种类</w:t>
                  </w:r>
                </w:p>
              </w:tc>
              <w:tc>
                <w:tcPr>
                  <w:tcW w:w="688" w:type="dxa"/>
                  <w:tcBorders>
                    <w:tl2br w:val="nil"/>
                    <w:tr2bl w:val="nil"/>
                  </w:tcBorders>
                  <w:noWrap w:val="0"/>
                  <w:vAlign w:val="center"/>
                </w:tcPr>
                <w:p w14:paraId="3BF302B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产生</w:t>
                  </w:r>
                </w:p>
                <w:p w14:paraId="47D265D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方式</w:t>
                  </w:r>
                </w:p>
              </w:tc>
              <w:tc>
                <w:tcPr>
                  <w:tcW w:w="1978" w:type="dxa"/>
                  <w:tcBorders>
                    <w:tl2br w:val="nil"/>
                    <w:tr2bl w:val="nil"/>
                  </w:tcBorders>
                  <w:noWrap w:val="0"/>
                  <w:vAlign w:val="center"/>
                </w:tcPr>
                <w:p w14:paraId="46F9522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排放方式</w:t>
                  </w:r>
                </w:p>
              </w:tc>
            </w:tr>
            <w:tr w14:paraId="2D0CA0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restart"/>
                  <w:tcBorders>
                    <w:tl2br w:val="nil"/>
                    <w:tr2bl w:val="nil"/>
                  </w:tcBorders>
                  <w:noWrap w:val="0"/>
                  <w:vAlign w:val="center"/>
                </w:tcPr>
                <w:p w14:paraId="3B46BEE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营运期</w:t>
                  </w:r>
                </w:p>
              </w:tc>
              <w:tc>
                <w:tcPr>
                  <w:tcW w:w="644" w:type="dxa"/>
                  <w:vMerge w:val="restart"/>
                  <w:tcBorders>
                    <w:tl2br w:val="nil"/>
                    <w:tr2bl w:val="nil"/>
                  </w:tcBorders>
                  <w:noWrap w:val="0"/>
                  <w:vAlign w:val="center"/>
                </w:tcPr>
                <w:p w14:paraId="6EAD97F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废气</w:t>
                  </w:r>
                </w:p>
              </w:tc>
              <w:tc>
                <w:tcPr>
                  <w:tcW w:w="662" w:type="dxa"/>
                  <w:tcBorders>
                    <w:tl2br w:val="nil"/>
                    <w:tr2bl w:val="nil"/>
                  </w:tcBorders>
                  <w:noWrap w:val="0"/>
                  <w:vAlign w:val="center"/>
                </w:tcPr>
                <w:p w14:paraId="57A8B4F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G1</w:t>
                  </w:r>
                </w:p>
              </w:tc>
              <w:tc>
                <w:tcPr>
                  <w:tcW w:w="1779" w:type="dxa"/>
                  <w:tcBorders>
                    <w:tl2br w:val="nil"/>
                    <w:tr2bl w:val="nil"/>
                  </w:tcBorders>
                  <w:noWrap w:val="0"/>
                  <w:vAlign w:val="center"/>
                </w:tcPr>
                <w:p w14:paraId="538D5DB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熔炼废气</w:t>
                  </w:r>
                </w:p>
              </w:tc>
              <w:tc>
                <w:tcPr>
                  <w:tcW w:w="1497" w:type="dxa"/>
                  <w:tcBorders>
                    <w:tl2br w:val="nil"/>
                    <w:tr2bl w:val="nil"/>
                  </w:tcBorders>
                  <w:noWrap w:val="0"/>
                  <w:vAlign w:val="center"/>
                </w:tcPr>
                <w:p w14:paraId="085239F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zh-CN" w:eastAsia="zh-CN" w:bidi="ar-SA"/>
                    </w:rPr>
                    <w:t>SO</w:t>
                  </w:r>
                  <w:r>
                    <w:rPr>
                      <w:rFonts w:hint="default" w:ascii="Times New Roman" w:hAnsi="Times New Roman" w:eastAsia="宋体" w:cs="Times New Roman"/>
                      <w:i w:val="0"/>
                      <w:color w:val="auto"/>
                      <w:kern w:val="2"/>
                      <w:sz w:val="22"/>
                      <w:szCs w:val="22"/>
                      <w:u w:val="none"/>
                      <w:vertAlign w:val="subscript"/>
                      <w:lang w:val="zh-CN" w:eastAsia="zh-CN" w:bidi="ar-SA"/>
                    </w:rPr>
                    <w:t>2</w:t>
                  </w:r>
                  <w:r>
                    <w:rPr>
                      <w:rFonts w:hint="default" w:ascii="Times New Roman" w:hAnsi="Times New Roman" w:eastAsia="宋体" w:cs="Times New Roman"/>
                      <w:i w:val="0"/>
                      <w:color w:val="auto"/>
                      <w:kern w:val="2"/>
                      <w:sz w:val="22"/>
                      <w:szCs w:val="22"/>
                      <w:u w:val="none"/>
                      <w:lang w:val="zh-CN" w:eastAsia="zh-CN" w:bidi="ar-SA"/>
                    </w:rPr>
                    <w:t>、NOx、</w:t>
                  </w:r>
                  <w:r>
                    <w:rPr>
                      <w:rFonts w:hint="default" w:ascii="Times New Roman" w:hAnsi="Times New Roman" w:eastAsia="宋体" w:cs="Times New Roman"/>
                      <w:i w:val="0"/>
                      <w:color w:val="auto"/>
                      <w:kern w:val="2"/>
                      <w:sz w:val="22"/>
                      <w:szCs w:val="22"/>
                      <w:u w:val="none"/>
                      <w:lang w:val="en-US" w:eastAsia="zh-CN" w:bidi="ar-SA"/>
                    </w:rPr>
                    <w:t>颗粒物、氯化氢、氟化物</w:t>
                  </w:r>
                </w:p>
              </w:tc>
              <w:tc>
                <w:tcPr>
                  <w:tcW w:w="688" w:type="dxa"/>
                  <w:tcBorders>
                    <w:tl2br w:val="nil"/>
                    <w:tr2bl w:val="nil"/>
                  </w:tcBorders>
                  <w:noWrap w:val="0"/>
                  <w:vAlign w:val="center"/>
                </w:tcPr>
                <w:p w14:paraId="2D76B68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连续</w:t>
                  </w:r>
                </w:p>
              </w:tc>
              <w:tc>
                <w:tcPr>
                  <w:tcW w:w="1978" w:type="dxa"/>
                  <w:tcBorders>
                    <w:tl2br w:val="nil"/>
                    <w:tr2bl w:val="nil"/>
                  </w:tcBorders>
                  <w:noWrap w:val="0"/>
                  <w:vAlign w:val="center"/>
                </w:tcPr>
                <w:p w14:paraId="06E77A2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有组织</w:t>
                  </w:r>
                </w:p>
              </w:tc>
            </w:tr>
            <w:tr w14:paraId="0BF51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tcBorders>
                    <w:tl2br w:val="nil"/>
                    <w:tr2bl w:val="nil"/>
                  </w:tcBorders>
                  <w:noWrap w:val="0"/>
                  <w:vAlign w:val="center"/>
                </w:tcPr>
                <w:p w14:paraId="10CBC47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44" w:type="dxa"/>
                  <w:vMerge w:val="continue"/>
                  <w:tcBorders>
                    <w:tl2br w:val="nil"/>
                    <w:tr2bl w:val="nil"/>
                  </w:tcBorders>
                  <w:noWrap w:val="0"/>
                  <w:vAlign w:val="center"/>
                </w:tcPr>
                <w:p w14:paraId="394ECFA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62" w:type="dxa"/>
                  <w:tcBorders>
                    <w:tl2br w:val="nil"/>
                    <w:tr2bl w:val="nil"/>
                  </w:tcBorders>
                  <w:noWrap w:val="0"/>
                  <w:vAlign w:val="center"/>
                </w:tcPr>
                <w:p w14:paraId="77F826C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G2</w:t>
                  </w:r>
                </w:p>
              </w:tc>
              <w:tc>
                <w:tcPr>
                  <w:tcW w:w="1779" w:type="dxa"/>
                  <w:tcBorders>
                    <w:tl2br w:val="nil"/>
                    <w:tr2bl w:val="nil"/>
                  </w:tcBorders>
                  <w:noWrap w:val="0"/>
                  <w:vAlign w:val="center"/>
                </w:tcPr>
                <w:p w14:paraId="4191BFF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color w:val="auto"/>
                      <w:sz w:val="22"/>
                      <w:szCs w:val="22"/>
                      <w:lang w:val="en-US" w:eastAsia="zh-CN"/>
                    </w:rPr>
                    <w:t>铸造</w:t>
                  </w:r>
                  <w:r>
                    <w:rPr>
                      <w:rFonts w:hint="default" w:ascii="Times New Roman" w:hAnsi="Times New Roman" w:eastAsia="宋体" w:cs="Times New Roman"/>
                      <w:color w:val="auto"/>
                      <w:kern w:val="2"/>
                      <w:sz w:val="22"/>
                      <w:szCs w:val="22"/>
                      <w:highlight w:val="none"/>
                      <w:lang w:val="en-US" w:eastAsia="zh-CN" w:bidi="ar-SA"/>
                    </w:rPr>
                    <w:t>废气</w:t>
                  </w:r>
                </w:p>
              </w:tc>
              <w:tc>
                <w:tcPr>
                  <w:tcW w:w="1497" w:type="dxa"/>
                  <w:tcBorders>
                    <w:tl2br w:val="nil"/>
                    <w:tr2bl w:val="nil"/>
                  </w:tcBorders>
                  <w:noWrap w:val="0"/>
                  <w:vAlign w:val="center"/>
                </w:tcPr>
                <w:p w14:paraId="2A60877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颗粒物</w:t>
                  </w:r>
                </w:p>
              </w:tc>
              <w:tc>
                <w:tcPr>
                  <w:tcW w:w="688" w:type="dxa"/>
                  <w:tcBorders>
                    <w:tl2br w:val="nil"/>
                    <w:tr2bl w:val="nil"/>
                  </w:tcBorders>
                  <w:noWrap w:val="0"/>
                  <w:vAlign w:val="center"/>
                </w:tcPr>
                <w:p w14:paraId="11B9C4D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1978" w:type="dxa"/>
                  <w:tcBorders>
                    <w:tl2br w:val="nil"/>
                    <w:tr2bl w:val="nil"/>
                  </w:tcBorders>
                  <w:noWrap w:val="0"/>
                  <w:vAlign w:val="center"/>
                </w:tcPr>
                <w:p w14:paraId="448BCF1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无组织</w:t>
                  </w:r>
                </w:p>
              </w:tc>
            </w:tr>
            <w:tr w14:paraId="65E82B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tcBorders>
                    <w:tl2br w:val="nil"/>
                    <w:tr2bl w:val="nil"/>
                  </w:tcBorders>
                  <w:noWrap w:val="0"/>
                  <w:vAlign w:val="center"/>
                </w:tcPr>
                <w:p w14:paraId="2C12334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44" w:type="dxa"/>
                  <w:vMerge w:val="continue"/>
                  <w:tcBorders>
                    <w:tl2br w:val="nil"/>
                    <w:tr2bl w:val="nil"/>
                  </w:tcBorders>
                  <w:noWrap w:val="0"/>
                  <w:vAlign w:val="center"/>
                </w:tcPr>
                <w:p w14:paraId="5A768A9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62" w:type="dxa"/>
                  <w:tcBorders>
                    <w:tl2br w:val="nil"/>
                    <w:tr2bl w:val="nil"/>
                  </w:tcBorders>
                  <w:noWrap w:val="0"/>
                  <w:vAlign w:val="center"/>
                </w:tcPr>
                <w:p w14:paraId="438476D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G3</w:t>
                  </w:r>
                </w:p>
              </w:tc>
              <w:tc>
                <w:tcPr>
                  <w:tcW w:w="1779" w:type="dxa"/>
                  <w:tcBorders>
                    <w:tl2br w:val="nil"/>
                    <w:tr2bl w:val="nil"/>
                  </w:tcBorders>
                  <w:noWrap w:val="0"/>
                  <w:vAlign w:val="center"/>
                </w:tcPr>
                <w:p w14:paraId="4B8D353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均质废气</w:t>
                  </w:r>
                </w:p>
              </w:tc>
              <w:tc>
                <w:tcPr>
                  <w:tcW w:w="1497" w:type="dxa"/>
                  <w:tcBorders>
                    <w:tl2br w:val="nil"/>
                    <w:tr2bl w:val="nil"/>
                  </w:tcBorders>
                  <w:noWrap w:val="0"/>
                  <w:vAlign w:val="center"/>
                </w:tcPr>
                <w:p w14:paraId="273EEF2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zh-CN" w:eastAsia="zh-CN" w:bidi="ar-SA"/>
                    </w:rPr>
                  </w:pPr>
                  <w:r>
                    <w:rPr>
                      <w:rFonts w:hint="default" w:ascii="Times New Roman" w:hAnsi="Times New Roman" w:eastAsia="宋体" w:cs="Times New Roman"/>
                      <w:i w:val="0"/>
                      <w:color w:val="auto"/>
                      <w:kern w:val="2"/>
                      <w:sz w:val="22"/>
                      <w:szCs w:val="22"/>
                      <w:u w:val="none"/>
                      <w:lang w:val="zh-CN" w:eastAsia="zh-CN" w:bidi="ar-SA"/>
                    </w:rPr>
                    <w:t>SO</w:t>
                  </w:r>
                  <w:r>
                    <w:rPr>
                      <w:rFonts w:hint="default" w:ascii="Times New Roman" w:hAnsi="Times New Roman" w:eastAsia="宋体" w:cs="Times New Roman"/>
                      <w:i w:val="0"/>
                      <w:color w:val="auto"/>
                      <w:kern w:val="2"/>
                      <w:sz w:val="22"/>
                      <w:szCs w:val="22"/>
                      <w:u w:val="none"/>
                      <w:vertAlign w:val="subscript"/>
                      <w:lang w:val="zh-CN" w:eastAsia="zh-CN" w:bidi="ar-SA"/>
                    </w:rPr>
                    <w:t>2</w:t>
                  </w:r>
                  <w:r>
                    <w:rPr>
                      <w:rFonts w:hint="default" w:ascii="Times New Roman" w:hAnsi="Times New Roman" w:eastAsia="宋体" w:cs="Times New Roman"/>
                      <w:i w:val="0"/>
                      <w:color w:val="auto"/>
                      <w:kern w:val="2"/>
                      <w:sz w:val="22"/>
                      <w:szCs w:val="22"/>
                      <w:u w:val="none"/>
                      <w:lang w:val="zh-CN" w:eastAsia="zh-CN" w:bidi="ar-SA"/>
                    </w:rPr>
                    <w:t>、NOx、</w:t>
                  </w:r>
                  <w:r>
                    <w:rPr>
                      <w:rFonts w:hint="default" w:ascii="Times New Roman" w:hAnsi="Times New Roman" w:eastAsia="宋体" w:cs="Times New Roman"/>
                      <w:i w:val="0"/>
                      <w:color w:val="auto"/>
                      <w:kern w:val="2"/>
                      <w:sz w:val="22"/>
                      <w:szCs w:val="22"/>
                      <w:u w:val="none"/>
                      <w:lang w:val="en-US" w:eastAsia="zh-CN" w:bidi="ar-SA"/>
                    </w:rPr>
                    <w:t>颗粒物、</w:t>
                  </w:r>
                </w:p>
              </w:tc>
              <w:tc>
                <w:tcPr>
                  <w:tcW w:w="688" w:type="dxa"/>
                  <w:tcBorders>
                    <w:tl2br w:val="nil"/>
                    <w:tr2bl w:val="nil"/>
                  </w:tcBorders>
                  <w:noWrap w:val="0"/>
                  <w:vAlign w:val="center"/>
                </w:tcPr>
                <w:p w14:paraId="5C0129B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连续</w:t>
                  </w:r>
                </w:p>
              </w:tc>
              <w:tc>
                <w:tcPr>
                  <w:tcW w:w="1978" w:type="dxa"/>
                  <w:tcBorders>
                    <w:tl2br w:val="nil"/>
                    <w:tr2bl w:val="nil"/>
                  </w:tcBorders>
                  <w:noWrap w:val="0"/>
                  <w:vAlign w:val="center"/>
                </w:tcPr>
                <w:p w14:paraId="003D69F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有组织</w:t>
                  </w:r>
                </w:p>
              </w:tc>
            </w:tr>
            <w:tr w14:paraId="655C7C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tcBorders>
                    <w:tl2br w:val="nil"/>
                    <w:tr2bl w:val="nil"/>
                  </w:tcBorders>
                  <w:noWrap w:val="0"/>
                  <w:vAlign w:val="center"/>
                </w:tcPr>
                <w:p w14:paraId="53D72DD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44" w:type="dxa"/>
                  <w:vMerge w:val="continue"/>
                  <w:tcBorders>
                    <w:tl2br w:val="nil"/>
                    <w:tr2bl w:val="nil"/>
                  </w:tcBorders>
                  <w:noWrap w:val="0"/>
                  <w:vAlign w:val="center"/>
                </w:tcPr>
                <w:p w14:paraId="5FBF1DF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62" w:type="dxa"/>
                  <w:tcBorders>
                    <w:tl2br w:val="nil"/>
                    <w:tr2bl w:val="nil"/>
                  </w:tcBorders>
                  <w:noWrap w:val="0"/>
                  <w:vAlign w:val="center"/>
                </w:tcPr>
                <w:p w14:paraId="513811C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G4</w:t>
                  </w:r>
                </w:p>
              </w:tc>
              <w:tc>
                <w:tcPr>
                  <w:tcW w:w="1779" w:type="dxa"/>
                  <w:tcBorders>
                    <w:tl2br w:val="nil"/>
                    <w:tr2bl w:val="nil"/>
                  </w:tcBorders>
                  <w:noWrap w:val="0"/>
                  <w:vAlign w:val="center"/>
                </w:tcPr>
                <w:p w14:paraId="27FD6A6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机加废气</w:t>
                  </w:r>
                </w:p>
              </w:tc>
              <w:tc>
                <w:tcPr>
                  <w:tcW w:w="1497" w:type="dxa"/>
                  <w:tcBorders>
                    <w:tl2br w:val="nil"/>
                    <w:tr2bl w:val="nil"/>
                  </w:tcBorders>
                  <w:noWrap w:val="0"/>
                  <w:vAlign w:val="center"/>
                </w:tcPr>
                <w:p w14:paraId="06E56C9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非甲烷总烃</w:t>
                  </w:r>
                </w:p>
              </w:tc>
              <w:tc>
                <w:tcPr>
                  <w:tcW w:w="688" w:type="dxa"/>
                  <w:tcBorders>
                    <w:tl2br w:val="nil"/>
                    <w:tr2bl w:val="nil"/>
                  </w:tcBorders>
                  <w:noWrap w:val="0"/>
                  <w:vAlign w:val="center"/>
                </w:tcPr>
                <w:p w14:paraId="2090D85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间断</w:t>
                  </w:r>
                </w:p>
              </w:tc>
              <w:tc>
                <w:tcPr>
                  <w:tcW w:w="1978" w:type="dxa"/>
                  <w:tcBorders>
                    <w:tl2br w:val="nil"/>
                    <w:tr2bl w:val="nil"/>
                  </w:tcBorders>
                  <w:noWrap w:val="0"/>
                  <w:vAlign w:val="center"/>
                </w:tcPr>
                <w:p w14:paraId="605E468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无组织</w:t>
                  </w:r>
                </w:p>
              </w:tc>
            </w:tr>
            <w:tr w14:paraId="56AEF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tcBorders>
                    <w:tl2br w:val="nil"/>
                    <w:tr2bl w:val="nil"/>
                  </w:tcBorders>
                  <w:noWrap w:val="0"/>
                  <w:vAlign w:val="center"/>
                </w:tcPr>
                <w:p w14:paraId="68B4C1B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44" w:type="dxa"/>
                  <w:vMerge w:val="continue"/>
                  <w:tcBorders>
                    <w:tl2br w:val="nil"/>
                    <w:tr2bl w:val="nil"/>
                  </w:tcBorders>
                  <w:noWrap w:val="0"/>
                  <w:vAlign w:val="center"/>
                </w:tcPr>
                <w:p w14:paraId="6AA65A7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62" w:type="dxa"/>
                  <w:tcBorders>
                    <w:tl2br w:val="nil"/>
                    <w:tr2bl w:val="nil"/>
                  </w:tcBorders>
                  <w:noWrap w:val="0"/>
                  <w:vAlign w:val="center"/>
                </w:tcPr>
                <w:p w14:paraId="13FCB5D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eastAsia" w:ascii="Times New Roman" w:hAnsi="Times New Roman" w:eastAsia="宋体" w:cs="Times New Roman"/>
                      <w:i w:val="0"/>
                      <w:color w:val="auto"/>
                      <w:kern w:val="2"/>
                      <w:sz w:val="22"/>
                      <w:szCs w:val="22"/>
                      <w:u w:val="none"/>
                      <w:lang w:val="en-US" w:eastAsia="zh-CN" w:bidi="ar-SA"/>
                    </w:rPr>
                    <w:t>G5</w:t>
                  </w:r>
                </w:p>
              </w:tc>
              <w:tc>
                <w:tcPr>
                  <w:tcW w:w="1779" w:type="dxa"/>
                  <w:tcBorders>
                    <w:tl2br w:val="nil"/>
                    <w:tr2bl w:val="nil"/>
                  </w:tcBorders>
                  <w:noWrap w:val="0"/>
                  <w:vAlign w:val="center"/>
                </w:tcPr>
                <w:p w14:paraId="248B1F9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eastAsia" w:ascii="Times New Roman" w:hAnsi="Times New Roman" w:eastAsia="宋体" w:cs="Times New Roman"/>
                      <w:i w:val="0"/>
                      <w:color w:val="auto"/>
                      <w:kern w:val="2"/>
                      <w:sz w:val="22"/>
                      <w:szCs w:val="22"/>
                      <w:u w:val="none"/>
                      <w:lang w:val="en-US" w:eastAsia="zh-CN" w:bidi="ar-SA"/>
                    </w:rPr>
                    <w:t>烤包废气</w:t>
                  </w:r>
                </w:p>
              </w:tc>
              <w:tc>
                <w:tcPr>
                  <w:tcW w:w="1497" w:type="dxa"/>
                  <w:tcBorders>
                    <w:tl2br w:val="nil"/>
                    <w:tr2bl w:val="nil"/>
                  </w:tcBorders>
                  <w:noWrap w:val="0"/>
                  <w:vAlign w:val="center"/>
                </w:tcPr>
                <w:p w14:paraId="253ABAC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eastAsia" w:ascii="Times New Roman" w:hAnsi="Times New Roman" w:eastAsia="宋体" w:cs="Times New Roman"/>
                      <w:i w:val="0"/>
                      <w:color w:val="auto"/>
                      <w:kern w:val="2"/>
                      <w:sz w:val="22"/>
                      <w:szCs w:val="22"/>
                      <w:u w:val="none"/>
                      <w:lang w:val="en-US" w:eastAsia="zh-CN" w:bidi="ar-SA"/>
                    </w:rPr>
                    <w:t>SO</w:t>
                  </w:r>
                  <w:r>
                    <w:rPr>
                      <w:rFonts w:hint="eastAsia" w:ascii="Times New Roman" w:hAnsi="Times New Roman" w:eastAsia="宋体" w:cs="Times New Roman"/>
                      <w:i w:val="0"/>
                      <w:color w:val="auto"/>
                      <w:kern w:val="2"/>
                      <w:sz w:val="22"/>
                      <w:szCs w:val="22"/>
                      <w:u w:val="none"/>
                      <w:vertAlign w:val="subscript"/>
                      <w:lang w:val="en-US" w:eastAsia="zh-CN" w:bidi="ar-SA"/>
                    </w:rPr>
                    <w:t>2</w:t>
                  </w:r>
                  <w:r>
                    <w:rPr>
                      <w:rFonts w:hint="eastAsia" w:ascii="Times New Roman" w:hAnsi="Times New Roman" w:eastAsia="宋体" w:cs="Times New Roman"/>
                      <w:i w:val="0"/>
                      <w:color w:val="auto"/>
                      <w:kern w:val="2"/>
                      <w:sz w:val="22"/>
                      <w:szCs w:val="22"/>
                      <w:u w:val="none"/>
                      <w:lang w:val="en-US" w:eastAsia="zh-CN" w:bidi="ar-SA"/>
                    </w:rPr>
                    <w:t>、NOx、颗粒物</w:t>
                  </w:r>
                </w:p>
              </w:tc>
              <w:tc>
                <w:tcPr>
                  <w:tcW w:w="688" w:type="dxa"/>
                  <w:tcBorders>
                    <w:tl2br w:val="nil"/>
                    <w:tr2bl w:val="nil"/>
                  </w:tcBorders>
                  <w:noWrap w:val="0"/>
                  <w:vAlign w:val="center"/>
                </w:tcPr>
                <w:p w14:paraId="11022C8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间断</w:t>
                  </w:r>
                </w:p>
              </w:tc>
              <w:tc>
                <w:tcPr>
                  <w:tcW w:w="1978" w:type="dxa"/>
                  <w:tcBorders>
                    <w:tl2br w:val="nil"/>
                    <w:tr2bl w:val="nil"/>
                  </w:tcBorders>
                  <w:noWrap w:val="0"/>
                  <w:vAlign w:val="center"/>
                </w:tcPr>
                <w:p w14:paraId="53D08FD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无组织</w:t>
                  </w:r>
                </w:p>
              </w:tc>
            </w:tr>
            <w:tr w14:paraId="51A1B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tcBorders>
                    <w:tl2br w:val="nil"/>
                    <w:tr2bl w:val="nil"/>
                  </w:tcBorders>
                  <w:noWrap w:val="0"/>
                  <w:vAlign w:val="center"/>
                </w:tcPr>
                <w:p w14:paraId="205F20F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44" w:type="dxa"/>
                  <w:vMerge w:val="continue"/>
                  <w:tcBorders>
                    <w:tl2br w:val="nil"/>
                    <w:tr2bl w:val="nil"/>
                  </w:tcBorders>
                  <w:noWrap w:val="0"/>
                  <w:vAlign w:val="center"/>
                </w:tcPr>
                <w:p w14:paraId="7A13DFE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62" w:type="dxa"/>
                  <w:tcBorders>
                    <w:tl2br w:val="nil"/>
                    <w:tr2bl w:val="nil"/>
                  </w:tcBorders>
                  <w:noWrap w:val="0"/>
                  <w:vAlign w:val="center"/>
                </w:tcPr>
                <w:p w14:paraId="375B5D6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eastAsia" w:ascii="Times New Roman" w:hAnsi="Times New Roman" w:eastAsia="宋体" w:cs="Times New Roman"/>
                      <w:i w:val="0"/>
                      <w:color w:val="auto"/>
                      <w:kern w:val="2"/>
                      <w:sz w:val="22"/>
                      <w:szCs w:val="22"/>
                      <w:u w:val="none"/>
                      <w:lang w:val="en-US" w:eastAsia="zh-CN" w:bidi="ar-SA"/>
                    </w:rPr>
                    <w:t>G6</w:t>
                  </w:r>
                </w:p>
              </w:tc>
              <w:tc>
                <w:tcPr>
                  <w:tcW w:w="1779" w:type="dxa"/>
                  <w:tcBorders>
                    <w:tl2br w:val="nil"/>
                    <w:tr2bl w:val="nil"/>
                  </w:tcBorders>
                  <w:noWrap w:val="0"/>
                  <w:vAlign w:val="center"/>
                </w:tcPr>
                <w:p w14:paraId="2BDA914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eastAsia" w:ascii="Times New Roman" w:hAnsi="Times New Roman" w:eastAsia="宋体" w:cs="Times New Roman"/>
                      <w:i w:val="0"/>
                      <w:color w:val="auto"/>
                      <w:kern w:val="2"/>
                      <w:sz w:val="22"/>
                      <w:szCs w:val="22"/>
                      <w:u w:val="none"/>
                      <w:lang w:val="en-US" w:eastAsia="zh-CN" w:bidi="ar-SA"/>
                    </w:rPr>
                  </w:pPr>
                  <w:r>
                    <w:rPr>
                      <w:rFonts w:hint="eastAsia" w:ascii="Times New Roman" w:hAnsi="Times New Roman" w:eastAsia="宋体" w:cs="Times New Roman"/>
                      <w:i w:val="0"/>
                      <w:color w:val="auto"/>
                      <w:kern w:val="2"/>
                      <w:sz w:val="22"/>
                      <w:szCs w:val="22"/>
                      <w:u w:val="none"/>
                      <w:lang w:val="en-US" w:eastAsia="zh-CN" w:bidi="ar-SA"/>
                    </w:rPr>
                    <w:t>转运废气</w:t>
                  </w:r>
                </w:p>
              </w:tc>
              <w:tc>
                <w:tcPr>
                  <w:tcW w:w="1497" w:type="dxa"/>
                  <w:tcBorders>
                    <w:tl2br w:val="nil"/>
                    <w:tr2bl w:val="nil"/>
                  </w:tcBorders>
                  <w:noWrap w:val="0"/>
                  <w:vAlign w:val="center"/>
                </w:tcPr>
                <w:p w14:paraId="47EDA67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eastAsia" w:ascii="Times New Roman" w:hAnsi="Times New Roman" w:eastAsia="宋体" w:cs="Times New Roman"/>
                      <w:i w:val="0"/>
                      <w:color w:val="auto"/>
                      <w:kern w:val="2"/>
                      <w:sz w:val="22"/>
                      <w:szCs w:val="22"/>
                      <w:u w:val="none"/>
                      <w:lang w:val="en-US" w:eastAsia="zh-CN" w:bidi="ar-SA"/>
                    </w:rPr>
                  </w:pPr>
                  <w:r>
                    <w:rPr>
                      <w:rFonts w:hint="eastAsia" w:ascii="Times New Roman" w:hAnsi="Times New Roman" w:eastAsia="宋体" w:cs="Times New Roman"/>
                      <w:i w:val="0"/>
                      <w:color w:val="auto"/>
                      <w:kern w:val="2"/>
                      <w:sz w:val="22"/>
                      <w:szCs w:val="22"/>
                      <w:u w:val="none"/>
                      <w:lang w:val="en-US" w:eastAsia="zh-CN" w:bidi="ar-SA"/>
                    </w:rPr>
                    <w:t>颗粒物</w:t>
                  </w:r>
                </w:p>
              </w:tc>
              <w:tc>
                <w:tcPr>
                  <w:tcW w:w="688" w:type="dxa"/>
                  <w:tcBorders>
                    <w:tl2br w:val="nil"/>
                    <w:tr2bl w:val="nil"/>
                  </w:tcBorders>
                  <w:noWrap w:val="0"/>
                  <w:vAlign w:val="center"/>
                </w:tcPr>
                <w:p w14:paraId="44DD40B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间断</w:t>
                  </w:r>
                </w:p>
              </w:tc>
              <w:tc>
                <w:tcPr>
                  <w:tcW w:w="1978" w:type="dxa"/>
                  <w:tcBorders>
                    <w:tl2br w:val="nil"/>
                    <w:tr2bl w:val="nil"/>
                  </w:tcBorders>
                  <w:noWrap w:val="0"/>
                  <w:vAlign w:val="center"/>
                </w:tcPr>
                <w:p w14:paraId="4D1DCBE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无组织</w:t>
                  </w:r>
                </w:p>
              </w:tc>
            </w:tr>
            <w:tr w14:paraId="2A574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tcBorders>
                    <w:tl2br w:val="nil"/>
                    <w:tr2bl w:val="nil"/>
                  </w:tcBorders>
                  <w:noWrap w:val="0"/>
                  <w:vAlign w:val="center"/>
                </w:tcPr>
                <w:p w14:paraId="7784579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44" w:type="dxa"/>
                  <w:vMerge w:val="continue"/>
                  <w:tcBorders>
                    <w:tl2br w:val="nil"/>
                    <w:tr2bl w:val="nil"/>
                  </w:tcBorders>
                  <w:noWrap w:val="0"/>
                  <w:vAlign w:val="center"/>
                </w:tcPr>
                <w:p w14:paraId="1A0B473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62" w:type="dxa"/>
                  <w:tcBorders>
                    <w:tl2br w:val="nil"/>
                    <w:tr2bl w:val="nil"/>
                  </w:tcBorders>
                  <w:noWrap w:val="0"/>
                  <w:vAlign w:val="center"/>
                </w:tcPr>
                <w:p w14:paraId="4CA9C52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eastAsia" w:ascii="Times New Roman" w:hAnsi="Times New Roman" w:eastAsia="宋体" w:cs="Times New Roman"/>
                      <w:i w:val="0"/>
                      <w:color w:val="auto"/>
                      <w:kern w:val="2"/>
                      <w:sz w:val="22"/>
                      <w:szCs w:val="22"/>
                      <w:u w:val="none"/>
                      <w:lang w:val="en-US" w:eastAsia="zh-CN" w:bidi="ar-SA"/>
                    </w:rPr>
                    <w:t>G7</w:t>
                  </w:r>
                </w:p>
              </w:tc>
              <w:tc>
                <w:tcPr>
                  <w:tcW w:w="1779" w:type="dxa"/>
                  <w:tcBorders>
                    <w:tl2br w:val="nil"/>
                    <w:tr2bl w:val="nil"/>
                  </w:tcBorders>
                  <w:noWrap w:val="0"/>
                  <w:vAlign w:val="center"/>
                </w:tcPr>
                <w:p w14:paraId="70B60E0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eastAsia" w:ascii="Times New Roman" w:hAnsi="Times New Roman" w:eastAsia="宋体" w:cs="Times New Roman"/>
                      <w:i w:val="0"/>
                      <w:color w:val="auto"/>
                      <w:kern w:val="2"/>
                      <w:sz w:val="22"/>
                      <w:szCs w:val="22"/>
                      <w:u w:val="none"/>
                      <w:lang w:val="en-US" w:eastAsia="zh-CN" w:bidi="ar-SA"/>
                    </w:rPr>
                  </w:pPr>
                  <w:r>
                    <w:rPr>
                      <w:rFonts w:hint="eastAsia" w:ascii="Times New Roman" w:hAnsi="Times New Roman" w:eastAsia="宋体" w:cs="Times New Roman"/>
                      <w:i w:val="0"/>
                      <w:color w:val="auto"/>
                      <w:kern w:val="2"/>
                      <w:sz w:val="22"/>
                      <w:szCs w:val="22"/>
                      <w:u w:val="none"/>
                      <w:lang w:val="en-US" w:eastAsia="zh-CN" w:bidi="ar-SA"/>
                    </w:rPr>
                    <w:t>铝回收装置废气</w:t>
                  </w:r>
                </w:p>
              </w:tc>
              <w:tc>
                <w:tcPr>
                  <w:tcW w:w="1497" w:type="dxa"/>
                  <w:tcBorders>
                    <w:tl2br w:val="nil"/>
                    <w:tr2bl w:val="nil"/>
                  </w:tcBorders>
                  <w:noWrap w:val="0"/>
                  <w:vAlign w:val="center"/>
                </w:tcPr>
                <w:p w14:paraId="0ADC730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eastAsia"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颗粒物、氯化氢、氟化物</w:t>
                  </w:r>
                </w:p>
              </w:tc>
              <w:tc>
                <w:tcPr>
                  <w:tcW w:w="688" w:type="dxa"/>
                  <w:tcBorders>
                    <w:tl2br w:val="nil"/>
                    <w:tr2bl w:val="nil"/>
                  </w:tcBorders>
                  <w:noWrap w:val="0"/>
                  <w:vAlign w:val="center"/>
                </w:tcPr>
                <w:p w14:paraId="15E6253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连续</w:t>
                  </w:r>
                </w:p>
              </w:tc>
              <w:tc>
                <w:tcPr>
                  <w:tcW w:w="1978" w:type="dxa"/>
                  <w:tcBorders>
                    <w:tl2br w:val="nil"/>
                    <w:tr2bl w:val="nil"/>
                  </w:tcBorders>
                  <w:noWrap w:val="0"/>
                  <w:vAlign w:val="center"/>
                </w:tcPr>
                <w:p w14:paraId="040E597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eastAsia" w:ascii="Times New Roman" w:hAnsi="Times New Roman" w:eastAsia="宋体" w:cs="Times New Roman"/>
                      <w:i w:val="0"/>
                      <w:color w:val="auto"/>
                      <w:sz w:val="22"/>
                      <w:szCs w:val="22"/>
                      <w:u w:val="none"/>
                      <w:lang w:val="en-US" w:eastAsia="zh-CN"/>
                    </w:rPr>
                    <w:t>有组织</w:t>
                  </w:r>
                </w:p>
              </w:tc>
            </w:tr>
            <w:tr w14:paraId="72DFE0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tcBorders>
                    <w:tl2br w:val="nil"/>
                    <w:tr2bl w:val="nil"/>
                  </w:tcBorders>
                  <w:noWrap w:val="0"/>
                  <w:vAlign w:val="center"/>
                </w:tcPr>
                <w:p w14:paraId="461AFC3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44" w:type="dxa"/>
                  <w:tcBorders>
                    <w:tl2br w:val="nil"/>
                    <w:tr2bl w:val="nil"/>
                  </w:tcBorders>
                  <w:noWrap w:val="0"/>
                  <w:vAlign w:val="center"/>
                </w:tcPr>
                <w:p w14:paraId="485AC19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噪声</w:t>
                  </w:r>
                </w:p>
              </w:tc>
              <w:tc>
                <w:tcPr>
                  <w:tcW w:w="662" w:type="dxa"/>
                  <w:tcBorders>
                    <w:tl2br w:val="nil"/>
                    <w:tr2bl w:val="nil"/>
                  </w:tcBorders>
                  <w:noWrap w:val="0"/>
                  <w:vAlign w:val="center"/>
                </w:tcPr>
                <w:p w14:paraId="4BD9799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N</w:t>
                  </w:r>
                </w:p>
              </w:tc>
              <w:tc>
                <w:tcPr>
                  <w:tcW w:w="1779" w:type="dxa"/>
                  <w:tcBorders>
                    <w:tl2br w:val="nil"/>
                    <w:tr2bl w:val="nil"/>
                  </w:tcBorders>
                  <w:noWrap w:val="0"/>
                  <w:vAlign w:val="center"/>
                </w:tcPr>
                <w:p w14:paraId="015C9F0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机械设备</w:t>
                  </w:r>
                </w:p>
              </w:tc>
              <w:tc>
                <w:tcPr>
                  <w:tcW w:w="1497" w:type="dxa"/>
                  <w:tcBorders>
                    <w:tl2br w:val="nil"/>
                    <w:tr2bl w:val="nil"/>
                  </w:tcBorders>
                  <w:noWrap w:val="0"/>
                  <w:vAlign w:val="center"/>
                </w:tcPr>
                <w:p w14:paraId="6E79651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机械噪声</w:t>
                  </w:r>
                </w:p>
              </w:tc>
              <w:tc>
                <w:tcPr>
                  <w:tcW w:w="688" w:type="dxa"/>
                  <w:tcBorders>
                    <w:tl2br w:val="nil"/>
                    <w:tr2bl w:val="nil"/>
                  </w:tcBorders>
                  <w:noWrap w:val="0"/>
                  <w:vAlign w:val="center"/>
                </w:tcPr>
                <w:p w14:paraId="085272B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连续</w:t>
                  </w:r>
                </w:p>
              </w:tc>
              <w:tc>
                <w:tcPr>
                  <w:tcW w:w="1978" w:type="dxa"/>
                  <w:tcBorders>
                    <w:tl2br w:val="nil"/>
                    <w:tr2bl w:val="nil"/>
                  </w:tcBorders>
                  <w:noWrap w:val="0"/>
                  <w:vAlign w:val="center"/>
                </w:tcPr>
                <w:p w14:paraId="3D7B09E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w:t>
                  </w:r>
                </w:p>
              </w:tc>
            </w:tr>
            <w:tr w14:paraId="783367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tcBorders>
                    <w:tl2br w:val="nil"/>
                    <w:tr2bl w:val="nil"/>
                  </w:tcBorders>
                  <w:noWrap w:val="0"/>
                  <w:vAlign w:val="center"/>
                </w:tcPr>
                <w:p w14:paraId="2319FB1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44" w:type="dxa"/>
                  <w:vMerge w:val="restart"/>
                  <w:tcBorders>
                    <w:tl2br w:val="nil"/>
                    <w:tr2bl w:val="nil"/>
                  </w:tcBorders>
                  <w:noWrap w:val="0"/>
                  <w:vAlign w:val="center"/>
                </w:tcPr>
                <w:p w14:paraId="3B7C71E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固体废物</w:t>
                  </w:r>
                </w:p>
              </w:tc>
              <w:tc>
                <w:tcPr>
                  <w:tcW w:w="662" w:type="dxa"/>
                  <w:tcBorders>
                    <w:tl2br w:val="nil"/>
                    <w:tr2bl w:val="nil"/>
                  </w:tcBorders>
                  <w:noWrap w:val="0"/>
                  <w:vAlign w:val="center"/>
                </w:tcPr>
                <w:p w14:paraId="63BF9CA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S1</w:t>
                  </w:r>
                </w:p>
              </w:tc>
              <w:tc>
                <w:tcPr>
                  <w:tcW w:w="1779" w:type="dxa"/>
                  <w:tcBorders>
                    <w:tl2br w:val="nil"/>
                    <w:tr2bl w:val="nil"/>
                  </w:tcBorders>
                  <w:noWrap w:val="0"/>
                  <w:vAlign w:val="center"/>
                </w:tcPr>
                <w:p w14:paraId="11AD0A9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铝灰渣</w:t>
                  </w:r>
                  <w:r>
                    <w:rPr>
                      <w:rFonts w:hint="eastAsia" w:ascii="Times New Roman" w:hAnsi="Times New Roman" w:eastAsia="宋体" w:cs="Times New Roman"/>
                      <w:i w:val="0"/>
                      <w:color w:val="auto"/>
                      <w:sz w:val="22"/>
                      <w:szCs w:val="22"/>
                      <w:u w:val="none"/>
                      <w:lang w:val="en-US" w:eastAsia="zh-CN"/>
                    </w:rPr>
                    <w:t>（一次铝灰）</w:t>
                  </w:r>
                </w:p>
              </w:tc>
              <w:tc>
                <w:tcPr>
                  <w:tcW w:w="1497" w:type="dxa"/>
                  <w:tcBorders>
                    <w:tl2br w:val="nil"/>
                    <w:tr2bl w:val="nil"/>
                  </w:tcBorders>
                  <w:noWrap w:val="0"/>
                  <w:vAlign w:val="center"/>
                </w:tcPr>
                <w:p w14:paraId="124143E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w:t>
                  </w:r>
                </w:p>
              </w:tc>
              <w:tc>
                <w:tcPr>
                  <w:tcW w:w="688" w:type="dxa"/>
                  <w:tcBorders>
                    <w:tl2br w:val="nil"/>
                    <w:tr2bl w:val="nil"/>
                  </w:tcBorders>
                  <w:noWrap w:val="0"/>
                  <w:vAlign w:val="center"/>
                </w:tcPr>
                <w:p w14:paraId="427D9B1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1978" w:type="dxa"/>
                  <w:tcBorders>
                    <w:tl2br w:val="nil"/>
                    <w:tr2bl w:val="nil"/>
                  </w:tcBorders>
                  <w:noWrap w:val="0"/>
                  <w:vAlign w:val="center"/>
                </w:tcPr>
                <w:p w14:paraId="3C0E9E4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作危废</w:t>
                  </w:r>
                </w:p>
              </w:tc>
            </w:tr>
            <w:tr w14:paraId="227200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tcBorders>
                    <w:tl2br w:val="nil"/>
                    <w:tr2bl w:val="nil"/>
                  </w:tcBorders>
                  <w:noWrap w:val="0"/>
                  <w:vAlign w:val="center"/>
                </w:tcPr>
                <w:p w14:paraId="752BB81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44" w:type="dxa"/>
                  <w:vMerge w:val="continue"/>
                  <w:tcBorders>
                    <w:tl2br w:val="nil"/>
                    <w:tr2bl w:val="nil"/>
                  </w:tcBorders>
                  <w:noWrap w:val="0"/>
                  <w:vAlign w:val="center"/>
                </w:tcPr>
                <w:p w14:paraId="26A733B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62" w:type="dxa"/>
                  <w:tcBorders>
                    <w:tl2br w:val="nil"/>
                    <w:tr2bl w:val="nil"/>
                  </w:tcBorders>
                  <w:noWrap w:val="0"/>
                  <w:vAlign w:val="center"/>
                </w:tcPr>
                <w:p w14:paraId="4066D61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S2</w:t>
                  </w:r>
                </w:p>
              </w:tc>
              <w:tc>
                <w:tcPr>
                  <w:tcW w:w="1779" w:type="dxa"/>
                  <w:tcBorders>
                    <w:tl2br w:val="nil"/>
                    <w:tr2bl w:val="nil"/>
                  </w:tcBorders>
                  <w:noWrap w:val="0"/>
                  <w:vAlign w:val="center"/>
                </w:tcPr>
                <w:p w14:paraId="4C12571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铸造漏料</w:t>
                  </w:r>
                </w:p>
              </w:tc>
              <w:tc>
                <w:tcPr>
                  <w:tcW w:w="1497" w:type="dxa"/>
                  <w:tcBorders>
                    <w:tl2br w:val="nil"/>
                    <w:tr2bl w:val="nil"/>
                  </w:tcBorders>
                  <w:noWrap w:val="0"/>
                  <w:vAlign w:val="center"/>
                </w:tcPr>
                <w:p w14:paraId="338DB2B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w:t>
                  </w:r>
                </w:p>
              </w:tc>
              <w:tc>
                <w:tcPr>
                  <w:tcW w:w="688" w:type="dxa"/>
                  <w:tcBorders>
                    <w:tl2br w:val="nil"/>
                    <w:tr2bl w:val="nil"/>
                  </w:tcBorders>
                  <w:noWrap w:val="0"/>
                  <w:vAlign w:val="center"/>
                </w:tcPr>
                <w:p w14:paraId="7A7E5DB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1978" w:type="dxa"/>
                  <w:tcBorders>
                    <w:tl2br w:val="nil"/>
                    <w:tr2bl w:val="nil"/>
                  </w:tcBorders>
                  <w:noWrap w:val="0"/>
                  <w:vAlign w:val="center"/>
                </w:tcPr>
                <w:p w14:paraId="544D814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进行回炉重熔，不外排</w:t>
                  </w:r>
                </w:p>
              </w:tc>
            </w:tr>
            <w:tr w14:paraId="1D07AA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tcBorders>
                    <w:tl2br w:val="nil"/>
                    <w:tr2bl w:val="nil"/>
                  </w:tcBorders>
                  <w:noWrap w:val="0"/>
                  <w:vAlign w:val="center"/>
                </w:tcPr>
                <w:p w14:paraId="395EB37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44" w:type="dxa"/>
                  <w:vMerge w:val="continue"/>
                  <w:tcBorders>
                    <w:tl2br w:val="nil"/>
                    <w:tr2bl w:val="nil"/>
                  </w:tcBorders>
                  <w:noWrap w:val="0"/>
                  <w:vAlign w:val="center"/>
                </w:tcPr>
                <w:p w14:paraId="411C507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62" w:type="dxa"/>
                  <w:vMerge w:val="restart"/>
                  <w:tcBorders>
                    <w:tl2br w:val="nil"/>
                    <w:tr2bl w:val="nil"/>
                  </w:tcBorders>
                  <w:noWrap w:val="0"/>
                  <w:vAlign w:val="center"/>
                </w:tcPr>
                <w:p w14:paraId="11AFD4B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S3</w:t>
                  </w:r>
                </w:p>
              </w:tc>
              <w:tc>
                <w:tcPr>
                  <w:tcW w:w="1779" w:type="dxa"/>
                  <w:tcBorders>
                    <w:tl2br w:val="nil"/>
                    <w:tr2bl w:val="nil"/>
                  </w:tcBorders>
                  <w:noWrap w:val="0"/>
                  <w:vAlign w:val="center"/>
                </w:tcPr>
                <w:p w14:paraId="2B01E2F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含油废铝料</w:t>
                  </w:r>
                </w:p>
              </w:tc>
              <w:tc>
                <w:tcPr>
                  <w:tcW w:w="1497" w:type="dxa"/>
                  <w:tcBorders>
                    <w:tl2br w:val="nil"/>
                    <w:tr2bl w:val="nil"/>
                  </w:tcBorders>
                  <w:noWrap w:val="0"/>
                  <w:vAlign w:val="center"/>
                </w:tcPr>
                <w:p w14:paraId="09B3316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w:t>
                  </w:r>
                </w:p>
              </w:tc>
              <w:tc>
                <w:tcPr>
                  <w:tcW w:w="688" w:type="dxa"/>
                  <w:tcBorders>
                    <w:tl2br w:val="nil"/>
                    <w:tr2bl w:val="nil"/>
                  </w:tcBorders>
                  <w:noWrap w:val="0"/>
                  <w:vAlign w:val="center"/>
                </w:tcPr>
                <w:p w14:paraId="7C41BAF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1978" w:type="dxa"/>
                  <w:tcBorders>
                    <w:tl2br w:val="nil"/>
                    <w:tr2bl w:val="nil"/>
                  </w:tcBorders>
                  <w:noWrap w:val="0"/>
                  <w:vAlign w:val="center"/>
                </w:tcPr>
                <w:p w14:paraId="7C5213C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委托危废资质单位处置</w:t>
                  </w:r>
                  <w:r>
                    <w:rPr>
                      <w:rFonts w:hint="default" w:ascii="Times New Roman" w:hAnsi="Times New Roman" w:eastAsia="宋体" w:cs="Times New Roman"/>
                      <w:i w:val="0"/>
                      <w:color w:val="auto"/>
                      <w:sz w:val="22"/>
                      <w:szCs w:val="22"/>
                      <w:u w:val="none"/>
                      <w:lang w:val="en-US" w:eastAsia="zh-CN"/>
                    </w:rPr>
                    <w:t>，不外排</w:t>
                  </w:r>
                </w:p>
              </w:tc>
            </w:tr>
            <w:tr w14:paraId="423CC8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tcBorders>
                    <w:tl2br w:val="nil"/>
                    <w:tr2bl w:val="nil"/>
                  </w:tcBorders>
                  <w:noWrap w:val="0"/>
                  <w:vAlign w:val="center"/>
                </w:tcPr>
                <w:p w14:paraId="6E49EE1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44" w:type="dxa"/>
                  <w:vMerge w:val="continue"/>
                  <w:tcBorders>
                    <w:tl2br w:val="nil"/>
                    <w:tr2bl w:val="nil"/>
                  </w:tcBorders>
                  <w:noWrap w:val="0"/>
                  <w:vAlign w:val="center"/>
                </w:tcPr>
                <w:p w14:paraId="317BF28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62" w:type="dxa"/>
                  <w:vMerge w:val="continue"/>
                  <w:tcBorders>
                    <w:tl2br w:val="nil"/>
                    <w:tr2bl w:val="nil"/>
                  </w:tcBorders>
                  <w:noWrap w:val="0"/>
                  <w:vAlign w:val="center"/>
                </w:tcPr>
                <w:p w14:paraId="3F31144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p>
              </w:tc>
              <w:tc>
                <w:tcPr>
                  <w:tcW w:w="1779" w:type="dxa"/>
                  <w:tcBorders>
                    <w:tl2br w:val="nil"/>
                    <w:tr2bl w:val="nil"/>
                  </w:tcBorders>
                  <w:noWrap w:val="0"/>
                  <w:vAlign w:val="center"/>
                </w:tcPr>
                <w:p w14:paraId="61E60AB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不含油废铝料</w:t>
                  </w:r>
                </w:p>
              </w:tc>
              <w:tc>
                <w:tcPr>
                  <w:tcW w:w="1497" w:type="dxa"/>
                  <w:tcBorders>
                    <w:tl2br w:val="nil"/>
                    <w:tr2bl w:val="nil"/>
                  </w:tcBorders>
                  <w:noWrap w:val="0"/>
                  <w:vAlign w:val="center"/>
                </w:tcPr>
                <w:p w14:paraId="240F9B7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w:t>
                  </w:r>
                </w:p>
              </w:tc>
              <w:tc>
                <w:tcPr>
                  <w:tcW w:w="688" w:type="dxa"/>
                  <w:tcBorders>
                    <w:tl2br w:val="nil"/>
                    <w:tr2bl w:val="nil"/>
                  </w:tcBorders>
                  <w:noWrap w:val="0"/>
                  <w:vAlign w:val="center"/>
                </w:tcPr>
                <w:p w14:paraId="60BA4D2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1978" w:type="dxa"/>
                  <w:tcBorders>
                    <w:tl2br w:val="nil"/>
                    <w:tr2bl w:val="nil"/>
                  </w:tcBorders>
                  <w:noWrap w:val="0"/>
                  <w:vAlign w:val="center"/>
                </w:tcPr>
                <w:p w14:paraId="162F198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回炉重熔，不外排</w:t>
                  </w:r>
                </w:p>
              </w:tc>
            </w:tr>
            <w:tr w14:paraId="7FCA1E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tcBorders>
                    <w:tl2br w:val="nil"/>
                    <w:tr2bl w:val="nil"/>
                  </w:tcBorders>
                  <w:noWrap w:val="0"/>
                  <w:vAlign w:val="center"/>
                </w:tcPr>
                <w:p w14:paraId="0C5189F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44" w:type="dxa"/>
                  <w:vMerge w:val="continue"/>
                  <w:tcBorders>
                    <w:tl2br w:val="nil"/>
                    <w:tr2bl w:val="nil"/>
                  </w:tcBorders>
                  <w:noWrap w:val="0"/>
                  <w:vAlign w:val="center"/>
                </w:tcPr>
                <w:p w14:paraId="5600457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62" w:type="dxa"/>
                  <w:tcBorders>
                    <w:tl2br w:val="nil"/>
                    <w:tr2bl w:val="nil"/>
                  </w:tcBorders>
                  <w:noWrap w:val="0"/>
                  <w:vAlign w:val="center"/>
                </w:tcPr>
                <w:p w14:paraId="4426C9A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eastAsia" w:ascii="Times New Roman" w:hAnsi="Times New Roman" w:eastAsia="宋体" w:cs="Times New Roman"/>
                      <w:i w:val="0"/>
                      <w:color w:val="auto"/>
                      <w:kern w:val="2"/>
                      <w:sz w:val="22"/>
                      <w:szCs w:val="22"/>
                      <w:u w:val="none"/>
                      <w:lang w:val="en-US" w:eastAsia="zh-CN" w:bidi="ar-SA"/>
                    </w:rPr>
                    <w:t>S4</w:t>
                  </w:r>
                </w:p>
              </w:tc>
              <w:tc>
                <w:tcPr>
                  <w:tcW w:w="1779" w:type="dxa"/>
                  <w:tcBorders>
                    <w:tl2br w:val="nil"/>
                    <w:tr2bl w:val="nil"/>
                  </w:tcBorders>
                  <w:noWrap w:val="0"/>
                  <w:vAlign w:val="center"/>
                </w:tcPr>
                <w:p w14:paraId="2F1BFEB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eastAsia" w:ascii="Times New Roman" w:hAnsi="Times New Roman" w:eastAsia="宋体" w:cs="Times New Roman"/>
                      <w:i w:val="0"/>
                      <w:color w:val="auto"/>
                      <w:kern w:val="2"/>
                      <w:sz w:val="22"/>
                      <w:szCs w:val="22"/>
                      <w:u w:val="none"/>
                      <w:lang w:val="en-US" w:eastAsia="zh-CN" w:bidi="ar-SA"/>
                    </w:rPr>
                    <w:t>二次铝灰</w:t>
                  </w:r>
                </w:p>
              </w:tc>
              <w:tc>
                <w:tcPr>
                  <w:tcW w:w="1497" w:type="dxa"/>
                  <w:tcBorders>
                    <w:tl2br w:val="nil"/>
                    <w:tr2bl w:val="nil"/>
                  </w:tcBorders>
                  <w:noWrap w:val="0"/>
                  <w:vAlign w:val="center"/>
                </w:tcPr>
                <w:p w14:paraId="0CC80F6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88" w:type="dxa"/>
                  <w:tcBorders>
                    <w:tl2br w:val="nil"/>
                    <w:tr2bl w:val="nil"/>
                  </w:tcBorders>
                  <w:noWrap w:val="0"/>
                  <w:vAlign w:val="center"/>
                </w:tcPr>
                <w:p w14:paraId="06F4451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1978" w:type="dxa"/>
                  <w:tcBorders>
                    <w:tl2br w:val="nil"/>
                    <w:tr2bl w:val="nil"/>
                  </w:tcBorders>
                  <w:noWrap w:val="0"/>
                  <w:vAlign w:val="center"/>
                </w:tcPr>
                <w:p w14:paraId="7D801D8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eastAsia"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kern w:val="2"/>
                      <w:sz w:val="22"/>
                      <w:szCs w:val="22"/>
                      <w:u w:val="none"/>
                      <w:lang w:val="en-US" w:eastAsia="zh-CN" w:bidi="ar-SA"/>
                    </w:rPr>
                    <w:t>委托危废资质单位处置</w:t>
                  </w:r>
                  <w:r>
                    <w:rPr>
                      <w:rFonts w:hint="default" w:ascii="Times New Roman" w:hAnsi="Times New Roman" w:eastAsia="宋体" w:cs="Times New Roman"/>
                      <w:i w:val="0"/>
                      <w:color w:val="auto"/>
                      <w:sz w:val="22"/>
                      <w:szCs w:val="22"/>
                      <w:u w:val="none"/>
                      <w:lang w:val="en-US" w:eastAsia="zh-CN"/>
                    </w:rPr>
                    <w:t>，不外排</w:t>
                  </w:r>
                </w:p>
              </w:tc>
            </w:tr>
            <w:tr w14:paraId="4D3B03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tcBorders>
                    <w:tl2br w:val="nil"/>
                    <w:tr2bl w:val="nil"/>
                  </w:tcBorders>
                  <w:noWrap w:val="0"/>
                  <w:vAlign w:val="center"/>
                </w:tcPr>
                <w:p w14:paraId="7E37073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44" w:type="dxa"/>
                  <w:vMerge w:val="continue"/>
                  <w:tcBorders>
                    <w:tl2br w:val="nil"/>
                    <w:tr2bl w:val="nil"/>
                  </w:tcBorders>
                  <w:noWrap w:val="0"/>
                  <w:vAlign w:val="center"/>
                </w:tcPr>
                <w:p w14:paraId="023F01A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62" w:type="dxa"/>
                  <w:tcBorders>
                    <w:tl2br w:val="nil"/>
                    <w:tr2bl w:val="nil"/>
                  </w:tcBorders>
                  <w:noWrap w:val="0"/>
                  <w:vAlign w:val="center"/>
                </w:tcPr>
                <w:p w14:paraId="6DB1281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S</w:t>
                  </w:r>
                  <w:r>
                    <w:rPr>
                      <w:rFonts w:hint="eastAsia" w:ascii="Times New Roman" w:hAnsi="Times New Roman" w:eastAsia="宋体" w:cs="Times New Roman"/>
                      <w:i w:val="0"/>
                      <w:color w:val="auto"/>
                      <w:sz w:val="22"/>
                      <w:szCs w:val="22"/>
                      <w:u w:val="none"/>
                      <w:lang w:val="en-US" w:eastAsia="zh-CN"/>
                    </w:rPr>
                    <w:t>5</w:t>
                  </w:r>
                </w:p>
              </w:tc>
              <w:tc>
                <w:tcPr>
                  <w:tcW w:w="1779" w:type="dxa"/>
                  <w:tcBorders>
                    <w:tl2br w:val="nil"/>
                    <w:tr2bl w:val="nil"/>
                  </w:tcBorders>
                  <w:noWrap w:val="0"/>
                  <w:vAlign w:val="center"/>
                </w:tcPr>
                <w:p w14:paraId="4535E5B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除尘系统除尘灰</w:t>
                  </w:r>
                </w:p>
              </w:tc>
              <w:tc>
                <w:tcPr>
                  <w:tcW w:w="1497" w:type="dxa"/>
                  <w:tcBorders>
                    <w:tl2br w:val="nil"/>
                    <w:tr2bl w:val="nil"/>
                  </w:tcBorders>
                  <w:noWrap w:val="0"/>
                  <w:vAlign w:val="center"/>
                </w:tcPr>
                <w:p w14:paraId="70B22B8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w:t>
                  </w:r>
                </w:p>
              </w:tc>
              <w:tc>
                <w:tcPr>
                  <w:tcW w:w="688" w:type="dxa"/>
                  <w:tcBorders>
                    <w:tl2br w:val="nil"/>
                    <w:tr2bl w:val="nil"/>
                  </w:tcBorders>
                  <w:noWrap w:val="0"/>
                  <w:vAlign w:val="center"/>
                </w:tcPr>
                <w:p w14:paraId="79A213A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间断</w:t>
                  </w:r>
                </w:p>
              </w:tc>
              <w:tc>
                <w:tcPr>
                  <w:tcW w:w="1978" w:type="dxa"/>
                  <w:tcBorders>
                    <w:tl2br w:val="nil"/>
                    <w:tr2bl w:val="nil"/>
                  </w:tcBorders>
                  <w:noWrap w:val="0"/>
                  <w:vAlign w:val="center"/>
                </w:tcPr>
                <w:p w14:paraId="47A9C71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委托危废资质单位处置</w:t>
                  </w:r>
                  <w:r>
                    <w:rPr>
                      <w:rFonts w:hint="default" w:ascii="Times New Roman" w:hAnsi="Times New Roman" w:eastAsia="宋体" w:cs="Times New Roman"/>
                      <w:i w:val="0"/>
                      <w:color w:val="auto"/>
                      <w:sz w:val="22"/>
                      <w:szCs w:val="22"/>
                      <w:u w:val="none"/>
                      <w:lang w:val="en-US" w:eastAsia="zh-CN"/>
                    </w:rPr>
                    <w:t>，不外排</w:t>
                  </w:r>
                </w:p>
              </w:tc>
            </w:tr>
            <w:tr w14:paraId="09C9F0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tcBorders>
                    <w:tl2br w:val="nil"/>
                    <w:tr2bl w:val="nil"/>
                  </w:tcBorders>
                  <w:noWrap w:val="0"/>
                  <w:vAlign w:val="center"/>
                </w:tcPr>
                <w:p w14:paraId="19BB716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44" w:type="dxa"/>
                  <w:vMerge w:val="continue"/>
                  <w:tcBorders>
                    <w:tl2br w:val="nil"/>
                    <w:tr2bl w:val="nil"/>
                  </w:tcBorders>
                  <w:noWrap w:val="0"/>
                  <w:vAlign w:val="center"/>
                </w:tcPr>
                <w:p w14:paraId="431B548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62" w:type="dxa"/>
                  <w:tcBorders>
                    <w:tl2br w:val="nil"/>
                    <w:tr2bl w:val="nil"/>
                  </w:tcBorders>
                  <w:noWrap w:val="0"/>
                  <w:vAlign w:val="center"/>
                </w:tcPr>
                <w:p w14:paraId="429D37B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S</w:t>
                  </w:r>
                  <w:r>
                    <w:rPr>
                      <w:rFonts w:hint="eastAsia" w:ascii="Times New Roman" w:hAnsi="Times New Roman" w:eastAsia="宋体" w:cs="Times New Roman"/>
                      <w:i w:val="0"/>
                      <w:color w:val="auto"/>
                      <w:sz w:val="22"/>
                      <w:szCs w:val="22"/>
                      <w:u w:val="none"/>
                      <w:lang w:val="en-US" w:eastAsia="zh-CN"/>
                    </w:rPr>
                    <w:t>6</w:t>
                  </w:r>
                </w:p>
              </w:tc>
              <w:tc>
                <w:tcPr>
                  <w:tcW w:w="1779" w:type="dxa"/>
                  <w:tcBorders>
                    <w:tl2br w:val="nil"/>
                    <w:tr2bl w:val="nil"/>
                  </w:tcBorders>
                  <w:noWrap w:val="0"/>
                  <w:vAlign w:val="center"/>
                </w:tcPr>
                <w:p w14:paraId="6E18097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废耐火材料</w:t>
                  </w:r>
                </w:p>
              </w:tc>
              <w:tc>
                <w:tcPr>
                  <w:tcW w:w="1497" w:type="dxa"/>
                  <w:tcBorders>
                    <w:tl2br w:val="nil"/>
                    <w:tr2bl w:val="nil"/>
                  </w:tcBorders>
                  <w:noWrap w:val="0"/>
                  <w:vAlign w:val="center"/>
                </w:tcPr>
                <w:p w14:paraId="4C9BD8A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w:t>
                  </w:r>
                </w:p>
              </w:tc>
              <w:tc>
                <w:tcPr>
                  <w:tcW w:w="688" w:type="dxa"/>
                  <w:tcBorders>
                    <w:tl2br w:val="nil"/>
                    <w:tr2bl w:val="nil"/>
                  </w:tcBorders>
                  <w:noWrap w:val="0"/>
                  <w:vAlign w:val="center"/>
                </w:tcPr>
                <w:p w14:paraId="2F72927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间断</w:t>
                  </w:r>
                </w:p>
              </w:tc>
              <w:tc>
                <w:tcPr>
                  <w:tcW w:w="1978" w:type="dxa"/>
                  <w:vMerge w:val="restart"/>
                  <w:tcBorders>
                    <w:tl2br w:val="nil"/>
                    <w:tr2bl w:val="nil"/>
                  </w:tcBorders>
                  <w:noWrap w:val="0"/>
                  <w:vAlign w:val="center"/>
                </w:tcPr>
                <w:p w14:paraId="0F39195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交由资源公司回收利用</w:t>
                  </w:r>
                </w:p>
              </w:tc>
            </w:tr>
            <w:tr w14:paraId="78923F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tcBorders>
                    <w:tl2br w:val="nil"/>
                    <w:tr2bl w:val="nil"/>
                  </w:tcBorders>
                  <w:noWrap w:val="0"/>
                  <w:vAlign w:val="center"/>
                </w:tcPr>
                <w:p w14:paraId="5E1FEA1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44" w:type="dxa"/>
                  <w:vMerge w:val="continue"/>
                  <w:tcBorders>
                    <w:tl2br w:val="nil"/>
                    <w:tr2bl w:val="nil"/>
                  </w:tcBorders>
                  <w:noWrap w:val="0"/>
                  <w:vAlign w:val="center"/>
                </w:tcPr>
                <w:p w14:paraId="5F62239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62" w:type="dxa"/>
                  <w:tcBorders>
                    <w:tl2br w:val="nil"/>
                    <w:tr2bl w:val="nil"/>
                  </w:tcBorders>
                  <w:noWrap w:val="0"/>
                  <w:vAlign w:val="center"/>
                </w:tcPr>
                <w:p w14:paraId="429B489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S</w:t>
                  </w:r>
                  <w:r>
                    <w:rPr>
                      <w:rFonts w:hint="eastAsia" w:ascii="Times New Roman" w:hAnsi="Times New Roman" w:eastAsia="宋体" w:cs="Times New Roman"/>
                      <w:i w:val="0"/>
                      <w:color w:val="auto"/>
                      <w:kern w:val="2"/>
                      <w:sz w:val="22"/>
                      <w:szCs w:val="22"/>
                      <w:u w:val="none"/>
                      <w:lang w:val="en-US" w:eastAsia="zh-CN" w:bidi="ar-SA"/>
                    </w:rPr>
                    <w:t>7</w:t>
                  </w:r>
                </w:p>
              </w:tc>
              <w:tc>
                <w:tcPr>
                  <w:tcW w:w="1779" w:type="dxa"/>
                  <w:tcBorders>
                    <w:tl2br w:val="nil"/>
                    <w:tr2bl w:val="nil"/>
                  </w:tcBorders>
                  <w:noWrap w:val="0"/>
                  <w:vAlign w:val="center"/>
                </w:tcPr>
                <w:p w14:paraId="3C90BAA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报废陶瓷过滤板</w:t>
                  </w:r>
                </w:p>
              </w:tc>
              <w:tc>
                <w:tcPr>
                  <w:tcW w:w="1497" w:type="dxa"/>
                  <w:tcBorders>
                    <w:tl2br w:val="nil"/>
                    <w:tr2bl w:val="nil"/>
                  </w:tcBorders>
                  <w:noWrap w:val="0"/>
                  <w:vAlign w:val="center"/>
                </w:tcPr>
                <w:p w14:paraId="2E7EC56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w:t>
                  </w:r>
                </w:p>
              </w:tc>
              <w:tc>
                <w:tcPr>
                  <w:tcW w:w="688" w:type="dxa"/>
                  <w:tcBorders>
                    <w:tl2br w:val="nil"/>
                    <w:tr2bl w:val="nil"/>
                  </w:tcBorders>
                  <w:noWrap w:val="0"/>
                  <w:vAlign w:val="center"/>
                </w:tcPr>
                <w:p w14:paraId="447663E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1978" w:type="dxa"/>
                  <w:vMerge w:val="continue"/>
                  <w:tcBorders>
                    <w:tl2br w:val="nil"/>
                    <w:tr2bl w:val="nil"/>
                  </w:tcBorders>
                  <w:noWrap w:val="0"/>
                  <w:vAlign w:val="center"/>
                </w:tcPr>
                <w:p w14:paraId="721C6FF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p>
              </w:tc>
            </w:tr>
            <w:tr w14:paraId="5DEED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tcBorders>
                    <w:tl2br w:val="nil"/>
                    <w:tr2bl w:val="nil"/>
                  </w:tcBorders>
                  <w:noWrap w:val="0"/>
                  <w:vAlign w:val="center"/>
                </w:tcPr>
                <w:p w14:paraId="4C2C531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44" w:type="dxa"/>
                  <w:vMerge w:val="continue"/>
                  <w:tcBorders>
                    <w:tl2br w:val="nil"/>
                    <w:tr2bl w:val="nil"/>
                  </w:tcBorders>
                  <w:noWrap w:val="0"/>
                  <w:vAlign w:val="center"/>
                </w:tcPr>
                <w:p w14:paraId="6030335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62" w:type="dxa"/>
                  <w:tcBorders>
                    <w:tl2br w:val="nil"/>
                    <w:tr2bl w:val="nil"/>
                  </w:tcBorders>
                  <w:noWrap w:val="0"/>
                  <w:vAlign w:val="center"/>
                </w:tcPr>
                <w:p w14:paraId="54DBCDB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S</w:t>
                  </w:r>
                  <w:r>
                    <w:rPr>
                      <w:rFonts w:hint="eastAsia" w:ascii="Times New Roman" w:hAnsi="Times New Roman" w:eastAsia="宋体" w:cs="Times New Roman"/>
                      <w:i w:val="0"/>
                      <w:color w:val="auto"/>
                      <w:sz w:val="22"/>
                      <w:szCs w:val="22"/>
                      <w:u w:val="none"/>
                      <w:lang w:val="en-US" w:eastAsia="zh-CN"/>
                    </w:rPr>
                    <w:t>8</w:t>
                  </w:r>
                </w:p>
              </w:tc>
              <w:tc>
                <w:tcPr>
                  <w:tcW w:w="1779" w:type="dxa"/>
                  <w:tcBorders>
                    <w:tl2br w:val="nil"/>
                    <w:tr2bl w:val="nil"/>
                  </w:tcBorders>
                  <w:noWrap w:val="0"/>
                  <w:vAlign w:val="center"/>
                </w:tcPr>
                <w:p w14:paraId="43977F7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废液压油</w:t>
                  </w:r>
                </w:p>
              </w:tc>
              <w:tc>
                <w:tcPr>
                  <w:tcW w:w="1497" w:type="dxa"/>
                  <w:tcBorders>
                    <w:tl2br w:val="nil"/>
                    <w:tr2bl w:val="nil"/>
                  </w:tcBorders>
                  <w:noWrap w:val="0"/>
                  <w:vAlign w:val="center"/>
                </w:tcPr>
                <w:p w14:paraId="3E511E2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w:t>
                  </w:r>
                </w:p>
              </w:tc>
              <w:tc>
                <w:tcPr>
                  <w:tcW w:w="688" w:type="dxa"/>
                  <w:tcBorders>
                    <w:tl2br w:val="nil"/>
                    <w:tr2bl w:val="nil"/>
                  </w:tcBorders>
                  <w:noWrap w:val="0"/>
                  <w:vAlign w:val="center"/>
                </w:tcPr>
                <w:p w14:paraId="7E5058A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1978" w:type="dxa"/>
                  <w:vMerge w:val="restart"/>
                  <w:tcBorders>
                    <w:tl2br w:val="nil"/>
                    <w:tr2bl w:val="nil"/>
                  </w:tcBorders>
                  <w:noWrap w:val="0"/>
                  <w:vAlign w:val="center"/>
                </w:tcPr>
                <w:p w14:paraId="6792757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委托危废资质单位处置</w:t>
                  </w:r>
                  <w:r>
                    <w:rPr>
                      <w:rFonts w:hint="default" w:ascii="Times New Roman" w:hAnsi="Times New Roman" w:eastAsia="宋体" w:cs="Times New Roman"/>
                      <w:i w:val="0"/>
                      <w:color w:val="auto"/>
                      <w:sz w:val="22"/>
                      <w:szCs w:val="22"/>
                      <w:u w:val="none"/>
                      <w:lang w:val="en-US" w:eastAsia="zh-CN"/>
                    </w:rPr>
                    <w:t>，不外排</w:t>
                  </w:r>
                </w:p>
              </w:tc>
            </w:tr>
            <w:tr w14:paraId="71D7E9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tcBorders>
                    <w:tl2br w:val="nil"/>
                    <w:tr2bl w:val="nil"/>
                  </w:tcBorders>
                  <w:noWrap w:val="0"/>
                  <w:vAlign w:val="center"/>
                </w:tcPr>
                <w:p w14:paraId="501DCD6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44" w:type="dxa"/>
                  <w:vMerge w:val="continue"/>
                  <w:tcBorders>
                    <w:tl2br w:val="nil"/>
                    <w:tr2bl w:val="nil"/>
                  </w:tcBorders>
                  <w:noWrap w:val="0"/>
                  <w:vAlign w:val="center"/>
                </w:tcPr>
                <w:p w14:paraId="649D25E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62" w:type="dxa"/>
                  <w:tcBorders>
                    <w:tl2br w:val="nil"/>
                    <w:tr2bl w:val="nil"/>
                  </w:tcBorders>
                  <w:noWrap w:val="0"/>
                  <w:vAlign w:val="center"/>
                </w:tcPr>
                <w:p w14:paraId="2DC423D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S</w:t>
                  </w:r>
                  <w:r>
                    <w:rPr>
                      <w:rFonts w:hint="eastAsia" w:ascii="Times New Roman" w:hAnsi="Times New Roman" w:eastAsia="宋体" w:cs="Times New Roman"/>
                      <w:i w:val="0"/>
                      <w:color w:val="auto"/>
                      <w:sz w:val="22"/>
                      <w:szCs w:val="22"/>
                      <w:u w:val="none"/>
                      <w:lang w:val="en-US" w:eastAsia="zh-CN"/>
                    </w:rPr>
                    <w:t>9</w:t>
                  </w:r>
                </w:p>
              </w:tc>
              <w:tc>
                <w:tcPr>
                  <w:tcW w:w="1779" w:type="dxa"/>
                  <w:tcBorders>
                    <w:tl2br w:val="nil"/>
                    <w:tr2bl w:val="nil"/>
                  </w:tcBorders>
                  <w:noWrap w:val="0"/>
                  <w:vAlign w:val="center"/>
                </w:tcPr>
                <w:p w14:paraId="6870E57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废弃含油抹布、劳保用品</w:t>
                  </w:r>
                </w:p>
              </w:tc>
              <w:tc>
                <w:tcPr>
                  <w:tcW w:w="1497" w:type="dxa"/>
                  <w:tcBorders>
                    <w:tl2br w:val="nil"/>
                    <w:tr2bl w:val="nil"/>
                  </w:tcBorders>
                  <w:noWrap w:val="0"/>
                  <w:vAlign w:val="center"/>
                </w:tcPr>
                <w:p w14:paraId="0770A73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w:t>
                  </w:r>
                </w:p>
              </w:tc>
              <w:tc>
                <w:tcPr>
                  <w:tcW w:w="688" w:type="dxa"/>
                  <w:tcBorders>
                    <w:tl2br w:val="nil"/>
                    <w:tr2bl w:val="nil"/>
                  </w:tcBorders>
                  <w:noWrap w:val="0"/>
                  <w:vAlign w:val="center"/>
                </w:tcPr>
                <w:p w14:paraId="05902AC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1978" w:type="dxa"/>
                  <w:vMerge w:val="continue"/>
                  <w:tcBorders>
                    <w:tl2br w:val="nil"/>
                    <w:tr2bl w:val="nil"/>
                  </w:tcBorders>
                  <w:noWrap w:val="0"/>
                  <w:vAlign w:val="center"/>
                </w:tcPr>
                <w:p w14:paraId="7F14049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p>
              </w:tc>
            </w:tr>
            <w:tr w14:paraId="428B8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tcBorders>
                    <w:tl2br w:val="nil"/>
                    <w:tr2bl w:val="nil"/>
                  </w:tcBorders>
                  <w:noWrap w:val="0"/>
                  <w:vAlign w:val="center"/>
                </w:tcPr>
                <w:p w14:paraId="5130250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44" w:type="dxa"/>
                  <w:vMerge w:val="continue"/>
                  <w:tcBorders>
                    <w:tl2br w:val="nil"/>
                    <w:tr2bl w:val="nil"/>
                  </w:tcBorders>
                  <w:noWrap w:val="0"/>
                  <w:vAlign w:val="center"/>
                </w:tcPr>
                <w:p w14:paraId="6E1444B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62" w:type="dxa"/>
                  <w:tcBorders>
                    <w:tl2br w:val="nil"/>
                    <w:tr2bl w:val="nil"/>
                  </w:tcBorders>
                  <w:noWrap w:val="0"/>
                  <w:vAlign w:val="center"/>
                </w:tcPr>
                <w:p w14:paraId="2D8F668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S</w:t>
                  </w:r>
                  <w:r>
                    <w:rPr>
                      <w:rFonts w:hint="eastAsia" w:ascii="Times New Roman" w:hAnsi="Times New Roman" w:eastAsia="宋体" w:cs="Times New Roman"/>
                      <w:i w:val="0"/>
                      <w:color w:val="auto"/>
                      <w:sz w:val="22"/>
                      <w:szCs w:val="22"/>
                      <w:u w:val="none"/>
                      <w:lang w:val="en-US" w:eastAsia="zh-CN"/>
                    </w:rPr>
                    <w:t>10</w:t>
                  </w:r>
                </w:p>
              </w:tc>
              <w:tc>
                <w:tcPr>
                  <w:tcW w:w="1779" w:type="dxa"/>
                  <w:tcBorders>
                    <w:tl2br w:val="nil"/>
                    <w:tr2bl w:val="nil"/>
                  </w:tcBorders>
                  <w:noWrap w:val="0"/>
                  <w:vAlign w:val="center"/>
                </w:tcPr>
                <w:p w14:paraId="635C857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空压机含油废液</w:t>
                  </w:r>
                </w:p>
              </w:tc>
              <w:tc>
                <w:tcPr>
                  <w:tcW w:w="1497" w:type="dxa"/>
                  <w:tcBorders>
                    <w:tl2br w:val="nil"/>
                    <w:tr2bl w:val="nil"/>
                  </w:tcBorders>
                  <w:noWrap w:val="0"/>
                  <w:vAlign w:val="center"/>
                </w:tcPr>
                <w:p w14:paraId="6A1A268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w:t>
                  </w:r>
                </w:p>
              </w:tc>
              <w:tc>
                <w:tcPr>
                  <w:tcW w:w="688" w:type="dxa"/>
                  <w:tcBorders>
                    <w:tl2br w:val="nil"/>
                    <w:tr2bl w:val="nil"/>
                  </w:tcBorders>
                  <w:noWrap w:val="0"/>
                  <w:vAlign w:val="center"/>
                </w:tcPr>
                <w:p w14:paraId="277D0A7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1978" w:type="dxa"/>
                  <w:vMerge w:val="continue"/>
                  <w:tcBorders>
                    <w:tl2br w:val="nil"/>
                    <w:tr2bl w:val="nil"/>
                  </w:tcBorders>
                  <w:noWrap w:val="0"/>
                  <w:vAlign w:val="center"/>
                </w:tcPr>
                <w:p w14:paraId="77691C9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p>
              </w:tc>
            </w:tr>
            <w:tr w14:paraId="48904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tcBorders>
                    <w:tl2br w:val="nil"/>
                    <w:tr2bl w:val="nil"/>
                  </w:tcBorders>
                  <w:noWrap w:val="0"/>
                  <w:vAlign w:val="center"/>
                </w:tcPr>
                <w:p w14:paraId="0B475CE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44" w:type="dxa"/>
                  <w:vMerge w:val="continue"/>
                  <w:tcBorders>
                    <w:tl2br w:val="nil"/>
                    <w:tr2bl w:val="nil"/>
                  </w:tcBorders>
                  <w:noWrap w:val="0"/>
                  <w:vAlign w:val="center"/>
                </w:tcPr>
                <w:p w14:paraId="76EB389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62" w:type="dxa"/>
                  <w:tcBorders>
                    <w:tl2br w:val="nil"/>
                    <w:tr2bl w:val="nil"/>
                  </w:tcBorders>
                  <w:noWrap w:val="0"/>
                  <w:vAlign w:val="center"/>
                </w:tcPr>
                <w:p w14:paraId="2B4322E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S1</w:t>
                  </w:r>
                  <w:r>
                    <w:rPr>
                      <w:rFonts w:hint="eastAsia" w:ascii="Times New Roman" w:hAnsi="Times New Roman" w:eastAsia="宋体" w:cs="Times New Roman"/>
                      <w:i w:val="0"/>
                      <w:color w:val="auto"/>
                      <w:kern w:val="2"/>
                      <w:sz w:val="22"/>
                      <w:szCs w:val="22"/>
                      <w:u w:val="none"/>
                      <w:lang w:val="en-US" w:eastAsia="zh-CN" w:bidi="ar-SA"/>
                    </w:rPr>
                    <w:t>1</w:t>
                  </w:r>
                </w:p>
              </w:tc>
              <w:tc>
                <w:tcPr>
                  <w:tcW w:w="1779" w:type="dxa"/>
                  <w:tcBorders>
                    <w:tl2br w:val="nil"/>
                    <w:tr2bl w:val="nil"/>
                  </w:tcBorders>
                  <w:noWrap w:val="0"/>
                  <w:vAlign w:val="center"/>
                </w:tcPr>
                <w:p w14:paraId="61211F2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废油桶</w:t>
                  </w:r>
                </w:p>
              </w:tc>
              <w:tc>
                <w:tcPr>
                  <w:tcW w:w="1497" w:type="dxa"/>
                  <w:tcBorders>
                    <w:tl2br w:val="nil"/>
                    <w:tr2bl w:val="nil"/>
                  </w:tcBorders>
                  <w:noWrap w:val="0"/>
                  <w:vAlign w:val="center"/>
                </w:tcPr>
                <w:p w14:paraId="2E4D425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w:t>
                  </w:r>
                </w:p>
              </w:tc>
              <w:tc>
                <w:tcPr>
                  <w:tcW w:w="688" w:type="dxa"/>
                  <w:tcBorders>
                    <w:tl2br w:val="nil"/>
                    <w:tr2bl w:val="nil"/>
                  </w:tcBorders>
                  <w:noWrap w:val="0"/>
                  <w:vAlign w:val="center"/>
                </w:tcPr>
                <w:p w14:paraId="303C0DB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间断</w:t>
                  </w:r>
                </w:p>
              </w:tc>
              <w:tc>
                <w:tcPr>
                  <w:tcW w:w="1978" w:type="dxa"/>
                  <w:vMerge w:val="continue"/>
                  <w:tcBorders>
                    <w:tl2br w:val="nil"/>
                    <w:tr2bl w:val="nil"/>
                  </w:tcBorders>
                  <w:noWrap w:val="0"/>
                  <w:vAlign w:val="center"/>
                </w:tcPr>
                <w:p w14:paraId="0283A4D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p>
              </w:tc>
            </w:tr>
          </w:tbl>
          <w:p w14:paraId="049A4089">
            <w:pPr>
              <w:autoSpaceDE w:val="0"/>
              <w:autoSpaceDN w:val="0"/>
              <w:adjustRightInd w:val="0"/>
              <w:spacing w:line="360" w:lineRule="auto"/>
              <w:rPr>
                <w:rFonts w:hint="default" w:ascii="Times New Roman" w:hAnsi="Times New Roman" w:eastAsia="宋体" w:cs="Times New Roman"/>
                <w:bCs/>
                <w:color w:val="auto"/>
                <w:sz w:val="26"/>
                <w:szCs w:val="26"/>
                <w:lang w:val="en-US" w:eastAsia="zh-CN"/>
              </w:rPr>
            </w:pPr>
          </w:p>
        </w:tc>
      </w:tr>
      <w:tr w14:paraId="00D2FB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23" w:type="dxa"/>
            <w:tcBorders>
              <w:tl2br w:val="nil"/>
              <w:tr2bl w:val="nil"/>
            </w:tcBorders>
            <w:noWrap w:val="0"/>
            <w:vAlign w:val="center"/>
          </w:tcPr>
          <w:p w14:paraId="117A9ACD">
            <w:pPr>
              <w:pStyle w:val="20"/>
              <w:adjustRightInd w:val="0"/>
              <w:snapToGrid w:val="0"/>
              <w:spacing w:before="0" w:beforeAutospacing="0" w:after="0" w:afterAutospacing="0"/>
              <w:jc w:val="center"/>
              <w:rPr>
                <w:rFonts w:hint="default" w:ascii="Times New Roman" w:hAnsi="Times New Roman" w:cs="Times New Roman"/>
                <w:color w:val="auto"/>
                <w:sz w:val="26"/>
                <w:szCs w:val="26"/>
                <w:highlight w:val="none"/>
              </w:rPr>
            </w:pPr>
            <w:r>
              <w:rPr>
                <w:rFonts w:hint="default" w:ascii="Times New Roman" w:hAnsi="Times New Roman" w:cs="Times New Roman"/>
                <w:bCs/>
                <w:color w:val="auto"/>
                <w:kern w:val="2"/>
                <w:sz w:val="26"/>
                <w:szCs w:val="26"/>
                <w:highlight w:val="none"/>
              </w:rPr>
              <w:t>与项目有关的原有环境污染问题</w:t>
            </w:r>
          </w:p>
        </w:tc>
        <w:tc>
          <w:tcPr>
            <w:tcW w:w="8161" w:type="dxa"/>
            <w:tcBorders>
              <w:tl2br w:val="nil"/>
              <w:tr2bl w:val="nil"/>
            </w:tcBorders>
            <w:noWrap w:val="0"/>
            <w:vAlign w:val="top"/>
          </w:tcPr>
          <w:p w14:paraId="3F3418D9">
            <w:pPr>
              <w:spacing w:line="460" w:lineRule="atLeast"/>
              <w:rPr>
                <w:rFonts w:hint="eastAsia" w:ascii="Times New Roman" w:hAnsi="Times New Roman"/>
                <w:b/>
                <w:bCs/>
                <w:color w:val="auto"/>
                <w:kern w:val="0"/>
                <w:sz w:val="26"/>
                <w:szCs w:val="26"/>
              </w:rPr>
            </w:pPr>
            <w:r>
              <w:rPr>
                <w:rFonts w:hint="eastAsia" w:ascii="Times New Roman" w:hAnsi="Times New Roman"/>
                <w:b/>
                <w:bCs/>
                <w:color w:val="auto"/>
                <w:kern w:val="0"/>
                <w:sz w:val="26"/>
                <w:szCs w:val="26"/>
              </w:rPr>
              <w:t>2.1</w:t>
            </w:r>
            <w:r>
              <w:rPr>
                <w:rFonts w:hint="eastAsia" w:ascii="Times New Roman" w:hAnsi="Times New Roman"/>
                <w:b/>
                <w:bCs/>
                <w:color w:val="auto"/>
                <w:kern w:val="0"/>
                <w:sz w:val="26"/>
                <w:szCs w:val="26"/>
                <w:lang w:val="en-US" w:eastAsia="zh-CN"/>
              </w:rPr>
              <w:t>2</w:t>
            </w:r>
            <w:r>
              <w:rPr>
                <w:rFonts w:hint="eastAsia" w:ascii="Times New Roman" w:hAnsi="Times New Roman" w:eastAsia="宋体" w:cs="Times New Roman"/>
                <w:b/>
                <w:bCs/>
                <w:color w:val="auto"/>
                <w:kern w:val="0"/>
                <w:sz w:val="26"/>
                <w:szCs w:val="26"/>
                <w:highlight w:val="none"/>
                <w:lang w:val="en-US" w:eastAsia="zh-CN"/>
              </w:rPr>
              <w:t>现有项目</w:t>
            </w:r>
            <w:r>
              <w:rPr>
                <w:rFonts w:hint="default" w:ascii="Times New Roman" w:hAnsi="Times New Roman" w:eastAsia="宋体" w:cs="Times New Roman"/>
                <w:b/>
                <w:bCs/>
                <w:color w:val="auto"/>
                <w:kern w:val="0"/>
                <w:sz w:val="26"/>
                <w:szCs w:val="26"/>
                <w:highlight w:val="none"/>
                <w:lang w:val="en-US" w:eastAsia="zh-CN"/>
              </w:rPr>
              <w:t>环保手续履行历程</w:t>
            </w:r>
          </w:p>
          <w:p w14:paraId="2FD8E3EB">
            <w:pPr>
              <w:keepNext w:val="0"/>
              <w:keepLines w:val="0"/>
              <w:pageBreakBefore w:val="0"/>
              <w:widowControl w:val="0"/>
              <w:kinsoku/>
              <w:wordWrap/>
              <w:overflowPunct/>
              <w:topLinePunct w:val="0"/>
              <w:autoSpaceDE/>
              <w:autoSpaceDN/>
              <w:bidi w:val="0"/>
              <w:adjustRightInd/>
              <w:snapToGrid/>
              <w:spacing w:line="460" w:lineRule="atLeast"/>
              <w:ind w:firstLine="520" w:firstLineChars="200"/>
              <w:jc w:val="both"/>
              <w:textAlignment w:val="auto"/>
              <w:rPr>
                <w:rFonts w:hint="eastAsia" w:ascii="Times New Roman" w:hAnsi="Times New Roman" w:eastAsia="宋体" w:cs="Times New Roman"/>
                <w:color w:val="auto"/>
                <w:sz w:val="26"/>
                <w:szCs w:val="26"/>
                <w:lang w:eastAsia="zh-CN"/>
              </w:rPr>
            </w:pPr>
            <w:r>
              <w:rPr>
                <w:rFonts w:hint="eastAsia" w:ascii="Times New Roman" w:hAnsi="Times New Roman" w:eastAsia="宋体" w:cs="Times New Roman"/>
                <w:color w:val="auto"/>
                <w:sz w:val="26"/>
                <w:szCs w:val="26"/>
              </w:rPr>
              <w:t>2021年9月，西南铝实业委托</w:t>
            </w:r>
            <w:r>
              <w:rPr>
                <w:rFonts w:hint="eastAsia" w:ascii="Times New Roman" w:hAnsi="Times New Roman" w:eastAsia="宋体" w:cs="Times New Roman"/>
                <w:color w:val="auto"/>
                <w:sz w:val="26"/>
                <w:szCs w:val="26"/>
                <w:lang w:val="en-US" w:eastAsia="zh-CN"/>
              </w:rPr>
              <w:t>重庆宁灵环保技术开发有限公司</w:t>
            </w:r>
            <w:r>
              <w:rPr>
                <w:rFonts w:hint="eastAsia" w:ascii="Times New Roman" w:hAnsi="Times New Roman" w:eastAsia="宋体" w:cs="Times New Roman"/>
                <w:color w:val="auto"/>
                <w:sz w:val="26"/>
                <w:szCs w:val="26"/>
              </w:rPr>
              <w:t>编制完成了《</w:t>
            </w:r>
            <w:r>
              <w:rPr>
                <w:rFonts w:hint="eastAsia" w:ascii="Times New Roman" w:hAnsi="Times New Roman" w:eastAsia="宋体" w:cs="Times New Roman"/>
                <w:color w:val="auto"/>
                <w:sz w:val="26"/>
                <w:szCs w:val="26"/>
                <w:lang w:val="en-US" w:eastAsia="zh-CN"/>
              </w:rPr>
              <w:t>老一区熔炼中心熔铸生产线改扩建项目环境影响报告书</w:t>
            </w:r>
            <w:r>
              <w:rPr>
                <w:rFonts w:hint="eastAsia" w:ascii="Times New Roman" w:hAnsi="Times New Roman" w:eastAsia="宋体" w:cs="Times New Roman"/>
                <w:color w:val="auto"/>
                <w:sz w:val="26"/>
                <w:szCs w:val="26"/>
              </w:rPr>
              <w:t>》</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并</w:t>
            </w:r>
            <w:r>
              <w:rPr>
                <w:rFonts w:hint="eastAsia" w:ascii="Times New Roman" w:hAnsi="Times New Roman" w:eastAsia="宋体" w:cs="Times New Roman"/>
                <w:color w:val="auto"/>
                <w:sz w:val="26"/>
                <w:szCs w:val="26"/>
              </w:rPr>
              <w:t>于2021年11月10日，取得重庆市九龙坡区生态环境局</w:t>
            </w:r>
            <w:r>
              <w:rPr>
                <w:rFonts w:hint="eastAsia" w:ascii="Times New Roman" w:hAnsi="Times New Roman" w:eastAsia="宋体" w:cs="Times New Roman"/>
                <w:color w:val="auto"/>
                <w:sz w:val="26"/>
                <w:szCs w:val="26"/>
                <w:lang w:val="en-US" w:eastAsia="zh-CN"/>
              </w:rPr>
              <w:t>下发</w:t>
            </w:r>
            <w:r>
              <w:rPr>
                <w:rFonts w:hint="eastAsia" w:ascii="Times New Roman" w:hAnsi="Times New Roman" w:eastAsia="宋体" w:cs="Times New Roman"/>
                <w:color w:val="auto"/>
                <w:sz w:val="26"/>
                <w:szCs w:val="26"/>
              </w:rPr>
              <w:t>的《重庆市建设项目环境影响评价文件批准书（渝（九）环准</w:t>
            </w:r>
            <w:r>
              <w:rPr>
                <w:rFonts w:hint="eastAsia" w:ascii="Times New Roman" w:hAnsi="Times New Roman" w:eastAsia="宋体" w:cs="Times New Roman"/>
                <w:color w:val="auto"/>
                <w:sz w:val="26"/>
                <w:szCs w:val="26"/>
                <w:lang w:eastAsia="zh-CN"/>
              </w:rPr>
              <w:t>〔2021〕97号</w:t>
            </w:r>
            <w:r>
              <w:rPr>
                <w:rFonts w:hint="eastAsia" w:ascii="Times New Roman" w:hAnsi="Times New Roman" w:eastAsia="宋体" w:cs="Times New Roman"/>
                <w:color w:val="auto"/>
                <w:sz w:val="26"/>
                <w:szCs w:val="26"/>
              </w:rPr>
              <w:t>）》</w:t>
            </w:r>
            <w:r>
              <w:rPr>
                <w:rFonts w:hint="eastAsia" w:ascii="Times New Roman" w:hAnsi="Times New Roman" w:eastAsia="宋体" w:cs="Times New Roman"/>
                <w:color w:val="auto"/>
                <w:sz w:val="26"/>
                <w:szCs w:val="26"/>
                <w:lang w:eastAsia="zh-CN"/>
              </w:rPr>
              <w:t>，</w:t>
            </w:r>
            <w:r>
              <w:rPr>
                <w:rFonts w:ascii="Times New Roman" w:hAnsi="Times New Roman"/>
                <w:color w:val="auto"/>
                <w:sz w:val="26"/>
                <w:szCs w:val="26"/>
              </w:rPr>
              <w:t>该项目环评报告和</w:t>
            </w:r>
            <w:r>
              <w:rPr>
                <w:rFonts w:hint="eastAsia" w:ascii="Times New Roman" w:hAnsi="Times New Roman" w:eastAsia="宋体" w:cs="Times New Roman"/>
                <w:color w:val="auto"/>
                <w:sz w:val="26"/>
                <w:szCs w:val="26"/>
              </w:rPr>
              <w:t>批复文件中建设内容为：</w:t>
            </w:r>
            <w:r>
              <w:rPr>
                <w:rFonts w:hint="eastAsia" w:ascii="Times New Roman" w:hAnsi="Times New Roman" w:eastAsia="宋体" w:cs="Times New Roman"/>
                <w:color w:val="auto"/>
                <w:sz w:val="26"/>
                <w:szCs w:val="26"/>
                <w:lang w:eastAsia="zh-CN"/>
              </w:rPr>
              <w:t>项目选址在重庆市九龙坡区西彭镇西南铝实业有限公司（老一区）内，在原车间内安装设备及对厂房进行适应性改造，该厂区总占地面积35423.6平方米，项目总投资450万元（其中环保投资55万元），本次改扩建完成后，项目实现总年产铝棒约2.95万吨、铝硅合金锭400吨，其中铝硅合金锭自用，不外卖。</w:t>
            </w:r>
          </w:p>
          <w:p w14:paraId="3D74103B">
            <w:pPr>
              <w:keepNext w:val="0"/>
              <w:keepLines w:val="0"/>
              <w:pageBreakBefore w:val="0"/>
              <w:widowControl w:val="0"/>
              <w:kinsoku/>
              <w:wordWrap w:val="0"/>
              <w:overflowPunct/>
              <w:topLinePunct w:val="0"/>
              <w:autoSpaceDE/>
              <w:autoSpaceDN/>
              <w:bidi w:val="0"/>
              <w:adjustRightInd/>
              <w:snapToGrid/>
              <w:spacing w:line="460" w:lineRule="atLeast"/>
              <w:ind w:firstLine="520" w:firstLineChars="200"/>
              <w:jc w:val="both"/>
              <w:textAlignment w:val="auto"/>
              <w:rPr>
                <w:rFonts w:hint="eastAsia" w:ascii="Times New Roman" w:hAnsi="Times New Roman" w:eastAsia="宋体" w:cs="Times New Roman"/>
                <w:color w:val="auto"/>
                <w:sz w:val="26"/>
                <w:szCs w:val="26"/>
                <w:lang w:eastAsia="zh-CN"/>
              </w:rPr>
            </w:pPr>
            <w:r>
              <w:rPr>
                <w:rFonts w:hint="eastAsia" w:ascii="Times New Roman" w:hAnsi="Times New Roman" w:eastAsia="宋体" w:cs="Times New Roman"/>
                <w:color w:val="auto"/>
                <w:sz w:val="26"/>
                <w:szCs w:val="26"/>
                <w:lang w:eastAsia="zh-CN"/>
              </w:rPr>
              <w:t>2021年12月，</w:t>
            </w:r>
            <w:r>
              <w:rPr>
                <w:rFonts w:hint="eastAsia" w:ascii="Times New Roman" w:hAnsi="Times New Roman" w:eastAsia="宋体" w:cs="Times New Roman"/>
                <w:color w:val="auto"/>
                <w:sz w:val="26"/>
                <w:szCs w:val="26"/>
                <w:lang w:val="en-US" w:eastAsia="zh-CN"/>
              </w:rPr>
              <w:t>西南铝实业老一区</w:t>
            </w:r>
            <w:r>
              <w:rPr>
                <w:rFonts w:hint="eastAsia" w:ascii="Times New Roman" w:hAnsi="Times New Roman" w:eastAsia="宋体" w:cs="Times New Roman"/>
                <w:color w:val="auto"/>
                <w:sz w:val="26"/>
                <w:szCs w:val="26"/>
                <w:lang w:eastAsia="zh-CN"/>
              </w:rPr>
              <w:t>开工建设，</w:t>
            </w:r>
            <w:r>
              <w:rPr>
                <w:rFonts w:hint="eastAsia" w:ascii="Times New Roman" w:hAnsi="Times New Roman" w:eastAsia="宋体" w:cs="Times New Roman"/>
                <w:color w:val="auto"/>
                <w:sz w:val="26"/>
                <w:szCs w:val="26"/>
                <w:lang w:val="en-US" w:eastAsia="zh-CN"/>
              </w:rPr>
              <w:t>至</w:t>
            </w:r>
            <w:r>
              <w:rPr>
                <w:rFonts w:hint="eastAsia" w:ascii="Times New Roman" w:hAnsi="Times New Roman" w:eastAsia="宋体" w:cs="Times New Roman"/>
                <w:color w:val="auto"/>
                <w:sz w:val="26"/>
                <w:szCs w:val="26"/>
                <w:lang w:eastAsia="zh-CN"/>
              </w:rPr>
              <w:t>2023年2月竣工。</w:t>
            </w:r>
            <w:r>
              <w:rPr>
                <w:rFonts w:hint="eastAsia" w:ascii="Times New Roman" w:hAnsi="Times New Roman" w:eastAsia="宋体" w:cs="Times New Roman"/>
                <w:color w:val="auto"/>
                <w:sz w:val="26"/>
                <w:szCs w:val="26"/>
                <w:lang w:val="en-US" w:eastAsia="zh-CN"/>
              </w:rPr>
              <w:t>并</w:t>
            </w:r>
            <w:r>
              <w:rPr>
                <w:rFonts w:hint="eastAsia" w:ascii="Times New Roman" w:hAnsi="Times New Roman" w:eastAsia="宋体" w:cs="Times New Roman"/>
                <w:color w:val="auto"/>
                <w:sz w:val="26"/>
                <w:szCs w:val="26"/>
                <w:lang w:eastAsia="zh-CN"/>
              </w:rPr>
              <w:t>于2023年3月8日对排污许可进行了变更（915001072031305504003U）。</w:t>
            </w:r>
          </w:p>
          <w:p w14:paraId="59F202D8">
            <w:pPr>
              <w:keepNext w:val="0"/>
              <w:keepLines w:val="0"/>
              <w:pageBreakBefore w:val="0"/>
              <w:widowControl w:val="0"/>
              <w:kinsoku/>
              <w:wordWrap/>
              <w:overflowPunct/>
              <w:topLinePunct w:val="0"/>
              <w:autoSpaceDE/>
              <w:autoSpaceDN/>
              <w:bidi w:val="0"/>
              <w:adjustRightInd/>
              <w:snapToGrid/>
              <w:spacing w:line="460" w:lineRule="atLeast"/>
              <w:ind w:firstLine="520" w:firstLineChars="200"/>
              <w:jc w:val="both"/>
              <w:textAlignment w:val="auto"/>
              <w:rPr>
                <w:rFonts w:hint="eastAsia" w:ascii="Times New Roman" w:hAnsi="Times New Roman" w:eastAsia="宋体" w:cs="Times New Roman"/>
                <w:color w:val="auto"/>
                <w:sz w:val="26"/>
                <w:szCs w:val="26"/>
                <w:lang w:eastAsia="zh-CN"/>
              </w:rPr>
            </w:pPr>
            <w:r>
              <w:rPr>
                <w:rFonts w:hint="eastAsia" w:ascii="Times New Roman" w:hAnsi="Times New Roman" w:eastAsia="宋体" w:cs="Times New Roman"/>
                <w:color w:val="auto"/>
                <w:sz w:val="26"/>
                <w:szCs w:val="26"/>
                <w:lang w:eastAsia="zh-CN"/>
              </w:rPr>
              <w:t>202</w:t>
            </w:r>
            <w:r>
              <w:rPr>
                <w:rFonts w:hint="eastAsia" w:ascii="Times New Roman" w:hAnsi="Times New Roman" w:eastAsia="宋体" w:cs="Times New Roman"/>
                <w:color w:val="auto"/>
                <w:sz w:val="26"/>
                <w:szCs w:val="26"/>
                <w:lang w:val="en-US" w:eastAsia="zh-CN"/>
              </w:rPr>
              <w:t>3</w:t>
            </w:r>
            <w:r>
              <w:rPr>
                <w:rFonts w:hint="eastAsia" w:ascii="Times New Roman" w:hAnsi="Times New Roman" w:eastAsia="宋体" w:cs="Times New Roman"/>
                <w:color w:val="auto"/>
                <w:sz w:val="26"/>
                <w:szCs w:val="26"/>
                <w:lang w:eastAsia="zh-CN"/>
              </w:rPr>
              <w:t>年</w:t>
            </w:r>
            <w:r>
              <w:rPr>
                <w:rFonts w:hint="eastAsia" w:ascii="Times New Roman" w:hAnsi="Times New Roman" w:eastAsia="宋体" w:cs="Times New Roman"/>
                <w:color w:val="auto"/>
                <w:sz w:val="26"/>
                <w:szCs w:val="26"/>
                <w:lang w:val="en-US" w:eastAsia="zh-CN"/>
              </w:rPr>
              <w:t>10</w:t>
            </w:r>
            <w:r>
              <w:rPr>
                <w:rFonts w:hint="eastAsia" w:ascii="Times New Roman" w:hAnsi="Times New Roman" w:eastAsia="宋体" w:cs="Times New Roman"/>
                <w:color w:val="auto"/>
                <w:sz w:val="26"/>
                <w:szCs w:val="26"/>
                <w:lang w:eastAsia="zh-CN"/>
              </w:rPr>
              <w:t>月，西南铝实业</w:t>
            </w:r>
            <w:r>
              <w:rPr>
                <w:rFonts w:hint="eastAsia" w:ascii="Times New Roman" w:hAnsi="Times New Roman" w:eastAsia="宋体" w:cs="Times New Roman"/>
                <w:color w:val="auto"/>
                <w:sz w:val="26"/>
                <w:szCs w:val="26"/>
                <w:lang w:val="en-US" w:eastAsia="zh-CN"/>
              </w:rPr>
              <w:t>针对老一区熔炼中心熔铸生产线改扩建项目进行了自主验收</w:t>
            </w:r>
            <w:r>
              <w:rPr>
                <w:rFonts w:hint="eastAsia" w:ascii="Times New Roman" w:hAnsi="Times New Roman" w:eastAsia="宋体" w:cs="Times New Roman"/>
                <w:color w:val="auto"/>
                <w:sz w:val="26"/>
                <w:szCs w:val="26"/>
                <w:lang w:eastAsia="zh-CN"/>
              </w:rPr>
              <w:t>，并取得了验收专家意见。</w:t>
            </w:r>
            <w:r>
              <w:rPr>
                <w:rFonts w:hint="eastAsia" w:ascii="Times New Roman" w:hAnsi="Times New Roman" w:eastAsia="宋体" w:cs="Times New Roman"/>
                <w:color w:val="auto"/>
                <w:sz w:val="26"/>
                <w:szCs w:val="26"/>
                <w:lang w:val="en-US" w:eastAsia="zh-CN"/>
              </w:rPr>
              <w:t>验收实际建设内容为：</w:t>
            </w:r>
            <w:r>
              <w:rPr>
                <w:rFonts w:hint="eastAsia" w:ascii="Times New Roman" w:hAnsi="Times New Roman" w:eastAsia="宋体" w:cs="Times New Roman"/>
                <w:color w:val="auto"/>
                <w:sz w:val="26"/>
                <w:szCs w:val="26"/>
                <w:lang w:eastAsia="zh-CN"/>
              </w:rPr>
              <w:t>本次扩建完成后年产铝棒约2.95万吨，由于市场原因，暂停铝硅合金锭400吨的生产，</w:t>
            </w:r>
            <w:r>
              <w:rPr>
                <w:rFonts w:hint="eastAsia" w:ascii="Times New Roman" w:hAnsi="Times New Roman" w:eastAsia="宋体" w:cs="Times New Roman"/>
                <w:color w:val="auto"/>
                <w:sz w:val="26"/>
                <w:szCs w:val="26"/>
                <w:lang w:val="en-US" w:eastAsia="zh-CN"/>
              </w:rPr>
              <w:t>并将</w:t>
            </w:r>
            <w:r>
              <w:rPr>
                <w:rFonts w:hint="eastAsia" w:ascii="Times New Roman" w:hAnsi="Times New Roman" w:eastAsia="宋体" w:cs="Times New Roman"/>
                <w:color w:val="auto"/>
                <w:sz w:val="26"/>
                <w:szCs w:val="26"/>
                <w:lang w:eastAsia="zh-CN"/>
              </w:rPr>
              <w:t>原9吨熔炼炉及配套的浇铸机、20吨均质炉及9吨熔炼炉冷却循环水池均已拆除。</w:t>
            </w:r>
          </w:p>
          <w:p w14:paraId="4A704FFC">
            <w:pPr>
              <w:spacing w:line="460" w:lineRule="atLeast"/>
              <w:ind w:firstLine="520" w:firstLineChars="200"/>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由于</w:t>
            </w:r>
            <w:r>
              <w:rPr>
                <w:rFonts w:hint="eastAsia" w:ascii="Times New Roman" w:hAnsi="Times New Roman" w:eastAsia="宋体" w:cs="Times New Roman"/>
                <w:color w:val="auto"/>
                <w:sz w:val="26"/>
                <w:szCs w:val="26"/>
                <w:lang w:eastAsia="zh-CN"/>
              </w:rPr>
              <w:t>铝硅合金锭400</w:t>
            </w:r>
            <w:r>
              <w:rPr>
                <w:rFonts w:hint="eastAsia" w:ascii="Times New Roman" w:hAnsi="Times New Roman" w:eastAsia="宋体" w:cs="Times New Roman"/>
                <w:color w:val="auto"/>
                <w:sz w:val="26"/>
                <w:szCs w:val="26"/>
                <w:lang w:val="en-US" w:eastAsia="zh-CN"/>
              </w:rPr>
              <w:t>t/a生产线已拆除，后续不再建设，因此本次现有项目回顾不再评价</w:t>
            </w:r>
            <w:r>
              <w:rPr>
                <w:rFonts w:hint="eastAsia" w:ascii="Times New Roman" w:hAnsi="Times New Roman" w:eastAsia="宋体" w:cs="Times New Roman"/>
                <w:color w:val="auto"/>
                <w:sz w:val="26"/>
                <w:szCs w:val="26"/>
                <w:lang w:eastAsia="zh-CN"/>
              </w:rPr>
              <w:t>铝硅合金锭400</w:t>
            </w:r>
            <w:r>
              <w:rPr>
                <w:rFonts w:hint="eastAsia" w:ascii="Times New Roman" w:hAnsi="Times New Roman" w:eastAsia="宋体" w:cs="Times New Roman"/>
                <w:color w:val="auto"/>
                <w:sz w:val="26"/>
                <w:szCs w:val="26"/>
                <w:lang w:val="en-US" w:eastAsia="zh-CN"/>
              </w:rPr>
              <w:t>t/a生产线相关内容（该线主要生产设备由</w:t>
            </w:r>
            <w:r>
              <w:rPr>
                <w:rFonts w:hint="eastAsia" w:ascii="Times New Roman" w:hAnsi="Times New Roman" w:eastAsia="宋体" w:cs="Times New Roman"/>
                <w:color w:val="auto"/>
                <w:sz w:val="26"/>
                <w:szCs w:val="26"/>
                <w:lang w:eastAsia="zh-CN"/>
              </w:rPr>
              <w:t>9吨熔炼炉及配套的浇铸机、20吨均质炉及9吨熔炼炉冷却循环水池</w:t>
            </w:r>
            <w:r>
              <w:rPr>
                <w:rFonts w:hint="eastAsia" w:ascii="Times New Roman" w:hAnsi="Times New Roman" w:eastAsia="宋体" w:cs="Times New Roman"/>
                <w:color w:val="auto"/>
                <w:sz w:val="26"/>
                <w:szCs w:val="26"/>
                <w:lang w:val="en-US" w:eastAsia="zh-CN"/>
              </w:rPr>
              <w:t>等组成）。</w:t>
            </w:r>
          </w:p>
          <w:p w14:paraId="1F37C0F4">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eastAsia="宋体" w:cs="Times New Roman"/>
                <w:bCs/>
                <w:color w:val="auto"/>
                <w:sz w:val="26"/>
                <w:szCs w:val="26"/>
                <w:lang w:val="en-US" w:eastAsia="zh-CN"/>
              </w:rPr>
            </w:pPr>
            <w:r>
              <w:rPr>
                <w:rFonts w:hint="eastAsia" w:ascii="Times New Roman" w:hAnsi="Times New Roman" w:eastAsia="宋体" w:cs="Times New Roman"/>
                <w:bCs/>
                <w:color w:val="auto"/>
                <w:sz w:val="26"/>
                <w:szCs w:val="26"/>
                <w:lang w:val="en-US" w:eastAsia="zh-CN"/>
              </w:rPr>
              <w:t>西南铝实业于2024年拟在老一区</w:t>
            </w:r>
            <w:r>
              <w:rPr>
                <w:rFonts w:hint="default" w:ascii="Times New Roman" w:hAnsi="Times New Roman" w:eastAsia="宋体" w:cs="Times New Roman"/>
                <w:bCs/>
                <w:color w:val="auto"/>
                <w:sz w:val="26"/>
                <w:szCs w:val="26"/>
                <w:lang w:val="en-US" w:eastAsia="zh-CN"/>
              </w:rPr>
              <w:t>生产厂房预留空间</w:t>
            </w:r>
            <w:r>
              <w:rPr>
                <w:rFonts w:hint="eastAsia" w:ascii="Times New Roman" w:hAnsi="Times New Roman" w:eastAsia="宋体" w:cs="Times New Roman"/>
                <w:bCs/>
                <w:color w:val="auto"/>
                <w:sz w:val="26"/>
                <w:szCs w:val="26"/>
                <w:lang w:val="en-US" w:eastAsia="zh-CN"/>
              </w:rPr>
              <w:t>内</w:t>
            </w:r>
            <w:r>
              <w:rPr>
                <w:rFonts w:hint="default" w:ascii="Times New Roman" w:hAnsi="Times New Roman" w:eastAsia="宋体" w:cs="Times New Roman"/>
                <w:bCs/>
                <w:color w:val="auto"/>
                <w:sz w:val="26"/>
                <w:szCs w:val="26"/>
                <w:lang w:val="en-US" w:eastAsia="zh-CN"/>
              </w:rPr>
              <w:t>新增</w:t>
            </w:r>
            <w:r>
              <w:rPr>
                <w:rFonts w:hint="eastAsia" w:ascii="Times New Roman" w:hAnsi="Times New Roman" w:eastAsia="宋体" w:cs="Times New Roman"/>
                <w:bCs/>
                <w:color w:val="auto"/>
                <w:sz w:val="26"/>
                <w:szCs w:val="26"/>
                <w:lang w:val="en-US" w:eastAsia="zh-CN"/>
              </w:rPr>
              <w:t>铝合金系列产品生产线，实现年产6万t铝合金系列产品，建设单位于2024年10月委托重庆港力环保股份有限公司编制完成《铝合金深加工智能化生产线建设项目环境影响报告表》，并于2024年11月获批《重庆市建设项目环境影响评价文件批准书》（渝（九）环准〔2024〕42号），主要建设内容及规模：项目不新增占地，在现有熔铸车间预留空间内新增铝合金系列产品生产线，通过购置蓄热式高效熔炼炉（60t）、熔保一体倾动炉（35t）、中间合金熔炼炉（9t）及配套的铸锭、连铸机等，实现年产6万t铝合金系列产品。</w:t>
            </w:r>
          </w:p>
          <w:p w14:paraId="412D58DE">
            <w:pPr>
              <w:spacing w:line="460" w:lineRule="atLeast"/>
              <w:ind w:firstLine="520" w:firstLineChars="200"/>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bCs/>
                <w:color w:val="auto"/>
                <w:sz w:val="26"/>
                <w:szCs w:val="26"/>
                <w:lang w:val="en-US" w:eastAsia="zh-CN"/>
              </w:rPr>
              <w:t>“铝合金深加工智能化生产线建设项目”</w:t>
            </w:r>
            <w:r>
              <w:rPr>
                <w:rFonts w:hint="eastAsia" w:ascii="Times New Roman" w:hAnsi="Times New Roman" w:eastAsia="宋体" w:cs="Times New Roman"/>
                <w:b w:val="0"/>
                <w:bCs/>
                <w:color w:val="auto"/>
                <w:sz w:val="26"/>
                <w:szCs w:val="26"/>
                <w:lang w:val="en-US" w:eastAsia="zh-CN"/>
              </w:rPr>
              <w:t>在实际建设期间，发生了重大变动，将原先9t熔炼炉变更为35t熔炼炉（重新报批项目命名为2#35t熔炼炉），增加产能25000t/a，原先35t熔炼炉（重新报批项目命名为1#35t熔炼炉）、</w:t>
            </w:r>
            <w:r>
              <w:rPr>
                <w:rFonts w:hint="eastAsia" w:ascii="Times New Roman" w:hAnsi="Times New Roman" w:eastAsia="宋体" w:cs="Times New Roman"/>
                <w:bCs/>
                <w:color w:val="auto"/>
                <w:sz w:val="26"/>
                <w:szCs w:val="26"/>
                <w:lang w:val="en-US" w:eastAsia="zh-CN"/>
              </w:rPr>
              <w:t>60t熔炼炉工艺、产能等均保持不变，同时为提高铝灰渣的综合利用效率，新增1套铝回收装置处置全厂铝灰渣（一次铝灰），并委托重庆港力环保股份有限公司编制完成《铝合金深加工智能化生产线建设项目（重新报批）》，于2025年11月12日获批《重庆市建设项目环境影响评价文件批准书》（渝（九）环准〔2025〕74号），主要建设内容及规模：在现有熔铸车间预留空间内新增铝合金系列产品生产线，通过购置60t蓄热式高效熔炼炉、35t熔保一体倾动炉、35t蓄热式高效熔炼炉及配套的铸锭、连铸机、烤包器、铝回收装置等，实现年产8.5万t铝合金系列产品。目前该项目正在建设中，暂未开展验收。</w:t>
            </w:r>
          </w:p>
          <w:p w14:paraId="6986DFAA">
            <w:pPr>
              <w:spacing w:line="460" w:lineRule="atLeast"/>
              <w:ind w:firstLine="520" w:firstLineChars="200"/>
              <w:rPr>
                <w:rFonts w:hint="eastAsia" w:ascii="Times New Roman" w:hAnsi="Times New Roman" w:eastAsia="宋体" w:cs="Times New Roman"/>
                <w:color w:val="auto"/>
                <w:sz w:val="26"/>
                <w:szCs w:val="26"/>
                <w:lang w:val="en-US" w:eastAsia="zh-CN"/>
              </w:rPr>
            </w:pPr>
          </w:p>
          <w:p w14:paraId="35244F64">
            <w:pPr>
              <w:spacing w:line="460" w:lineRule="atLeast"/>
              <w:jc w:val="center"/>
              <w:rPr>
                <w:rFonts w:ascii="Times New Roman" w:hAnsi="Times New Roman"/>
                <w:b/>
                <w:bCs/>
                <w:color w:val="auto"/>
                <w:sz w:val="26"/>
                <w:szCs w:val="26"/>
              </w:rPr>
            </w:pPr>
            <w:r>
              <w:rPr>
                <w:rFonts w:ascii="Times New Roman" w:hAnsi="Times New Roman"/>
                <w:b/>
                <w:bCs/>
                <w:color w:val="auto"/>
                <w:sz w:val="26"/>
                <w:szCs w:val="26"/>
              </w:rPr>
              <w:t>表2.</w:t>
            </w:r>
            <w:r>
              <w:rPr>
                <w:rFonts w:hint="eastAsia" w:ascii="Times New Roman" w:hAnsi="Times New Roman"/>
                <w:b/>
                <w:bCs/>
                <w:color w:val="auto"/>
                <w:sz w:val="26"/>
                <w:szCs w:val="26"/>
              </w:rPr>
              <w:t>1</w:t>
            </w:r>
            <w:r>
              <w:rPr>
                <w:rFonts w:hint="eastAsia" w:ascii="Times New Roman" w:hAnsi="Times New Roman"/>
                <w:b/>
                <w:bCs/>
                <w:color w:val="auto"/>
                <w:sz w:val="26"/>
                <w:szCs w:val="26"/>
                <w:lang w:val="en-US" w:eastAsia="zh-CN"/>
              </w:rPr>
              <w:t>2</w:t>
            </w:r>
            <w:r>
              <w:rPr>
                <w:rFonts w:ascii="Times New Roman" w:hAnsi="Times New Roman"/>
                <w:b/>
                <w:bCs/>
                <w:color w:val="auto"/>
                <w:sz w:val="26"/>
                <w:szCs w:val="26"/>
              </w:rPr>
              <w:t xml:space="preserve">-1 </w:t>
            </w:r>
            <w:r>
              <w:rPr>
                <w:rFonts w:hint="eastAsia" w:ascii="Times New Roman" w:hAnsi="Times New Roman"/>
                <w:b/>
                <w:bCs/>
                <w:color w:val="auto"/>
                <w:sz w:val="26"/>
                <w:szCs w:val="26"/>
              </w:rPr>
              <w:t xml:space="preserve"> 现有项目环保手续情况表</w:t>
            </w:r>
          </w:p>
          <w:tbl>
            <w:tblPr>
              <w:tblStyle w:val="25"/>
              <w:tblW w:w="485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58"/>
              <w:gridCol w:w="1332"/>
              <w:gridCol w:w="1854"/>
              <w:gridCol w:w="2498"/>
              <w:gridCol w:w="1336"/>
            </w:tblGrid>
            <w:tr w14:paraId="5F5F17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14:paraId="4106F0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序号</w:t>
                  </w:r>
                </w:p>
              </w:tc>
              <w:tc>
                <w:tcPr>
                  <w:tcW w:w="1372" w:type="dxa"/>
                  <w:tcBorders>
                    <w:tl2br w:val="nil"/>
                    <w:tr2bl w:val="nil"/>
                  </w:tcBorders>
                  <w:noWrap w:val="0"/>
                  <w:vAlign w:val="center"/>
                </w:tcPr>
                <w:p w14:paraId="4D3BDDD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项目名称</w:t>
                  </w:r>
                </w:p>
              </w:tc>
              <w:tc>
                <w:tcPr>
                  <w:tcW w:w="1913" w:type="dxa"/>
                  <w:tcBorders>
                    <w:tl2br w:val="nil"/>
                    <w:tr2bl w:val="nil"/>
                  </w:tcBorders>
                  <w:noWrap w:val="0"/>
                  <w:vAlign w:val="center"/>
                </w:tcPr>
                <w:p w14:paraId="03B114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环评批复文号及时间</w:t>
                  </w:r>
                </w:p>
              </w:tc>
              <w:tc>
                <w:tcPr>
                  <w:tcW w:w="2580" w:type="dxa"/>
                  <w:tcBorders>
                    <w:tl2br w:val="nil"/>
                    <w:tr2bl w:val="nil"/>
                  </w:tcBorders>
                  <w:noWrap w:val="0"/>
                  <w:vAlign w:val="center"/>
                </w:tcPr>
                <w:p w14:paraId="4DE8BA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建设情况</w:t>
                  </w:r>
                </w:p>
              </w:tc>
              <w:tc>
                <w:tcPr>
                  <w:tcW w:w="1376" w:type="dxa"/>
                  <w:tcBorders>
                    <w:tl2br w:val="nil"/>
                    <w:tr2bl w:val="nil"/>
                  </w:tcBorders>
                  <w:noWrap w:val="0"/>
                  <w:vAlign w:val="center"/>
                </w:tcPr>
                <w:p w14:paraId="2C90DCB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验收批复文号及时间</w:t>
                  </w:r>
                </w:p>
              </w:tc>
            </w:tr>
            <w:tr w14:paraId="384A37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74" w:type="dxa"/>
                  <w:vMerge w:val="restart"/>
                  <w:tcBorders>
                    <w:tl2br w:val="nil"/>
                    <w:tr2bl w:val="nil"/>
                  </w:tcBorders>
                  <w:noWrap w:val="0"/>
                  <w:vAlign w:val="center"/>
                </w:tcPr>
                <w:p w14:paraId="68E3A11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 xml:space="preserve">1 </w:t>
                  </w:r>
                </w:p>
              </w:tc>
              <w:tc>
                <w:tcPr>
                  <w:tcW w:w="1372" w:type="dxa"/>
                  <w:vMerge w:val="restart"/>
                  <w:tcBorders>
                    <w:tl2br w:val="nil"/>
                    <w:tr2bl w:val="nil"/>
                  </w:tcBorders>
                  <w:noWrap w:val="0"/>
                  <w:vAlign w:val="center"/>
                </w:tcPr>
                <w:p w14:paraId="434F8D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lang w:val="en-US" w:eastAsia="zh-CN"/>
                    </w:rPr>
                    <w:t>老一区熔炼中心熔铸生产线改扩建项目</w:t>
                  </w:r>
                </w:p>
              </w:tc>
              <w:tc>
                <w:tcPr>
                  <w:tcW w:w="1913" w:type="dxa"/>
                  <w:vMerge w:val="restart"/>
                  <w:tcBorders>
                    <w:tl2br w:val="nil"/>
                    <w:tr2bl w:val="nil"/>
                  </w:tcBorders>
                  <w:noWrap w:val="0"/>
                  <w:vAlign w:val="center"/>
                </w:tcPr>
                <w:p w14:paraId="5855042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渝（九）环准〔2021〕097号），202</w:t>
                  </w:r>
                  <w:r>
                    <w:rPr>
                      <w:rFonts w:hint="default" w:ascii="Times New Roman" w:hAnsi="Times New Roman" w:eastAsia="宋体" w:cs="Times New Roman"/>
                      <w:snapToGrid w:val="0"/>
                      <w:color w:val="auto"/>
                      <w:kern w:val="0"/>
                      <w:sz w:val="22"/>
                      <w:szCs w:val="22"/>
                      <w:lang w:val="en-US" w:eastAsia="zh-CN"/>
                    </w:rPr>
                    <w:t>1</w:t>
                  </w:r>
                  <w:r>
                    <w:rPr>
                      <w:rFonts w:hint="default" w:ascii="Times New Roman" w:hAnsi="Times New Roman" w:eastAsia="宋体" w:cs="Times New Roman"/>
                      <w:snapToGrid w:val="0"/>
                      <w:color w:val="auto"/>
                      <w:kern w:val="0"/>
                      <w:sz w:val="22"/>
                      <w:szCs w:val="22"/>
                    </w:rPr>
                    <w:t>年</w:t>
                  </w:r>
                  <w:r>
                    <w:rPr>
                      <w:rFonts w:hint="default" w:ascii="Times New Roman" w:hAnsi="Times New Roman" w:eastAsia="宋体" w:cs="Times New Roman"/>
                      <w:snapToGrid w:val="0"/>
                      <w:color w:val="auto"/>
                      <w:kern w:val="0"/>
                      <w:sz w:val="22"/>
                      <w:szCs w:val="22"/>
                      <w:lang w:val="en-US" w:eastAsia="zh-CN"/>
                    </w:rPr>
                    <w:t>11</w:t>
                  </w:r>
                  <w:r>
                    <w:rPr>
                      <w:rFonts w:hint="default" w:ascii="Times New Roman" w:hAnsi="Times New Roman" w:eastAsia="宋体" w:cs="Times New Roman"/>
                      <w:snapToGrid w:val="0"/>
                      <w:color w:val="auto"/>
                      <w:kern w:val="0"/>
                      <w:sz w:val="22"/>
                      <w:szCs w:val="22"/>
                    </w:rPr>
                    <w:t>月</w:t>
                  </w:r>
                </w:p>
              </w:tc>
              <w:tc>
                <w:tcPr>
                  <w:tcW w:w="2580" w:type="dxa"/>
                  <w:tcBorders>
                    <w:tl2br w:val="nil"/>
                    <w:tr2bl w:val="nil"/>
                  </w:tcBorders>
                  <w:noWrap w:val="0"/>
                  <w:vAlign w:val="center"/>
                </w:tcPr>
                <w:p w14:paraId="3B1F83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eastAsia="zh-CN"/>
                    </w:rPr>
                    <w:t>铝合金圆铸棒2.95万吨</w:t>
                  </w:r>
                  <w:r>
                    <w:rPr>
                      <w:rFonts w:hint="default" w:ascii="Times New Roman" w:hAnsi="Times New Roman" w:eastAsia="宋体" w:cs="Times New Roman"/>
                      <w:snapToGrid w:val="0"/>
                      <w:color w:val="auto"/>
                      <w:kern w:val="0"/>
                      <w:sz w:val="22"/>
                      <w:szCs w:val="22"/>
                      <w:lang w:val="en-US" w:eastAsia="zh-CN"/>
                    </w:rPr>
                    <w:t>/a生产线已验收</w:t>
                  </w:r>
                  <w:r>
                    <w:rPr>
                      <w:rFonts w:hint="default" w:ascii="Times New Roman" w:hAnsi="Times New Roman" w:eastAsia="宋体" w:cs="Times New Roman"/>
                      <w:snapToGrid w:val="0"/>
                      <w:color w:val="auto"/>
                      <w:kern w:val="0"/>
                      <w:sz w:val="22"/>
                      <w:szCs w:val="22"/>
                    </w:rPr>
                    <w:t>，</w:t>
                  </w:r>
                  <w:r>
                    <w:rPr>
                      <w:rFonts w:hint="default" w:ascii="Times New Roman" w:hAnsi="Times New Roman" w:eastAsia="宋体" w:cs="Times New Roman"/>
                      <w:snapToGrid w:val="0"/>
                      <w:color w:val="auto"/>
                      <w:kern w:val="0"/>
                      <w:sz w:val="22"/>
                      <w:szCs w:val="22"/>
                      <w:lang w:val="en-US" w:eastAsia="zh-CN"/>
                    </w:rPr>
                    <w:t>并</w:t>
                  </w:r>
                  <w:r>
                    <w:rPr>
                      <w:rFonts w:hint="default" w:ascii="Times New Roman" w:hAnsi="Times New Roman" w:eastAsia="宋体" w:cs="Times New Roman"/>
                      <w:snapToGrid w:val="0"/>
                      <w:color w:val="auto"/>
                      <w:kern w:val="0"/>
                      <w:sz w:val="22"/>
                      <w:szCs w:val="22"/>
                    </w:rPr>
                    <w:t>正常生产</w:t>
                  </w:r>
                </w:p>
              </w:tc>
              <w:tc>
                <w:tcPr>
                  <w:tcW w:w="1376" w:type="dxa"/>
                  <w:tcBorders>
                    <w:tl2br w:val="nil"/>
                    <w:tr2bl w:val="nil"/>
                  </w:tcBorders>
                  <w:noWrap w:val="0"/>
                  <w:vAlign w:val="center"/>
                </w:tcPr>
                <w:p w14:paraId="0A368E8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202</w:t>
                  </w:r>
                  <w:r>
                    <w:rPr>
                      <w:rFonts w:hint="default" w:ascii="Times New Roman" w:hAnsi="Times New Roman" w:eastAsia="宋体" w:cs="Times New Roman"/>
                      <w:snapToGrid w:val="0"/>
                      <w:color w:val="auto"/>
                      <w:kern w:val="0"/>
                      <w:sz w:val="22"/>
                      <w:szCs w:val="22"/>
                      <w:lang w:val="en-US" w:eastAsia="zh-CN"/>
                    </w:rPr>
                    <w:t>3</w:t>
                  </w:r>
                  <w:r>
                    <w:rPr>
                      <w:rFonts w:hint="default" w:ascii="Times New Roman" w:hAnsi="Times New Roman" w:eastAsia="宋体" w:cs="Times New Roman"/>
                      <w:snapToGrid w:val="0"/>
                      <w:color w:val="auto"/>
                      <w:kern w:val="0"/>
                      <w:sz w:val="22"/>
                      <w:szCs w:val="22"/>
                    </w:rPr>
                    <w:t>年</w:t>
                  </w:r>
                  <w:r>
                    <w:rPr>
                      <w:rFonts w:hint="default" w:ascii="Times New Roman" w:hAnsi="Times New Roman" w:eastAsia="宋体" w:cs="Times New Roman"/>
                      <w:snapToGrid w:val="0"/>
                      <w:color w:val="auto"/>
                      <w:kern w:val="0"/>
                      <w:sz w:val="22"/>
                      <w:szCs w:val="22"/>
                      <w:lang w:val="en-US" w:eastAsia="zh-CN"/>
                    </w:rPr>
                    <w:t>10</w:t>
                  </w:r>
                  <w:r>
                    <w:rPr>
                      <w:rFonts w:hint="default" w:ascii="Times New Roman" w:hAnsi="Times New Roman" w:eastAsia="宋体" w:cs="Times New Roman"/>
                      <w:snapToGrid w:val="0"/>
                      <w:color w:val="auto"/>
                      <w:kern w:val="0"/>
                      <w:sz w:val="22"/>
                      <w:szCs w:val="22"/>
                    </w:rPr>
                    <w:t>月取得验收意见</w:t>
                  </w:r>
                </w:p>
              </w:tc>
            </w:tr>
            <w:tr w14:paraId="070823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14:paraId="034EA4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rPr>
                  </w:pPr>
                </w:p>
              </w:tc>
              <w:tc>
                <w:tcPr>
                  <w:tcW w:w="1372" w:type="dxa"/>
                  <w:vMerge w:val="continue"/>
                  <w:tcBorders>
                    <w:tl2br w:val="nil"/>
                    <w:tr2bl w:val="nil"/>
                  </w:tcBorders>
                  <w:noWrap w:val="0"/>
                  <w:vAlign w:val="center"/>
                </w:tcPr>
                <w:p w14:paraId="56625D3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lang w:val="en-US" w:eastAsia="zh-CN"/>
                    </w:rPr>
                  </w:pPr>
                </w:p>
              </w:tc>
              <w:tc>
                <w:tcPr>
                  <w:tcW w:w="1913" w:type="dxa"/>
                  <w:vMerge w:val="continue"/>
                  <w:tcBorders>
                    <w:tl2br w:val="nil"/>
                    <w:tr2bl w:val="nil"/>
                  </w:tcBorders>
                  <w:noWrap w:val="0"/>
                  <w:vAlign w:val="center"/>
                </w:tcPr>
                <w:p w14:paraId="22A821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rPr>
                  </w:pPr>
                </w:p>
              </w:tc>
              <w:tc>
                <w:tcPr>
                  <w:tcW w:w="2580" w:type="dxa"/>
                  <w:tcBorders>
                    <w:tl2br w:val="nil"/>
                    <w:tr2bl w:val="nil"/>
                  </w:tcBorders>
                  <w:noWrap w:val="0"/>
                  <w:vAlign w:val="center"/>
                </w:tcPr>
                <w:p w14:paraId="6E06EF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eastAsia="zh-CN"/>
                    </w:rPr>
                    <w:t>铝</w:t>
                  </w:r>
                  <w:r>
                    <w:rPr>
                      <w:rFonts w:hint="default" w:ascii="Times New Roman" w:hAnsi="Times New Roman" w:eastAsia="宋体" w:cs="Times New Roman"/>
                      <w:snapToGrid w:val="0"/>
                      <w:color w:val="auto"/>
                      <w:kern w:val="0"/>
                      <w:sz w:val="22"/>
                      <w:szCs w:val="22"/>
                      <w:lang w:val="en-US" w:eastAsia="zh-CN"/>
                    </w:rPr>
                    <w:t>合金锭400</w:t>
                  </w:r>
                  <w:r>
                    <w:rPr>
                      <w:rFonts w:hint="default" w:ascii="Times New Roman" w:hAnsi="Times New Roman" w:eastAsia="宋体" w:cs="Times New Roman"/>
                      <w:snapToGrid w:val="0"/>
                      <w:color w:val="auto"/>
                      <w:kern w:val="0"/>
                      <w:sz w:val="22"/>
                      <w:szCs w:val="22"/>
                      <w:lang w:eastAsia="zh-CN"/>
                    </w:rPr>
                    <w:t>吨</w:t>
                  </w:r>
                  <w:r>
                    <w:rPr>
                      <w:rFonts w:hint="default" w:ascii="Times New Roman" w:hAnsi="Times New Roman" w:eastAsia="宋体" w:cs="Times New Roman"/>
                      <w:snapToGrid w:val="0"/>
                      <w:color w:val="auto"/>
                      <w:kern w:val="0"/>
                      <w:sz w:val="22"/>
                      <w:szCs w:val="22"/>
                      <w:lang w:val="en-US" w:eastAsia="zh-CN"/>
                    </w:rPr>
                    <w:t>/a生产线已拆除，后期不再建设</w:t>
                  </w:r>
                </w:p>
              </w:tc>
              <w:tc>
                <w:tcPr>
                  <w:tcW w:w="1376" w:type="dxa"/>
                  <w:tcBorders>
                    <w:tl2br w:val="nil"/>
                    <w:tr2bl w:val="nil"/>
                  </w:tcBorders>
                  <w:noWrap w:val="0"/>
                  <w:vAlign w:val="center"/>
                </w:tcPr>
                <w:p w14:paraId="5DD85DD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w:t>
                  </w:r>
                </w:p>
              </w:tc>
            </w:tr>
            <w:tr w14:paraId="31B672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14:paraId="58814B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2</w:t>
                  </w:r>
                </w:p>
              </w:tc>
              <w:tc>
                <w:tcPr>
                  <w:tcW w:w="1372" w:type="dxa"/>
                  <w:tcBorders>
                    <w:tl2br w:val="nil"/>
                    <w:tr2bl w:val="nil"/>
                  </w:tcBorders>
                  <w:noWrap w:val="0"/>
                  <w:vAlign w:val="center"/>
                </w:tcPr>
                <w:p w14:paraId="0E0F98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color w:val="auto"/>
                      <w:kern w:val="0"/>
                      <w:sz w:val="22"/>
                      <w:szCs w:val="22"/>
                      <w:vertAlign w:val="baseline"/>
                      <w:lang w:val="en-US" w:eastAsia="zh-CN"/>
                    </w:rPr>
                    <w:t>铝合金深加工智能化生产线建设项目</w:t>
                  </w:r>
                </w:p>
              </w:tc>
              <w:tc>
                <w:tcPr>
                  <w:tcW w:w="1913" w:type="dxa"/>
                  <w:tcBorders>
                    <w:tl2br w:val="nil"/>
                    <w:tr2bl w:val="nil"/>
                  </w:tcBorders>
                  <w:noWrap w:val="0"/>
                  <w:vAlign w:val="center"/>
                </w:tcPr>
                <w:p w14:paraId="0EAFE2B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rPr>
                    <w:t>渝（九）环准〔2024〕42号</w:t>
                  </w:r>
                  <w:r>
                    <w:rPr>
                      <w:rFonts w:hint="default" w:ascii="Times New Roman" w:hAnsi="Times New Roman" w:eastAsia="宋体" w:cs="Times New Roman"/>
                      <w:snapToGrid w:val="0"/>
                      <w:color w:val="auto"/>
                      <w:kern w:val="0"/>
                      <w:sz w:val="22"/>
                      <w:szCs w:val="22"/>
                      <w:lang w:eastAsia="zh-CN"/>
                    </w:rPr>
                    <w:t>，</w:t>
                  </w:r>
                  <w:r>
                    <w:rPr>
                      <w:rFonts w:hint="default" w:ascii="Times New Roman" w:hAnsi="Times New Roman" w:eastAsia="宋体" w:cs="Times New Roman"/>
                      <w:snapToGrid w:val="0"/>
                      <w:color w:val="auto"/>
                      <w:kern w:val="0"/>
                      <w:sz w:val="22"/>
                      <w:szCs w:val="22"/>
                      <w:lang w:val="en-US" w:eastAsia="zh-CN"/>
                    </w:rPr>
                    <w:t>2024年11月</w:t>
                  </w:r>
                </w:p>
              </w:tc>
              <w:tc>
                <w:tcPr>
                  <w:tcW w:w="2580" w:type="dxa"/>
                  <w:tcBorders>
                    <w:tl2br w:val="nil"/>
                    <w:tr2bl w:val="nil"/>
                  </w:tcBorders>
                  <w:noWrap w:val="0"/>
                  <w:vAlign w:val="center"/>
                </w:tcPr>
                <w:p w14:paraId="3991ABB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lang w:eastAsia="zh-CN"/>
                    </w:rPr>
                  </w:pPr>
                  <w:r>
                    <w:rPr>
                      <w:rFonts w:hint="default" w:ascii="Times New Roman" w:hAnsi="Times New Roman" w:eastAsia="宋体" w:cs="Times New Roman"/>
                      <w:snapToGrid w:val="0"/>
                      <w:color w:val="auto"/>
                      <w:kern w:val="0"/>
                      <w:sz w:val="22"/>
                      <w:szCs w:val="22"/>
                      <w:lang w:val="en-US" w:eastAsia="zh-CN"/>
                    </w:rPr>
                    <w:t>项目不新增占地，在现有熔铸车间预留空间内新增铝合金系列产品生产线，通过购置蓄热式高效熔炼炉（60t）、熔保一体倾动炉（35t）、中间合金熔炼炉（9t）及配套的铸锭、连铸机等，实现年产6万t铝合金系列产品</w:t>
                  </w:r>
                </w:p>
              </w:tc>
              <w:tc>
                <w:tcPr>
                  <w:tcW w:w="1376" w:type="dxa"/>
                  <w:tcBorders>
                    <w:tl2br w:val="nil"/>
                    <w:tr2bl w:val="nil"/>
                  </w:tcBorders>
                  <w:noWrap w:val="0"/>
                  <w:vAlign w:val="center"/>
                </w:tcPr>
                <w:p w14:paraId="3B34C37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color w:val="auto"/>
                      <w:kern w:val="0"/>
                      <w:sz w:val="22"/>
                      <w:szCs w:val="22"/>
                      <w:vertAlign w:val="baseline"/>
                      <w:lang w:val="en-US" w:eastAsia="zh-CN"/>
                    </w:rPr>
                    <w:t>建设中发生重大变动，未验收</w:t>
                  </w:r>
                </w:p>
              </w:tc>
            </w:tr>
            <w:tr w14:paraId="609A23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14:paraId="4E21AC2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3</w:t>
                  </w:r>
                </w:p>
              </w:tc>
              <w:tc>
                <w:tcPr>
                  <w:tcW w:w="1372" w:type="dxa"/>
                  <w:tcBorders>
                    <w:tl2br w:val="nil"/>
                    <w:tr2bl w:val="nil"/>
                  </w:tcBorders>
                  <w:noWrap w:val="0"/>
                  <w:vAlign w:val="center"/>
                </w:tcPr>
                <w:p w14:paraId="569A75B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color w:val="auto"/>
                      <w:kern w:val="0"/>
                      <w:sz w:val="22"/>
                      <w:szCs w:val="22"/>
                      <w:vertAlign w:val="baseline"/>
                      <w:lang w:val="en-US" w:eastAsia="zh-CN"/>
                    </w:rPr>
                    <w:t>铝合金深加工智能化生产线建设项目（重新报批）</w:t>
                  </w:r>
                </w:p>
              </w:tc>
              <w:tc>
                <w:tcPr>
                  <w:tcW w:w="1913" w:type="dxa"/>
                  <w:tcBorders>
                    <w:tl2br w:val="nil"/>
                    <w:tr2bl w:val="nil"/>
                  </w:tcBorders>
                  <w:noWrap w:val="0"/>
                  <w:vAlign w:val="center"/>
                </w:tcPr>
                <w:p w14:paraId="2FE4FAD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rPr>
                    <w:t>渝（九）环准〔202</w:t>
                  </w:r>
                  <w:r>
                    <w:rPr>
                      <w:rFonts w:hint="default" w:ascii="Times New Roman" w:hAnsi="Times New Roman" w:eastAsia="宋体" w:cs="Times New Roman"/>
                      <w:snapToGrid w:val="0"/>
                      <w:color w:val="auto"/>
                      <w:kern w:val="0"/>
                      <w:sz w:val="22"/>
                      <w:szCs w:val="22"/>
                      <w:lang w:val="en-US" w:eastAsia="zh-CN"/>
                    </w:rPr>
                    <w:t>5</w:t>
                  </w:r>
                  <w:r>
                    <w:rPr>
                      <w:rFonts w:hint="default" w:ascii="Times New Roman" w:hAnsi="Times New Roman" w:eastAsia="宋体" w:cs="Times New Roman"/>
                      <w:snapToGrid w:val="0"/>
                      <w:color w:val="auto"/>
                      <w:kern w:val="0"/>
                      <w:sz w:val="22"/>
                      <w:szCs w:val="22"/>
                    </w:rPr>
                    <w:t>〕</w:t>
                  </w:r>
                  <w:r>
                    <w:rPr>
                      <w:rFonts w:hint="default" w:ascii="Times New Roman" w:hAnsi="Times New Roman" w:eastAsia="宋体" w:cs="Times New Roman"/>
                      <w:snapToGrid w:val="0"/>
                      <w:color w:val="auto"/>
                      <w:kern w:val="0"/>
                      <w:sz w:val="22"/>
                      <w:szCs w:val="22"/>
                      <w:lang w:val="en-US" w:eastAsia="zh-CN"/>
                    </w:rPr>
                    <w:t>74</w:t>
                  </w:r>
                  <w:r>
                    <w:rPr>
                      <w:rFonts w:hint="default" w:ascii="Times New Roman" w:hAnsi="Times New Roman" w:eastAsia="宋体" w:cs="Times New Roman"/>
                      <w:snapToGrid w:val="0"/>
                      <w:color w:val="auto"/>
                      <w:kern w:val="0"/>
                      <w:sz w:val="22"/>
                      <w:szCs w:val="22"/>
                    </w:rPr>
                    <w:t>号</w:t>
                  </w:r>
                  <w:r>
                    <w:rPr>
                      <w:rFonts w:hint="default" w:ascii="Times New Roman" w:hAnsi="Times New Roman" w:eastAsia="宋体" w:cs="Times New Roman"/>
                      <w:snapToGrid w:val="0"/>
                      <w:color w:val="auto"/>
                      <w:kern w:val="0"/>
                      <w:sz w:val="22"/>
                      <w:szCs w:val="22"/>
                      <w:lang w:eastAsia="zh-CN"/>
                    </w:rPr>
                    <w:t>，</w:t>
                  </w:r>
                  <w:r>
                    <w:rPr>
                      <w:rFonts w:hint="default" w:ascii="Times New Roman" w:hAnsi="Times New Roman" w:eastAsia="宋体" w:cs="Times New Roman"/>
                      <w:snapToGrid w:val="0"/>
                      <w:color w:val="auto"/>
                      <w:kern w:val="0"/>
                      <w:sz w:val="22"/>
                      <w:szCs w:val="22"/>
                      <w:lang w:val="en-US" w:eastAsia="zh-CN"/>
                    </w:rPr>
                    <w:t>2025年11月</w:t>
                  </w:r>
                </w:p>
              </w:tc>
              <w:tc>
                <w:tcPr>
                  <w:tcW w:w="2580" w:type="dxa"/>
                  <w:tcBorders>
                    <w:tl2br w:val="nil"/>
                    <w:tr2bl w:val="nil"/>
                  </w:tcBorders>
                  <w:noWrap w:val="0"/>
                  <w:vAlign w:val="center"/>
                </w:tcPr>
                <w:p w14:paraId="78F86E1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lang w:eastAsia="zh-CN"/>
                    </w:rPr>
                  </w:pPr>
                  <w:r>
                    <w:rPr>
                      <w:rFonts w:hint="default" w:ascii="Times New Roman" w:hAnsi="Times New Roman" w:eastAsia="宋体" w:cs="Times New Roman"/>
                      <w:bCs/>
                      <w:color w:val="auto"/>
                      <w:sz w:val="22"/>
                      <w:szCs w:val="22"/>
                      <w:lang w:val="en-US" w:eastAsia="zh-CN"/>
                    </w:rPr>
                    <w:t>在现有熔铸车间预留空间内新增铝合金系列产品生产线，通过购置60t蓄热式高效熔炼炉、35t熔保一体倾动炉、35t蓄热式高效熔炼炉及配套的铸锭、连铸机、烤包器、铝回收装置等，实现年产8.5万t铝合金系列产品</w:t>
                  </w:r>
                </w:p>
              </w:tc>
              <w:tc>
                <w:tcPr>
                  <w:tcW w:w="1376" w:type="dxa"/>
                  <w:tcBorders>
                    <w:tl2br w:val="nil"/>
                    <w:tr2bl w:val="nil"/>
                  </w:tcBorders>
                  <w:noWrap w:val="0"/>
                  <w:vAlign w:val="center"/>
                </w:tcPr>
                <w:p w14:paraId="2DA460C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建设中，暂未验收</w:t>
                  </w:r>
                </w:p>
              </w:tc>
            </w:tr>
          </w:tbl>
          <w:p w14:paraId="174D036F">
            <w:pPr>
              <w:spacing w:line="460" w:lineRule="atLeast"/>
              <w:ind w:firstLine="522" w:firstLineChars="200"/>
              <w:rPr>
                <w:rFonts w:hint="eastAsia" w:ascii="Times New Roman" w:hAnsi="Times New Roman"/>
                <w:b/>
                <w:color w:val="auto"/>
                <w:sz w:val="26"/>
                <w:szCs w:val="26"/>
              </w:rPr>
            </w:pPr>
          </w:p>
          <w:p w14:paraId="6F574558">
            <w:pPr>
              <w:spacing w:line="460" w:lineRule="exact"/>
              <w:rPr>
                <w:rFonts w:ascii="Times New Roman" w:hAnsi="Times New Roman"/>
                <w:b/>
                <w:color w:val="auto"/>
                <w:sz w:val="26"/>
                <w:szCs w:val="26"/>
              </w:rPr>
            </w:pPr>
            <w:r>
              <w:rPr>
                <w:rFonts w:hint="eastAsia" w:ascii="Times New Roman" w:hAnsi="Times New Roman"/>
                <w:b/>
                <w:color w:val="auto"/>
                <w:sz w:val="26"/>
                <w:szCs w:val="26"/>
              </w:rPr>
              <w:t>2.1</w:t>
            </w:r>
            <w:r>
              <w:rPr>
                <w:rFonts w:hint="eastAsia" w:ascii="Times New Roman" w:hAnsi="Times New Roman"/>
                <w:b/>
                <w:color w:val="auto"/>
                <w:sz w:val="26"/>
                <w:szCs w:val="26"/>
                <w:lang w:val="en-US" w:eastAsia="zh-CN"/>
              </w:rPr>
              <w:t>3</w:t>
            </w:r>
            <w:r>
              <w:rPr>
                <w:rFonts w:hint="eastAsia" w:ascii="Times New Roman" w:hAnsi="Times New Roman"/>
                <w:b/>
                <w:color w:val="auto"/>
                <w:sz w:val="26"/>
                <w:szCs w:val="26"/>
              </w:rPr>
              <w:t>现有项目</w:t>
            </w:r>
            <w:r>
              <w:rPr>
                <w:rFonts w:ascii="Times New Roman" w:hAnsi="Times New Roman"/>
                <w:b/>
                <w:color w:val="auto"/>
                <w:sz w:val="26"/>
                <w:szCs w:val="26"/>
              </w:rPr>
              <w:t>项目组成</w:t>
            </w:r>
          </w:p>
          <w:p w14:paraId="7FC361AF">
            <w:pPr>
              <w:spacing w:line="460" w:lineRule="atLeast"/>
              <w:ind w:firstLine="520" w:firstLineChars="200"/>
              <w:rPr>
                <w:rFonts w:hint="eastAsia" w:ascii="Times New Roman" w:hAnsi="Times New Roman"/>
                <w:bCs/>
                <w:color w:val="auto"/>
                <w:sz w:val="26"/>
                <w:szCs w:val="26"/>
              </w:rPr>
            </w:pPr>
            <w:r>
              <w:rPr>
                <w:rFonts w:hint="eastAsia" w:ascii="Times New Roman" w:hAnsi="Times New Roman"/>
                <w:bCs/>
                <w:color w:val="auto"/>
                <w:sz w:val="26"/>
                <w:szCs w:val="26"/>
              </w:rPr>
              <w:t>现有项目</w:t>
            </w:r>
            <w:r>
              <w:rPr>
                <w:rFonts w:hint="eastAsia" w:ascii="Times New Roman" w:hAnsi="Times New Roman"/>
                <w:color w:val="auto"/>
                <w:sz w:val="26"/>
                <w:szCs w:val="26"/>
              </w:rPr>
              <w:t>组成</w:t>
            </w:r>
            <w:r>
              <w:rPr>
                <w:rFonts w:hint="eastAsia" w:ascii="Times New Roman" w:hAnsi="Times New Roman"/>
                <w:bCs/>
                <w:color w:val="auto"/>
                <w:sz w:val="26"/>
                <w:szCs w:val="26"/>
              </w:rPr>
              <w:t>详见表</w:t>
            </w:r>
            <w:r>
              <w:rPr>
                <w:rFonts w:hint="eastAsia" w:ascii="Times New Roman" w:hAnsi="Times New Roman"/>
                <w:bCs/>
                <w:color w:val="auto"/>
                <w:sz w:val="26"/>
                <w:szCs w:val="26"/>
                <w:lang w:val="en-US" w:eastAsia="zh-CN"/>
              </w:rPr>
              <w:t>2.13-1</w:t>
            </w:r>
            <w:r>
              <w:rPr>
                <w:rFonts w:hint="eastAsia"/>
                <w:color w:val="auto"/>
                <w:sz w:val="26"/>
                <w:szCs w:val="26"/>
                <w:lang w:val="en-US" w:eastAsia="zh-CN"/>
              </w:rPr>
              <w:t>所示</w:t>
            </w:r>
            <w:r>
              <w:rPr>
                <w:rFonts w:hint="eastAsia" w:ascii="Times New Roman" w:hAnsi="Times New Roman"/>
                <w:bCs/>
                <w:color w:val="auto"/>
                <w:sz w:val="26"/>
                <w:szCs w:val="26"/>
              </w:rPr>
              <w:t>。</w:t>
            </w:r>
          </w:p>
          <w:p w14:paraId="0FFCAAD4">
            <w:pPr>
              <w:spacing w:line="460" w:lineRule="atLeast"/>
              <w:ind w:firstLine="520" w:firstLineChars="200"/>
              <w:rPr>
                <w:rFonts w:hint="eastAsia" w:ascii="Times New Roman" w:hAnsi="Times New Roman"/>
                <w:bCs/>
                <w:color w:val="auto"/>
                <w:sz w:val="26"/>
                <w:szCs w:val="26"/>
              </w:rPr>
            </w:pPr>
          </w:p>
          <w:p w14:paraId="0D77B6DD">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b/>
                <w:bCs/>
                <w:color w:val="auto"/>
                <w:sz w:val="26"/>
                <w:szCs w:val="26"/>
                <w:highlight w:val="none"/>
              </w:rPr>
            </w:pPr>
            <w:r>
              <w:rPr>
                <w:rFonts w:hint="default" w:ascii="Times New Roman" w:hAnsi="Times New Roman" w:eastAsia="宋体" w:cs="Times New Roman"/>
                <w:b/>
                <w:bCs/>
                <w:color w:val="auto"/>
                <w:sz w:val="26"/>
                <w:szCs w:val="26"/>
                <w:highlight w:val="none"/>
              </w:rPr>
              <w:t>表</w:t>
            </w:r>
            <w:r>
              <w:rPr>
                <w:rFonts w:hint="eastAsia" w:ascii="Times New Roman" w:hAnsi="Times New Roman" w:eastAsia="宋体" w:cs="Times New Roman"/>
                <w:b/>
                <w:bCs/>
                <w:color w:val="auto"/>
                <w:sz w:val="26"/>
                <w:szCs w:val="26"/>
                <w:highlight w:val="none"/>
                <w:lang w:val="en-US" w:eastAsia="zh-CN"/>
              </w:rPr>
              <w:t>2.13-1</w:t>
            </w:r>
            <w:r>
              <w:rPr>
                <w:rFonts w:hint="default" w:ascii="Times New Roman" w:hAnsi="Times New Roman" w:eastAsia="宋体" w:cs="Times New Roman"/>
                <w:b/>
                <w:bCs/>
                <w:color w:val="auto"/>
                <w:sz w:val="26"/>
                <w:szCs w:val="26"/>
                <w:highlight w:val="none"/>
              </w:rPr>
              <w:t xml:space="preserve">  </w:t>
            </w:r>
            <w:r>
              <w:rPr>
                <w:rFonts w:hint="eastAsia" w:ascii="Times New Roman" w:hAnsi="Times New Roman" w:eastAsia="宋体" w:cs="Times New Roman"/>
                <w:b/>
                <w:bCs/>
                <w:color w:val="auto"/>
                <w:sz w:val="26"/>
                <w:szCs w:val="26"/>
                <w:highlight w:val="none"/>
                <w:lang w:val="en-US" w:eastAsia="zh-CN"/>
              </w:rPr>
              <w:t>现有项目</w:t>
            </w:r>
            <w:r>
              <w:rPr>
                <w:rFonts w:hint="default" w:ascii="Times New Roman" w:hAnsi="Times New Roman" w:eastAsia="宋体" w:cs="Times New Roman"/>
                <w:b/>
                <w:bCs/>
                <w:color w:val="auto"/>
                <w:sz w:val="26"/>
                <w:szCs w:val="26"/>
                <w:highlight w:val="none"/>
              </w:rPr>
              <w:t>组成</w:t>
            </w:r>
            <w:r>
              <w:rPr>
                <w:rFonts w:hint="eastAsia" w:ascii="Times New Roman" w:hAnsi="Times New Roman" w:eastAsia="宋体" w:cs="Times New Roman"/>
                <w:b/>
                <w:bCs/>
                <w:color w:val="auto"/>
                <w:sz w:val="26"/>
                <w:szCs w:val="26"/>
                <w:highlight w:val="none"/>
                <w:lang w:val="en-US" w:eastAsia="zh-CN"/>
              </w:rPr>
              <w:t>及内容一览</w:t>
            </w:r>
            <w:r>
              <w:rPr>
                <w:rFonts w:hint="default" w:ascii="Times New Roman" w:hAnsi="Times New Roman" w:eastAsia="宋体" w:cs="Times New Roman"/>
                <w:b/>
                <w:bCs/>
                <w:color w:val="auto"/>
                <w:sz w:val="26"/>
                <w:szCs w:val="26"/>
                <w:highlight w:val="none"/>
              </w:rPr>
              <w:t>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6"/>
              <w:gridCol w:w="1050"/>
              <w:gridCol w:w="1142"/>
              <w:gridCol w:w="4037"/>
              <w:gridCol w:w="943"/>
            </w:tblGrid>
            <w:tr w14:paraId="45BDC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520" w:type="dxa"/>
                  <w:tcBorders>
                    <w:tl2br w:val="nil"/>
                    <w:tr2bl w:val="nil"/>
                  </w:tcBorders>
                  <w:noWrap w:val="0"/>
                  <w:tcMar>
                    <w:left w:w="28" w:type="dxa"/>
                    <w:right w:w="28" w:type="dxa"/>
                  </w:tcMar>
                  <w:vAlign w:val="center"/>
                </w:tcPr>
                <w:p w14:paraId="47AEEB3E">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工程分类</w:t>
                  </w:r>
                </w:p>
              </w:tc>
              <w:tc>
                <w:tcPr>
                  <w:tcW w:w="1082" w:type="dxa"/>
                  <w:tcBorders>
                    <w:tl2br w:val="nil"/>
                    <w:tr2bl w:val="nil"/>
                  </w:tcBorders>
                  <w:noWrap w:val="0"/>
                  <w:tcMar>
                    <w:left w:w="28" w:type="dxa"/>
                    <w:right w:w="28" w:type="dxa"/>
                  </w:tcMar>
                  <w:vAlign w:val="center"/>
                </w:tcPr>
                <w:p w14:paraId="7CC6C237">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项目名称</w:t>
                  </w:r>
                </w:p>
              </w:tc>
              <w:tc>
                <w:tcPr>
                  <w:tcW w:w="5342" w:type="dxa"/>
                  <w:gridSpan w:val="2"/>
                  <w:tcBorders>
                    <w:tl2br w:val="nil"/>
                    <w:tr2bl w:val="nil"/>
                  </w:tcBorders>
                  <w:noWrap w:val="0"/>
                  <w:tcMar>
                    <w:left w:w="28" w:type="dxa"/>
                    <w:right w:w="28" w:type="dxa"/>
                  </w:tcMar>
                  <w:vAlign w:val="center"/>
                </w:tcPr>
                <w:p w14:paraId="599D6028">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项目组成及内容</w:t>
                  </w:r>
                </w:p>
              </w:tc>
              <w:tc>
                <w:tcPr>
                  <w:tcW w:w="971" w:type="dxa"/>
                  <w:tcBorders>
                    <w:tl2br w:val="nil"/>
                    <w:tr2bl w:val="nil"/>
                  </w:tcBorders>
                  <w:noWrap w:val="0"/>
                  <w:tcMar>
                    <w:left w:w="28" w:type="dxa"/>
                    <w:right w:w="28" w:type="dxa"/>
                  </w:tcMar>
                  <w:vAlign w:val="center"/>
                </w:tcPr>
                <w:p w14:paraId="49098F2C">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备注</w:t>
                  </w:r>
                </w:p>
              </w:tc>
            </w:tr>
            <w:tr w14:paraId="5CC8B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35" w:hRule="atLeast"/>
                <w:jc w:val="center"/>
              </w:trPr>
              <w:tc>
                <w:tcPr>
                  <w:tcW w:w="520" w:type="dxa"/>
                  <w:vMerge w:val="restart"/>
                  <w:tcBorders>
                    <w:tl2br w:val="nil"/>
                    <w:tr2bl w:val="nil"/>
                  </w:tcBorders>
                  <w:noWrap w:val="0"/>
                  <w:tcMar>
                    <w:left w:w="28" w:type="dxa"/>
                    <w:right w:w="28" w:type="dxa"/>
                  </w:tcMar>
                  <w:vAlign w:val="center"/>
                </w:tcPr>
                <w:p w14:paraId="3BF88D4C">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主体工程</w:t>
                  </w:r>
                </w:p>
              </w:tc>
              <w:tc>
                <w:tcPr>
                  <w:tcW w:w="1082" w:type="dxa"/>
                  <w:vMerge w:val="restart"/>
                  <w:tcBorders>
                    <w:tl2br w:val="nil"/>
                    <w:tr2bl w:val="nil"/>
                  </w:tcBorders>
                  <w:noWrap w:val="0"/>
                  <w:tcMar>
                    <w:left w:w="28" w:type="dxa"/>
                    <w:right w:w="28" w:type="dxa"/>
                  </w:tcMar>
                  <w:vAlign w:val="center"/>
                </w:tcPr>
                <w:p w14:paraId="1F58E0DB">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bCs/>
                      <w:color w:val="auto"/>
                      <w:sz w:val="22"/>
                      <w:szCs w:val="22"/>
                      <w:lang w:val="en-US" w:eastAsia="zh-CN" w:bidi="ar"/>
                    </w:rPr>
                    <w:t>熔铸车间</w:t>
                  </w:r>
                </w:p>
              </w:tc>
              <w:tc>
                <w:tcPr>
                  <w:tcW w:w="1177" w:type="dxa"/>
                  <w:vMerge w:val="restart"/>
                  <w:tcBorders>
                    <w:tl2br w:val="nil"/>
                    <w:tr2bl w:val="nil"/>
                  </w:tcBorders>
                  <w:noWrap w:val="0"/>
                  <w:tcMar>
                    <w:left w:w="28" w:type="dxa"/>
                    <w:right w:w="28" w:type="dxa"/>
                  </w:tcMar>
                  <w:vAlign w:val="center"/>
                </w:tcPr>
                <w:p w14:paraId="466683D4">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kern w:val="0"/>
                      <w:sz w:val="22"/>
                      <w:szCs w:val="22"/>
                      <w:vertAlign w:val="baseline"/>
                      <w:lang w:val="en-US" w:eastAsia="zh-CN"/>
                    </w:rPr>
                    <w:t>熔铸区域</w:t>
                  </w:r>
                </w:p>
              </w:tc>
              <w:tc>
                <w:tcPr>
                  <w:tcW w:w="4165" w:type="dxa"/>
                  <w:tcBorders>
                    <w:tl2br w:val="nil"/>
                    <w:tr2bl w:val="nil"/>
                  </w:tcBorders>
                  <w:noWrap w:val="0"/>
                  <w:tcMar>
                    <w:left w:w="28" w:type="dxa"/>
                    <w:right w:w="28" w:type="dxa"/>
                  </w:tcMar>
                  <w:vAlign w:val="center"/>
                </w:tcPr>
                <w:p w14:paraId="2927842B">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熔铸车间位于厂区中部，占地面积11000m</w:t>
                  </w:r>
                  <w:r>
                    <w:rPr>
                      <w:rFonts w:hint="default" w:ascii="Times New Roman" w:hAnsi="Times New Roman" w:eastAsia="宋体" w:cs="Times New Roman"/>
                      <w:color w:val="auto"/>
                      <w:sz w:val="22"/>
                      <w:szCs w:val="22"/>
                      <w:vertAlign w:val="superscript"/>
                      <w:lang w:val="en-US" w:eastAsia="zh-CN"/>
                    </w:rPr>
                    <w:t>2</w:t>
                  </w:r>
                  <w:r>
                    <w:rPr>
                      <w:rFonts w:hint="default" w:ascii="Times New Roman" w:hAnsi="Times New Roman" w:eastAsia="宋体" w:cs="Times New Roman"/>
                      <w:color w:val="auto"/>
                      <w:sz w:val="22"/>
                      <w:szCs w:val="22"/>
                      <w:lang w:val="en-US" w:eastAsia="zh-CN"/>
                    </w:rPr>
                    <w:t>，单层，层高约15m；</w:t>
                  </w:r>
                </w:p>
                <w:p w14:paraId="55A40547">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kern w:val="0"/>
                      <w:sz w:val="22"/>
                      <w:szCs w:val="22"/>
                      <w:vertAlign w:val="baseline"/>
                      <w:lang w:val="en-US" w:eastAsia="zh-CN"/>
                    </w:rPr>
                    <w:t>熔铸区域</w:t>
                  </w:r>
                  <w:r>
                    <w:rPr>
                      <w:rFonts w:hint="default" w:ascii="Times New Roman" w:hAnsi="Times New Roman" w:eastAsia="宋体" w:cs="Times New Roman"/>
                      <w:color w:val="auto"/>
                      <w:sz w:val="22"/>
                      <w:szCs w:val="22"/>
                      <w:lang w:val="en-US" w:eastAsia="zh-CN"/>
                    </w:rPr>
                    <w:t>位于熔铸车间西侧，设置</w:t>
                  </w:r>
                  <w:r>
                    <w:rPr>
                      <w:rFonts w:hint="default" w:ascii="Times New Roman" w:hAnsi="Times New Roman" w:eastAsia="宋体" w:cs="Times New Roman"/>
                      <w:color w:val="auto"/>
                      <w:sz w:val="22"/>
                      <w:szCs w:val="22"/>
                    </w:rPr>
                    <w:t>2台25t熔炼炉，</w:t>
                  </w:r>
                  <w:r>
                    <w:rPr>
                      <w:rFonts w:hint="default" w:ascii="Times New Roman" w:hAnsi="Times New Roman" w:eastAsia="宋体" w:cs="Times New Roman"/>
                      <w:color w:val="auto"/>
                      <w:sz w:val="22"/>
                      <w:szCs w:val="22"/>
                      <w:lang w:val="en-US" w:eastAsia="zh-CN"/>
                    </w:rPr>
                    <w:t>1台16t熔炼炉，</w:t>
                  </w:r>
                  <w:r>
                    <w:rPr>
                      <w:rFonts w:hint="default" w:ascii="Times New Roman" w:hAnsi="Times New Roman" w:eastAsia="宋体" w:cs="Times New Roman"/>
                      <w:color w:val="auto"/>
                      <w:sz w:val="22"/>
                      <w:szCs w:val="22"/>
                    </w:rPr>
                    <w:t>1台30t电磁搅拌器，</w:t>
                  </w:r>
                  <w:r>
                    <w:rPr>
                      <w:rFonts w:hint="default" w:ascii="Times New Roman" w:hAnsi="Times New Roman" w:eastAsia="宋体" w:cs="Times New Roman"/>
                      <w:color w:val="auto"/>
                      <w:sz w:val="22"/>
                      <w:szCs w:val="22"/>
                      <w:lang w:val="en-US" w:eastAsia="zh-CN"/>
                    </w:rPr>
                    <w:t>2</w:t>
                  </w:r>
                  <w:r>
                    <w:rPr>
                      <w:rFonts w:hint="default" w:ascii="Times New Roman" w:hAnsi="Times New Roman" w:eastAsia="宋体" w:cs="Times New Roman"/>
                      <w:color w:val="auto"/>
                      <w:sz w:val="22"/>
                      <w:szCs w:val="22"/>
                    </w:rPr>
                    <w:t>台铸造机和2台50吨的均质炉等生产设备</w:t>
                  </w:r>
                  <w:r>
                    <w:rPr>
                      <w:rFonts w:hint="default" w:ascii="Times New Roman" w:hAnsi="Times New Roman" w:eastAsia="宋体" w:cs="Times New Roman"/>
                      <w:color w:val="auto"/>
                      <w:sz w:val="22"/>
                      <w:szCs w:val="22"/>
                      <w:lang w:eastAsia="zh-CN"/>
                    </w:rPr>
                    <w:t>，</w:t>
                  </w:r>
                  <w:r>
                    <w:rPr>
                      <w:rFonts w:hint="default" w:ascii="Times New Roman" w:hAnsi="Times New Roman" w:eastAsia="宋体" w:cs="Times New Roman"/>
                      <w:color w:val="auto"/>
                      <w:sz w:val="22"/>
                      <w:szCs w:val="22"/>
                      <w:lang w:val="en-US" w:eastAsia="zh-CN"/>
                    </w:rPr>
                    <w:t>形成年产2.95万t的铝合金铸棒的生产规模</w:t>
                  </w:r>
                  <w:r>
                    <w:rPr>
                      <w:rFonts w:hint="eastAsia" w:ascii="Times New Roman" w:hAnsi="Times New Roman" w:eastAsia="宋体" w:cs="Times New Roman"/>
                      <w:color w:val="auto"/>
                      <w:sz w:val="22"/>
                      <w:szCs w:val="22"/>
                      <w:lang w:val="en-US" w:eastAsia="zh-CN"/>
                    </w:rPr>
                    <w:t>。</w:t>
                  </w:r>
                </w:p>
              </w:tc>
              <w:tc>
                <w:tcPr>
                  <w:tcW w:w="971" w:type="dxa"/>
                  <w:tcBorders>
                    <w:tl2br w:val="nil"/>
                    <w:tr2bl w:val="nil"/>
                  </w:tcBorders>
                  <w:noWrap w:val="0"/>
                  <w:tcMar>
                    <w:left w:w="28" w:type="dxa"/>
                    <w:right w:w="28" w:type="dxa"/>
                  </w:tcMar>
                  <w:vAlign w:val="center"/>
                </w:tcPr>
                <w:p w14:paraId="296C5F33">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已建</w:t>
                  </w:r>
                </w:p>
              </w:tc>
            </w:tr>
            <w:tr w14:paraId="1A3AA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35" w:hRule="atLeast"/>
                <w:jc w:val="center"/>
              </w:trPr>
              <w:tc>
                <w:tcPr>
                  <w:tcW w:w="520" w:type="dxa"/>
                  <w:vMerge w:val="continue"/>
                  <w:tcBorders>
                    <w:tl2br w:val="nil"/>
                    <w:tr2bl w:val="nil"/>
                  </w:tcBorders>
                  <w:noWrap w:val="0"/>
                  <w:tcMar>
                    <w:left w:w="28" w:type="dxa"/>
                    <w:right w:w="28" w:type="dxa"/>
                  </w:tcMar>
                  <w:vAlign w:val="center"/>
                </w:tcPr>
                <w:p w14:paraId="378BE40D">
                  <w:pPr>
                    <w:keepNext w:val="0"/>
                    <w:keepLines w:val="0"/>
                    <w:pageBreakBefore w:val="0"/>
                    <w:kinsoku/>
                    <w:wordWrap/>
                    <w:overflowPunct/>
                    <w:topLinePunct w:val="0"/>
                    <w:autoSpaceDE/>
                    <w:autoSpaceDN/>
                    <w:bidi w:val="0"/>
                    <w:adjustRightInd/>
                    <w:snapToGrid/>
                    <w:spacing w:line="340" w:lineRule="exact"/>
                    <w:jc w:val="both"/>
                    <w:textAlignment w:val="auto"/>
                    <w:rPr>
                      <w:color w:val="auto"/>
                    </w:rPr>
                  </w:pPr>
                </w:p>
              </w:tc>
              <w:tc>
                <w:tcPr>
                  <w:tcW w:w="1082" w:type="dxa"/>
                  <w:vMerge w:val="continue"/>
                  <w:tcBorders>
                    <w:tl2br w:val="nil"/>
                    <w:tr2bl w:val="nil"/>
                  </w:tcBorders>
                  <w:noWrap w:val="0"/>
                  <w:tcMar>
                    <w:left w:w="28" w:type="dxa"/>
                    <w:right w:w="28" w:type="dxa"/>
                  </w:tcMar>
                  <w:vAlign w:val="center"/>
                </w:tcPr>
                <w:p w14:paraId="6D51AFA4">
                  <w:pPr>
                    <w:keepNext w:val="0"/>
                    <w:keepLines w:val="0"/>
                    <w:pageBreakBefore w:val="0"/>
                    <w:kinsoku/>
                    <w:wordWrap/>
                    <w:overflowPunct/>
                    <w:topLinePunct w:val="0"/>
                    <w:autoSpaceDE/>
                    <w:autoSpaceDN/>
                    <w:bidi w:val="0"/>
                    <w:adjustRightInd/>
                    <w:snapToGrid/>
                    <w:spacing w:line="340" w:lineRule="exact"/>
                    <w:jc w:val="both"/>
                    <w:textAlignment w:val="auto"/>
                    <w:rPr>
                      <w:color w:val="auto"/>
                    </w:rPr>
                  </w:pPr>
                </w:p>
              </w:tc>
              <w:tc>
                <w:tcPr>
                  <w:tcW w:w="1177" w:type="dxa"/>
                  <w:vMerge w:val="continue"/>
                  <w:tcBorders>
                    <w:tl2br w:val="nil"/>
                    <w:tr2bl w:val="nil"/>
                  </w:tcBorders>
                  <w:noWrap w:val="0"/>
                  <w:tcMar>
                    <w:left w:w="28" w:type="dxa"/>
                    <w:right w:w="28" w:type="dxa"/>
                  </w:tcMar>
                  <w:vAlign w:val="center"/>
                </w:tcPr>
                <w:p w14:paraId="75C99710">
                  <w:pPr>
                    <w:keepNext w:val="0"/>
                    <w:keepLines w:val="0"/>
                    <w:pageBreakBefore w:val="0"/>
                    <w:kinsoku/>
                    <w:wordWrap/>
                    <w:overflowPunct/>
                    <w:topLinePunct w:val="0"/>
                    <w:autoSpaceDE/>
                    <w:autoSpaceDN/>
                    <w:bidi w:val="0"/>
                    <w:adjustRightInd/>
                    <w:snapToGrid/>
                    <w:spacing w:line="340" w:lineRule="exact"/>
                    <w:jc w:val="both"/>
                    <w:textAlignment w:val="auto"/>
                    <w:rPr>
                      <w:color w:val="auto"/>
                    </w:rPr>
                  </w:pPr>
                </w:p>
              </w:tc>
              <w:tc>
                <w:tcPr>
                  <w:tcW w:w="4165" w:type="dxa"/>
                  <w:tcBorders>
                    <w:tl2br w:val="nil"/>
                    <w:tr2bl w:val="nil"/>
                  </w:tcBorders>
                  <w:noWrap w:val="0"/>
                  <w:tcMar>
                    <w:left w:w="28" w:type="dxa"/>
                    <w:right w:w="28" w:type="dxa"/>
                  </w:tcMar>
                  <w:vAlign w:val="center"/>
                </w:tcPr>
                <w:p w14:paraId="1C2CEE20">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铝合金系列产品生产线位于熔铸车间东侧，</w:t>
                  </w:r>
                  <w:r>
                    <w:rPr>
                      <w:rFonts w:hint="default" w:ascii="Times New Roman" w:hAnsi="Times New Roman" w:eastAsia="宋体" w:cs="Times New Roman"/>
                      <w:color w:val="auto"/>
                      <w:kern w:val="0"/>
                      <w:sz w:val="22"/>
                      <w:szCs w:val="22"/>
                      <w:vertAlign w:val="baseline"/>
                      <w:lang w:val="en-US" w:eastAsia="zh-CN"/>
                    </w:rPr>
                    <w:t>设置60t蓄热式高效熔炼炉、35t熔保一体倾动炉、35t蓄热式高效熔炼炉及配套的铸造铸锭线、烤包器等，形成年产8.5万吨铝合金系列产品的规模。</w:t>
                  </w:r>
                </w:p>
              </w:tc>
              <w:tc>
                <w:tcPr>
                  <w:tcW w:w="971" w:type="dxa"/>
                  <w:tcBorders>
                    <w:tl2br w:val="nil"/>
                    <w:tr2bl w:val="nil"/>
                  </w:tcBorders>
                  <w:noWrap w:val="0"/>
                  <w:tcMar>
                    <w:left w:w="28" w:type="dxa"/>
                    <w:right w:w="28" w:type="dxa"/>
                  </w:tcMar>
                  <w:vAlign w:val="center"/>
                </w:tcPr>
                <w:p w14:paraId="4AE0F822">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在建</w:t>
                  </w:r>
                </w:p>
              </w:tc>
            </w:tr>
            <w:tr w14:paraId="67496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520" w:type="dxa"/>
                  <w:vMerge w:val="continue"/>
                  <w:tcBorders>
                    <w:tl2br w:val="nil"/>
                    <w:tr2bl w:val="nil"/>
                  </w:tcBorders>
                  <w:noWrap w:val="0"/>
                  <w:tcMar>
                    <w:left w:w="28" w:type="dxa"/>
                    <w:right w:w="28" w:type="dxa"/>
                  </w:tcMar>
                  <w:vAlign w:val="center"/>
                </w:tcPr>
                <w:p w14:paraId="71F1BBF2">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tcBorders>
                    <w:tl2br w:val="nil"/>
                    <w:tr2bl w:val="nil"/>
                  </w:tcBorders>
                  <w:noWrap w:val="0"/>
                  <w:tcMar>
                    <w:left w:w="28" w:type="dxa"/>
                    <w:right w:w="28" w:type="dxa"/>
                  </w:tcMar>
                  <w:vAlign w:val="center"/>
                </w:tcPr>
                <w:p w14:paraId="19DC035A">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铝回收装置车间</w:t>
                  </w:r>
                </w:p>
              </w:tc>
              <w:tc>
                <w:tcPr>
                  <w:tcW w:w="5342" w:type="dxa"/>
                  <w:gridSpan w:val="2"/>
                  <w:tcBorders>
                    <w:tl2br w:val="nil"/>
                    <w:tr2bl w:val="nil"/>
                  </w:tcBorders>
                  <w:noWrap w:val="0"/>
                  <w:tcMar>
                    <w:left w:w="28" w:type="dxa"/>
                    <w:right w:w="28" w:type="dxa"/>
                  </w:tcMar>
                  <w:vAlign w:val="center"/>
                </w:tcPr>
                <w:p w14:paraId="7EB6DEB6">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color w:val="auto"/>
                      <w:kern w:val="0"/>
                      <w:sz w:val="22"/>
                      <w:szCs w:val="22"/>
                      <w:vertAlign w:val="baseline"/>
                      <w:lang w:val="en-US" w:eastAsia="zh-CN"/>
                    </w:rPr>
                    <w:t>厂区北侧设置铝回收装置车间，内设一套铝回收装置，铝灰处理能力为450kg~550kg/批次</w:t>
                  </w:r>
                </w:p>
              </w:tc>
              <w:tc>
                <w:tcPr>
                  <w:tcW w:w="971" w:type="dxa"/>
                  <w:tcBorders>
                    <w:tl2br w:val="nil"/>
                    <w:tr2bl w:val="nil"/>
                  </w:tcBorders>
                  <w:noWrap w:val="0"/>
                  <w:tcMar>
                    <w:left w:w="28" w:type="dxa"/>
                    <w:right w:w="28" w:type="dxa"/>
                  </w:tcMar>
                  <w:vAlign w:val="center"/>
                </w:tcPr>
                <w:p w14:paraId="5E549248">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未建</w:t>
                  </w:r>
                </w:p>
              </w:tc>
            </w:tr>
            <w:tr w14:paraId="169AA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520" w:type="dxa"/>
                  <w:vMerge w:val="restart"/>
                  <w:tcBorders>
                    <w:tl2br w:val="nil"/>
                    <w:tr2bl w:val="nil"/>
                  </w:tcBorders>
                  <w:noWrap w:val="0"/>
                  <w:tcMar>
                    <w:left w:w="28" w:type="dxa"/>
                    <w:right w:w="28" w:type="dxa"/>
                  </w:tcMar>
                  <w:vAlign w:val="center"/>
                </w:tcPr>
                <w:p w14:paraId="7473F905">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辅助工程</w:t>
                  </w:r>
                </w:p>
              </w:tc>
              <w:tc>
                <w:tcPr>
                  <w:tcW w:w="1082" w:type="dxa"/>
                  <w:tcBorders>
                    <w:tl2br w:val="nil"/>
                    <w:tr2bl w:val="nil"/>
                  </w:tcBorders>
                  <w:noWrap w:val="0"/>
                  <w:tcMar>
                    <w:left w:w="28" w:type="dxa"/>
                    <w:right w:w="28" w:type="dxa"/>
                  </w:tcMar>
                  <w:vAlign w:val="center"/>
                </w:tcPr>
                <w:p w14:paraId="5849C715">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办公楼</w:t>
                  </w:r>
                </w:p>
              </w:tc>
              <w:tc>
                <w:tcPr>
                  <w:tcW w:w="5342" w:type="dxa"/>
                  <w:gridSpan w:val="2"/>
                  <w:tcBorders>
                    <w:tl2br w:val="nil"/>
                    <w:tr2bl w:val="nil"/>
                  </w:tcBorders>
                  <w:noWrap w:val="0"/>
                  <w:tcMar>
                    <w:left w:w="28" w:type="dxa"/>
                    <w:right w:w="28" w:type="dxa"/>
                  </w:tcMar>
                  <w:vAlign w:val="center"/>
                </w:tcPr>
                <w:p w14:paraId="064BB179">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snapToGrid w:val="0"/>
                      <w:color w:val="auto"/>
                      <w:kern w:val="0"/>
                      <w:sz w:val="22"/>
                      <w:szCs w:val="22"/>
                      <w:lang w:val="en-US" w:eastAsia="zh-CN"/>
                    </w:rPr>
                    <w:t>位于厂区东侧，占地面积约465m</w:t>
                  </w:r>
                  <w:r>
                    <w:rPr>
                      <w:rFonts w:hint="default" w:ascii="Times New Roman" w:hAnsi="Times New Roman" w:eastAsia="宋体" w:cs="Times New Roman"/>
                      <w:snapToGrid w:val="0"/>
                      <w:color w:val="auto"/>
                      <w:kern w:val="0"/>
                      <w:sz w:val="22"/>
                      <w:szCs w:val="22"/>
                      <w:vertAlign w:val="superscript"/>
                      <w:lang w:val="en-US" w:eastAsia="zh-CN"/>
                    </w:rPr>
                    <w:t>2</w:t>
                  </w:r>
                  <w:r>
                    <w:rPr>
                      <w:rFonts w:hint="default" w:ascii="Times New Roman" w:hAnsi="Times New Roman" w:eastAsia="宋体" w:cs="Times New Roman"/>
                      <w:snapToGrid w:val="0"/>
                      <w:color w:val="auto"/>
                      <w:kern w:val="0"/>
                      <w:sz w:val="22"/>
                      <w:szCs w:val="22"/>
                      <w:lang w:val="en-US" w:eastAsia="zh-CN"/>
                    </w:rPr>
                    <w:t>，4F，砖混结构，建筑面积1863m</w:t>
                  </w:r>
                  <w:r>
                    <w:rPr>
                      <w:rFonts w:hint="default" w:ascii="Times New Roman" w:hAnsi="Times New Roman" w:eastAsia="宋体" w:cs="Times New Roman"/>
                      <w:snapToGrid w:val="0"/>
                      <w:color w:val="auto"/>
                      <w:kern w:val="0"/>
                      <w:sz w:val="22"/>
                      <w:szCs w:val="22"/>
                      <w:vertAlign w:val="superscript"/>
                      <w:lang w:val="en-US" w:eastAsia="zh-CN"/>
                    </w:rPr>
                    <w:t>2</w:t>
                  </w:r>
                  <w:r>
                    <w:rPr>
                      <w:rFonts w:hint="default" w:ascii="Times New Roman" w:hAnsi="Times New Roman" w:eastAsia="宋体" w:cs="Times New Roman"/>
                      <w:snapToGrid w:val="0"/>
                      <w:color w:val="auto"/>
                      <w:kern w:val="0"/>
                      <w:sz w:val="22"/>
                      <w:szCs w:val="22"/>
                      <w:vertAlign w:val="baseline"/>
                      <w:lang w:val="en-US" w:eastAsia="zh-CN"/>
                    </w:rPr>
                    <w:t>，</w:t>
                  </w:r>
                  <w:r>
                    <w:rPr>
                      <w:rFonts w:hint="default" w:ascii="Times New Roman" w:hAnsi="Times New Roman" w:eastAsia="宋体" w:cs="Times New Roman"/>
                      <w:snapToGrid w:val="0"/>
                      <w:color w:val="auto"/>
                      <w:kern w:val="0"/>
                      <w:sz w:val="22"/>
                      <w:szCs w:val="22"/>
                      <w:lang w:val="en-US" w:eastAsia="zh-CN"/>
                    </w:rPr>
                    <w:t>提供人员办公</w:t>
                  </w:r>
                </w:p>
              </w:tc>
              <w:tc>
                <w:tcPr>
                  <w:tcW w:w="971" w:type="dxa"/>
                  <w:tcBorders>
                    <w:tl2br w:val="nil"/>
                    <w:tr2bl w:val="nil"/>
                  </w:tcBorders>
                  <w:noWrap w:val="0"/>
                  <w:tcMar>
                    <w:left w:w="28" w:type="dxa"/>
                    <w:right w:w="28" w:type="dxa"/>
                  </w:tcMar>
                  <w:vAlign w:val="center"/>
                </w:tcPr>
                <w:p w14:paraId="6AB9A096">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已建</w:t>
                  </w:r>
                </w:p>
              </w:tc>
            </w:tr>
            <w:tr w14:paraId="02C48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520" w:type="dxa"/>
                  <w:vMerge w:val="continue"/>
                  <w:tcBorders>
                    <w:tl2br w:val="nil"/>
                    <w:tr2bl w:val="nil"/>
                  </w:tcBorders>
                  <w:noWrap w:val="0"/>
                  <w:tcMar>
                    <w:left w:w="28" w:type="dxa"/>
                    <w:right w:w="28" w:type="dxa"/>
                  </w:tcMar>
                  <w:vAlign w:val="center"/>
                </w:tcPr>
                <w:p w14:paraId="1326F9A5">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tcBorders>
                    <w:tl2br w:val="nil"/>
                    <w:tr2bl w:val="nil"/>
                  </w:tcBorders>
                  <w:noWrap w:val="0"/>
                  <w:tcMar>
                    <w:left w:w="28" w:type="dxa"/>
                    <w:right w:w="28" w:type="dxa"/>
                  </w:tcMar>
                  <w:vAlign w:val="center"/>
                </w:tcPr>
                <w:p w14:paraId="4D591E0D">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机加区</w:t>
                  </w:r>
                </w:p>
              </w:tc>
              <w:tc>
                <w:tcPr>
                  <w:tcW w:w="5342" w:type="dxa"/>
                  <w:gridSpan w:val="2"/>
                  <w:tcBorders>
                    <w:tl2br w:val="nil"/>
                    <w:tr2bl w:val="nil"/>
                  </w:tcBorders>
                  <w:noWrap w:val="0"/>
                  <w:tcMar>
                    <w:left w:w="28" w:type="dxa"/>
                    <w:right w:w="28" w:type="dxa"/>
                  </w:tcMar>
                  <w:vAlign w:val="center"/>
                </w:tcPr>
                <w:p w14:paraId="12FA19FD">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color w:val="auto"/>
                      <w:sz w:val="22"/>
                      <w:szCs w:val="22"/>
                    </w:rPr>
                    <w:t>位于</w:t>
                  </w:r>
                  <w:r>
                    <w:rPr>
                      <w:rFonts w:hint="default" w:ascii="Times New Roman" w:hAnsi="Times New Roman" w:eastAsia="宋体" w:cs="Times New Roman"/>
                      <w:color w:val="auto"/>
                      <w:sz w:val="22"/>
                      <w:szCs w:val="22"/>
                      <w:lang w:eastAsia="zh-CN"/>
                    </w:rPr>
                    <w:t>熔铸车间</w:t>
                  </w:r>
                  <w:r>
                    <w:rPr>
                      <w:rFonts w:hint="default" w:ascii="Times New Roman" w:hAnsi="Times New Roman" w:eastAsia="宋体" w:cs="Times New Roman"/>
                      <w:color w:val="auto"/>
                      <w:sz w:val="22"/>
                      <w:szCs w:val="22"/>
                    </w:rPr>
                    <w:t>的南侧，设置了4台车床和4台锯床</w:t>
                  </w:r>
                  <w:r>
                    <w:rPr>
                      <w:rFonts w:hint="default" w:ascii="Times New Roman" w:hAnsi="Times New Roman" w:eastAsia="宋体" w:cs="Times New Roman"/>
                      <w:color w:val="auto"/>
                      <w:sz w:val="22"/>
                      <w:szCs w:val="22"/>
                      <w:lang w:eastAsia="zh-CN"/>
                    </w:rPr>
                    <w:t>；</w:t>
                  </w:r>
                </w:p>
              </w:tc>
              <w:tc>
                <w:tcPr>
                  <w:tcW w:w="971" w:type="dxa"/>
                  <w:tcBorders>
                    <w:tl2br w:val="nil"/>
                    <w:tr2bl w:val="nil"/>
                  </w:tcBorders>
                  <w:noWrap w:val="0"/>
                  <w:tcMar>
                    <w:left w:w="28" w:type="dxa"/>
                    <w:right w:w="28" w:type="dxa"/>
                  </w:tcMar>
                  <w:vAlign w:val="center"/>
                </w:tcPr>
                <w:p w14:paraId="21DD61B0">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已建</w:t>
                  </w:r>
                </w:p>
              </w:tc>
            </w:tr>
            <w:tr w14:paraId="13730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520" w:type="dxa"/>
                  <w:vMerge w:val="continue"/>
                  <w:tcBorders>
                    <w:tl2br w:val="nil"/>
                    <w:tr2bl w:val="nil"/>
                  </w:tcBorders>
                  <w:noWrap w:val="0"/>
                  <w:tcMar>
                    <w:left w:w="28" w:type="dxa"/>
                    <w:right w:w="28" w:type="dxa"/>
                  </w:tcMar>
                  <w:vAlign w:val="center"/>
                </w:tcPr>
                <w:p w14:paraId="7F028AB3">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tcBorders>
                    <w:tl2br w:val="nil"/>
                    <w:tr2bl w:val="nil"/>
                  </w:tcBorders>
                  <w:noWrap w:val="0"/>
                  <w:tcMar>
                    <w:left w:w="28" w:type="dxa"/>
                    <w:right w:w="28" w:type="dxa"/>
                  </w:tcMar>
                  <w:vAlign w:val="center"/>
                </w:tcPr>
                <w:p w14:paraId="388F2F2A">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锯切区域</w:t>
                  </w:r>
                </w:p>
              </w:tc>
              <w:tc>
                <w:tcPr>
                  <w:tcW w:w="5342" w:type="dxa"/>
                  <w:gridSpan w:val="2"/>
                  <w:tcBorders>
                    <w:tl2br w:val="nil"/>
                    <w:tr2bl w:val="nil"/>
                  </w:tcBorders>
                  <w:noWrap w:val="0"/>
                  <w:tcMar>
                    <w:left w:w="28" w:type="dxa"/>
                    <w:right w:w="28" w:type="dxa"/>
                  </w:tcMar>
                  <w:vAlign w:val="center"/>
                </w:tcPr>
                <w:p w14:paraId="4F2C2402">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color w:val="auto"/>
                      <w:sz w:val="22"/>
                      <w:szCs w:val="22"/>
                    </w:rPr>
                    <w:t>位于</w:t>
                  </w:r>
                  <w:r>
                    <w:rPr>
                      <w:rFonts w:hint="default" w:ascii="Times New Roman" w:hAnsi="Times New Roman" w:eastAsia="宋体" w:cs="Times New Roman"/>
                      <w:color w:val="auto"/>
                      <w:sz w:val="22"/>
                      <w:szCs w:val="22"/>
                      <w:lang w:eastAsia="zh-CN"/>
                    </w:rPr>
                    <w:t>熔铸车间</w:t>
                  </w:r>
                  <w:r>
                    <w:rPr>
                      <w:rFonts w:hint="default" w:ascii="Times New Roman" w:hAnsi="Times New Roman" w:eastAsia="宋体" w:cs="Times New Roman"/>
                      <w:color w:val="auto"/>
                      <w:sz w:val="22"/>
                      <w:szCs w:val="22"/>
                    </w:rPr>
                    <w:t>的南侧</w:t>
                  </w:r>
                  <w:r>
                    <w:rPr>
                      <w:rFonts w:hint="default" w:ascii="Times New Roman" w:hAnsi="Times New Roman" w:eastAsia="宋体" w:cs="Times New Roman"/>
                      <w:color w:val="auto"/>
                      <w:sz w:val="22"/>
                      <w:szCs w:val="22"/>
                      <w:lang w:eastAsia="zh-CN"/>
                    </w:rPr>
                    <w:t>，设置了</w:t>
                  </w:r>
                  <w:r>
                    <w:rPr>
                      <w:rFonts w:hint="default" w:ascii="Times New Roman" w:hAnsi="Times New Roman" w:eastAsia="宋体" w:cs="Times New Roman"/>
                      <w:color w:val="auto"/>
                      <w:sz w:val="22"/>
                      <w:szCs w:val="22"/>
                      <w:lang w:val="en-US" w:eastAsia="zh-CN"/>
                    </w:rPr>
                    <w:t>2套铝棒锯切车皮生产系统</w:t>
                  </w:r>
                </w:p>
              </w:tc>
              <w:tc>
                <w:tcPr>
                  <w:tcW w:w="971" w:type="dxa"/>
                  <w:tcBorders>
                    <w:tl2br w:val="nil"/>
                    <w:tr2bl w:val="nil"/>
                  </w:tcBorders>
                  <w:noWrap w:val="0"/>
                  <w:tcMar>
                    <w:left w:w="28" w:type="dxa"/>
                    <w:right w:w="28" w:type="dxa"/>
                  </w:tcMar>
                  <w:vAlign w:val="center"/>
                </w:tcPr>
                <w:p w14:paraId="636C992C">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已建</w:t>
                  </w:r>
                </w:p>
              </w:tc>
            </w:tr>
            <w:tr w14:paraId="1C03B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520" w:type="dxa"/>
                  <w:vMerge w:val="continue"/>
                  <w:tcBorders>
                    <w:tl2br w:val="nil"/>
                    <w:tr2bl w:val="nil"/>
                  </w:tcBorders>
                  <w:noWrap w:val="0"/>
                  <w:tcMar>
                    <w:left w:w="28" w:type="dxa"/>
                    <w:right w:w="28" w:type="dxa"/>
                  </w:tcMar>
                  <w:vAlign w:val="center"/>
                </w:tcPr>
                <w:p w14:paraId="65AB7F70">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tcBorders>
                    <w:tl2br w:val="nil"/>
                    <w:tr2bl w:val="nil"/>
                  </w:tcBorders>
                  <w:noWrap w:val="0"/>
                  <w:tcMar>
                    <w:left w:w="28" w:type="dxa"/>
                    <w:right w:w="28" w:type="dxa"/>
                  </w:tcMar>
                  <w:vAlign w:val="center"/>
                </w:tcPr>
                <w:p w14:paraId="39A6E814">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均质区</w:t>
                  </w:r>
                </w:p>
              </w:tc>
              <w:tc>
                <w:tcPr>
                  <w:tcW w:w="5342" w:type="dxa"/>
                  <w:gridSpan w:val="2"/>
                  <w:tcBorders>
                    <w:tl2br w:val="nil"/>
                    <w:tr2bl w:val="nil"/>
                  </w:tcBorders>
                  <w:noWrap w:val="0"/>
                  <w:tcMar>
                    <w:left w:w="28" w:type="dxa"/>
                    <w:right w:w="28" w:type="dxa"/>
                  </w:tcMar>
                  <w:vAlign w:val="center"/>
                </w:tcPr>
                <w:p w14:paraId="73841B9D">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color w:val="auto"/>
                      <w:sz w:val="22"/>
                      <w:szCs w:val="22"/>
                      <w:lang w:eastAsia="zh-CN"/>
                    </w:rPr>
                    <w:t>位于熔铸车间的南侧，设置了</w:t>
                  </w:r>
                  <w:r>
                    <w:rPr>
                      <w:rFonts w:hint="default" w:ascii="Times New Roman" w:hAnsi="Times New Roman" w:eastAsia="宋体" w:cs="Times New Roman"/>
                      <w:color w:val="auto"/>
                      <w:sz w:val="22"/>
                      <w:szCs w:val="22"/>
                      <w:lang w:val="en-US" w:eastAsia="zh-CN"/>
                    </w:rPr>
                    <w:t>2台均质炉</w:t>
                  </w:r>
                </w:p>
              </w:tc>
              <w:tc>
                <w:tcPr>
                  <w:tcW w:w="971" w:type="dxa"/>
                  <w:tcBorders>
                    <w:tl2br w:val="nil"/>
                    <w:tr2bl w:val="nil"/>
                  </w:tcBorders>
                  <w:noWrap w:val="0"/>
                  <w:tcMar>
                    <w:left w:w="28" w:type="dxa"/>
                    <w:right w:w="28" w:type="dxa"/>
                  </w:tcMar>
                  <w:vAlign w:val="center"/>
                </w:tcPr>
                <w:p w14:paraId="79E2A989">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已建</w:t>
                  </w:r>
                </w:p>
              </w:tc>
            </w:tr>
            <w:tr w14:paraId="64033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520" w:type="dxa"/>
                  <w:vMerge w:val="restart"/>
                  <w:tcBorders>
                    <w:tl2br w:val="nil"/>
                    <w:tr2bl w:val="nil"/>
                  </w:tcBorders>
                  <w:noWrap w:val="0"/>
                  <w:tcMar>
                    <w:left w:w="28" w:type="dxa"/>
                    <w:right w:w="28" w:type="dxa"/>
                  </w:tcMar>
                  <w:vAlign w:val="center"/>
                </w:tcPr>
                <w:p w14:paraId="458F149D">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储运工程</w:t>
                  </w:r>
                </w:p>
              </w:tc>
              <w:tc>
                <w:tcPr>
                  <w:tcW w:w="1082" w:type="dxa"/>
                  <w:tcBorders>
                    <w:tl2br w:val="nil"/>
                    <w:tr2bl w:val="nil"/>
                  </w:tcBorders>
                  <w:noWrap w:val="0"/>
                  <w:tcMar>
                    <w:left w:w="28" w:type="dxa"/>
                    <w:right w:w="28" w:type="dxa"/>
                  </w:tcMar>
                  <w:vAlign w:val="center"/>
                </w:tcPr>
                <w:p w14:paraId="6CB3B77C">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bidi="ar-SA"/>
                    </w:rPr>
                    <w:t>原材料及成品区</w:t>
                  </w:r>
                </w:p>
              </w:tc>
              <w:tc>
                <w:tcPr>
                  <w:tcW w:w="5342" w:type="dxa"/>
                  <w:gridSpan w:val="2"/>
                  <w:tcBorders>
                    <w:tl2br w:val="nil"/>
                    <w:tr2bl w:val="nil"/>
                  </w:tcBorders>
                  <w:noWrap w:val="0"/>
                  <w:tcMar>
                    <w:left w:w="28" w:type="dxa"/>
                    <w:right w:w="28" w:type="dxa"/>
                  </w:tcMar>
                  <w:vAlign w:val="center"/>
                </w:tcPr>
                <w:p w14:paraId="428A6306">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b w:val="0"/>
                      <w:bCs/>
                      <w:color w:val="auto"/>
                      <w:kern w:val="0"/>
                      <w:sz w:val="22"/>
                      <w:szCs w:val="22"/>
                      <w:vertAlign w:val="baseline"/>
                      <w:lang w:val="en-US" w:eastAsia="zh-CN" w:bidi="ar-SA"/>
                    </w:rPr>
                  </w:pPr>
                  <w:r>
                    <w:rPr>
                      <w:rFonts w:hint="default" w:ascii="Times New Roman" w:hAnsi="Times New Roman" w:eastAsia="宋体" w:cs="Times New Roman"/>
                      <w:b w:val="0"/>
                      <w:bCs/>
                      <w:color w:val="auto"/>
                      <w:sz w:val="22"/>
                      <w:szCs w:val="22"/>
                      <w:lang w:bidi="ar"/>
                    </w:rPr>
                    <w:t>位于</w:t>
                  </w:r>
                  <w:r>
                    <w:rPr>
                      <w:rFonts w:hint="default" w:ascii="Times New Roman" w:hAnsi="Times New Roman" w:eastAsia="宋体" w:cs="Times New Roman"/>
                      <w:b w:val="0"/>
                      <w:bCs/>
                      <w:color w:val="auto"/>
                      <w:sz w:val="22"/>
                      <w:szCs w:val="22"/>
                      <w:lang w:val="en-US" w:eastAsia="zh-CN" w:bidi="ar"/>
                    </w:rPr>
                    <w:t>熔铸车间中部</w:t>
                  </w:r>
                  <w:r>
                    <w:rPr>
                      <w:rFonts w:hint="default" w:ascii="Times New Roman" w:hAnsi="Times New Roman" w:eastAsia="宋体" w:cs="Times New Roman"/>
                      <w:b w:val="0"/>
                      <w:bCs/>
                      <w:color w:val="auto"/>
                      <w:sz w:val="22"/>
                      <w:szCs w:val="22"/>
                      <w:lang w:bidi="ar"/>
                    </w:rPr>
                    <w:t>，</w:t>
                  </w:r>
                  <w:r>
                    <w:rPr>
                      <w:rFonts w:hint="default" w:ascii="Times New Roman" w:hAnsi="Times New Roman" w:eastAsia="宋体" w:cs="Times New Roman"/>
                      <w:b w:val="0"/>
                      <w:bCs/>
                      <w:color w:val="auto"/>
                      <w:sz w:val="22"/>
                      <w:szCs w:val="22"/>
                      <w:lang w:val="en-US" w:eastAsia="zh-CN" w:bidi="ar"/>
                    </w:rPr>
                    <w:t>占地</w:t>
                  </w:r>
                  <w:r>
                    <w:rPr>
                      <w:rFonts w:hint="default" w:ascii="Times New Roman" w:hAnsi="Times New Roman" w:eastAsia="宋体" w:cs="Times New Roman"/>
                      <w:b w:val="0"/>
                      <w:bCs/>
                      <w:color w:val="auto"/>
                      <w:sz w:val="22"/>
                      <w:szCs w:val="22"/>
                      <w:lang w:bidi="ar"/>
                    </w:rPr>
                    <w:t>面积</w:t>
                  </w:r>
                  <w:r>
                    <w:rPr>
                      <w:rFonts w:hint="default" w:ascii="Times New Roman" w:hAnsi="Times New Roman" w:eastAsia="宋体" w:cs="Times New Roman"/>
                      <w:b w:val="0"/>
                      <w:bCs/>
                      <w:color w:val="auto"/>
                      <w:sz w:val="22"/>
                      <w:szCs w:val="22"/>
                      <w:lang w:val="en-US" w:eastAsia="zh-CN" w:bidi="ar"/>
                    </w:rPr>
                    <w:t>800</w:t>
                  </w:r>
                  <w:r>
                    <w:rPr>
                      <w:rFonts w:hint="default" w:ascii="Times New Roman" w:hAnsi="Times New Roman" w:eastAsia="宋体" w:cs="Times New Roman"/>
                      <w:b w:val="0"/>
                      <w:bCs/>
                      <w:color w:val="auto"/>
                      <w:sz w:val="22"/>
                      <w:szCs w:val="22"/>
                      <w:lang w:bidi="ar"/>
                    </w:rPr>
                    <w:t>m</w:t>
                  </w:r>
                  <w:r>
                    <w:rPr>
                      <w:rFonts w:hint="default" w:ascii="Times New Roman" w:hAnsi="Times New Roman" w:eastAsia="宋体" w:cs="Times New Roman"/>
                      <w:b w:val="0"/>
                      <w:bCs/>
                      <w:color w:val="auto"/>
                      <w:sz w:val="22"/>
                      <w:szCs w:val="22"/>
                      <w:vertAlign w:val="superscript"/>
                      <w:lang w:bidi="ar"/>
                    </w:rPr>
                    <w:t>2</w:t>
                  </w:r>
                  <w:r>
                    <w:rPr>
                      <w:rFonts w:hint="default" w:ascii="Times New Roman" w:hAnsi="Times New Roman" w:eastAsia="宋体" w:cs="Times New Roman"/>
                      <w:b w:val="0"/>
                      <w:bCs/>
                      <w:snapToGrid w:val="0"/>
                      <w:color w:val="auto"/>
                      <w:kern w:val="0"/>
                      <w:sz w:val="22"/>
                      <w:szCs w:val="22"/>
                      <w:lang w:val="en-US" w:eastAsia="zh-CN"/>
                    </w:rPr>
                    <w:t>，暂存纯铝锭、工业硅、金属铜等熔炼原材料及铝棒成品</w:t>
                  </w:r>
                </w:p>
              </w:tc>
              <w:tc>
                <w:tcPr>
                  <w:tcW w:w="971" w:type="dxa"/>
                  <w:tcBorders>
                    <w:tl2br w:val="nil"/>
                    <w:tr2bl w:val="nil"/>
                  </w:tcBorders>
                  <w:noWrap w:val="0"/>
                  <w:tcMar>
                    <w:left w:w="28" w:type="dxa"/>
                    <w:right w:w="28" w:type="dxa"/>
                  </w:tcMar>
                  <w:vAlign w:val="center"/>
                </w:tcPr>
                <w:p w14:paraId="74B86EFB">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val="0"/>
                      <w:bCs/>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已建</w:t>
                  </w:r>
                </w:p>
              </w:tc>
            </w:tr>
            <w:tr w14:paraId="5B31C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520" w:type="dxa"/>
                  <w:vMerge w:val="continue"/>
                  <w:tcBorders>
                    <w:tl2br w:val="nil"/>
                    <w:tr2bl w:val="nil"/>
                  </w:tcBorders>
                  <w:noWrap w:val="0"/>
                  <w:tcMar>
                    <w:left w:w="28" w:type="dxa"/>
                    <w:right w:w="28" w:type="dxa"/>
                  </w:tcMar>
                  <w:vAlign w:val="center"/>
                </w:tcPr>
                <w:p w14:paraId="4477BDEB">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tcBorders>
                    <w:tl2br w:val="nil"/>
                    <w:tr2bl w:val="nil"/>
                  </w:tcBorders>
                  <w:noWrap w:val="0"/>
                  <w:tcMar>
                    <w:left w:w="28" w:type="dxa"/>
                    <w:right w:w="28" w:type="dxa"/>
                  </w:tcMar>
                  <w:vAlign w:val="center"/>
                </w:tcPr>
                <w:p w14:paraId="4BAA7DFB">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bidi="ar-SA"/>
                    </w:rPr>
                    <w:t>原材料区</w:t>
                  </w:r>
                </w:p>
              </w:tc>
              <w:tc>
                <w:tcPr>
                  <w:tcW w:w="5342" w:type="dxa"/>
                  <w:gridSpan w:val="2"/>
                  <w:tcBorders>
                    <w:tl2br w:val="nil"/>
                    <w:tr2bl w:val="nil"/>
                  </w:tcBorders>
                  <w:noWrap w:val="0"/>
                  <w:tcMar>
                    <w:left w:w="28" w:type="dxa"/>
                    <w:right w:w="28" w:type="dxa"/>
                  </w:tcMar>
                  <w:vAlign w:val="center"/>
                </w:tcPr>
                <w:p w14:paraId="4850C263">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bCs/>
                      <w:color w:val="auto"/>
                      <w:sz w:val="22"/>
                      <w:szCs w:val="22"/>
                      <w:lang w:bidi="ar"/>
                    </w:rPr>
                  </w:pPr>
                  <w:r>
                    <w:rPr>
                      <w:rFonts w:hint="default" w:ascii="Times New Roman" w:hAnsi="Times New Roman" w:eastAsia="宋体" w:cs="Times New Roman"/>
                      <w:bCs/>
                      <w:color w:val="auto"/>
                      <w:sz w:val="22"/>
                      <w:szCs w:val="22"/>
                      <w:lang w:bidi="ar"/>
                    </w:rPr>
                    <w:t>位于</w:t>
                  </w:r>
                  <w:r>
                    <w:rPr>
                      <w:rFonts w:hint="default" w:ascii="Times New Roman" w:hAnsi="Times New Roman" w:eastAsia="宋体" w:cs="Times New Roman"/>
                      <w:bCs/>
                      <w:color w:val="auto"/>
                      <w:sz w:val="22"/>
                      <w:szCs w:val="22"/>
                      <w:lang w:val="en-US" w:eastAsia="zh-CN" w:bidi="ar"/>
                    </w:rPr>
                    <w:t>熔铸车间东侧</w:t>
                  </w:r>
                  <w:r>
                    <w:rPr>
                      <w:rFonts w:hint="default" w:ascii="Times New Roman" w:hAnsi="Times New Roman" w:eastAsia="宋体" w:cs="Times New Roman"/>
                      <w:bCs/>
                      <w:color w:val="auto"/>
                      <w:sz w:val="22"/>
                      <w:szCs w:val="22"/>
                      <w:lang w:bidi="ar"/>
                    </w:rPr>
                    <w:t>，</w:t>
                  </w:r>
                  <w:r>
                    <w:rPr>
                      <w:rFonts w:hint="default" w:ascii="Times New Roman" w:hAnsi="Times New Roman" w:eastAsia="宋体" w:cs="Times New Roman"/>
                      <w:bCs/>
                      <w:color w:val="auto"/>
                      <w:sz w:val="22"/>
                      <w:szCs w:val="22"/>
                      <w:lang w:val="en-US" w:eastAsia="zh-CN" w:bidi="ar"/>
                    </w:rPr>
                    <w:t>占地</w:t>
                  </w:r>
                  <w:r>
                    <w:rPr>
                      <w:rFonts w:hint="default" w:ascii="Times New Roman" w:hAnsi="Times New Roman" w:eastAsia="宋体" w:cs="Times New Roman"/>
                      <w:bCs/>
                      <w:color w:val="auto"/>
                      <w:sz w:val="22"/>
                      <w:szCs w:val="22"/>
                      <w:lang w:bidi="ar"/>
                    </w:rPr>
                    <w:t>面积100m</w:t>
                  </w:r>
                  <w:r>
                    <w:rPr>
                      <w:rFonts w:hint="default" w:ascii="Times New Roman" w:hAnsi="Times New Roman" w:eastAsia="宋体" w:cs="Times New Roman"/>
                      <w:bCs/>
                      <w:color w:val="auto"/>
                      <w:sz w:val="22"/>
                      <w:szCs w:val="22"/>
                      <w:vertAlign w:val="superscript"/>
                      <w:lang w:bidi="ar"/>
                    </w:rPr>
                    <w:t>2</w:t>
                  </w:r>
                  <w:r>
                    <w:rPr>
                      <w:rFonts w:hint="default" w:ascii="Times New Roman" w:hAnsi="Times New Roman" w:eastAsia="宋体" w:cs="Times New Roman"/>
                      <w:snapToGrid w:val="0"/>
                      <w:color w:val="auto"/>
                      <w:kern w:val="0"/>
                      <w:sz w:val="22"/>
                      <w:szCs w:val="22"/>
                      <w:lang w:val="en-US" w:eastAsia="zh-CN"/>
                    </w:rPr>
                    <w:t>，暂存</w:t>
                  </w:r>
                  <w:r>
                    <w:rPr>
                      <w:rFonts w:hint="default" w:ascii="Times New Roman" w:hAnsi="Times New Roman" w:eastAsia="宋体" w:cs="Times New Roman"/>
                      <w:b w:val="0"/>
                      <w:bCs/>
                      <w:snapToGrid w:val="0"/>
                      <w:color w:val="auto"/>
                      <w:kern w:val="0"/>
                      <w:sz w:val="22"/>
                      <w:szCs w:val="22"/>
                      <w:lang w:val="en-US" w:eastAsia="zh-CN"/>
                    </w:rPr>
                    <w:t>纯铝锭、工业硅、金属铜、精炼剂等</w:t>
                  </w:r>
                </w:p>
              </w:tc>
              <w:tc>
                <w:tcPr>
                  <w:tcW w:w="971" w:type="dxa"/>
                  <w:tcBorders>
                    <w:tl2br w:val="nil"/>
                    <w:tr2bl w:val="nil"/>
                  </w:tcBorders>
                  <w:noWrap w:val="0"/>
                  <w:tcMar>
                    <w:left w:w="28" w:type="dxa"/>
                    <w:right w:w="28" w:type="dxa"/>
                  </w:tcMar>
                  <w:vAlign w:val="center"/>
                </w:tcPr>
                <w:p w14:paraId="100C79B4">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已建</w:t>
                  </w:r>
                </w:p>
              </w:tc>
            </w:tr>
            <w:tr w14:paraId="0C4CB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520" w:type="dxa"/>
                  <w:vMerge w:val="continue"/>
                  <w:tcBorders>
                    <w:tl2br w:val="nil"/>
                    <w:tr2bl w:val="nil"/>
                  </w:tcBorders>
                  <w:noWrap w:val="0"/>
                  <w:tcMar>
                    <w:left w:w="28" w:type="dxa"/>
                    <w:right w:w="28" w:type="dxa"/>
                  </w:tcMar>
                  <w:vAlign w:val="center"/>
                </w:tcPr>
                <w:p w14:paraId="6ABBF8D9">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tcBorders>
                    <w:tl2br w:val="nil"/>
                    <w:tr2bl w:val="nil"/>
                  </w:tcBorders>
                  <w:noWrap w:val="0"/>
                  <w:tcMar>
                    <w:left w:w="28" w:type="dxa"/>
                    <w:right w:w="28" w:type="dxa"/>
                  </w:tcMar>
                  <w:vAlign w:val="center"/>
                </w:tcPr>
                <w:p w14:paraId="5C734C8E">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bidi="ar-SA"/>
                    </w:rPr>
                    <w:t>油库</w:t>
                  </w:r>
                </w:p>
              </w:tc>
              <w:tc>
                <w:tcPr>
                  <w:tcW w:w="5342" w:type="dxa"/>
                  <w:gridSpan w:val="2"/>
                  <w:tcBorders>
                    <w:tl2br w:val="nil"/>
                    <w:tr2bl w:val="nil"/>
                  </w:tcBorders>
                  <w:noWrap w:val="0"/>
                  <w:tcMar>
                    <w:left w:w="28" w:type="dxa"/>
                    <w:right w:w="28" w:type="dxa"/>
                  </w:tcMar>
                  <w:vAlign w:val="center"/>
                </w:tcPr>
                <w:p w14:paraId="6A31259D">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bCs/>
                      <w:color w:val="auto"/>
                      <w:sz w:val="22"/>
                      <w:szCs w:val="22"/>
                      <w:lang w:bidi="ar"/>
                    </w:rPr>
                    <w:t>位于厂区东侧，建筑面积</w:t>
                  </w:r>
                  <w:r>
                    <w:rPr>
                      <w:rFonts w:hint="default" w:ascii="Times New Roman" w:hAnsi="Times New Roman" w:eastAsia="宋体" w:cs="Times New Roman"/>
                      <w:bCs/>
                      <w:color w:val="auto"/>
                      <w:sz w:val="22"/>
                      <w:szCs w:val="22"/>
                      <w:lang w:val="en-US" w:eastAsia="zh-CN" w:bidi="ar"/>
                    </w:rPr>
                    <w:t>15</w:t>
                  </w:r>
                  <w:r>
                    <w:rPr>
                      <w:rFonts w:hint="default" w:ascii="Times New Roman" w:hAnsi="Times New Roman" w:eastAsia="宋体" w:cs="Times New Roman"/>
                      <w:bCs/>
                      <w:color w:val="auto"/>
                      <w:sz w:val="22"/>
                      <w:szCs w:val="22"/>
                      <w:lang w:bidi="ar"/>
                    </w:rPr>
                    <w:t>m</w:t>
                  </w:r>
                  <w:r>
                    <w:rPr>
                      <w:rFonts w:hint="default" w:ascii="Times New Roman" w:hAnsi="Times New Roman" w:eastAsia="宋体" w:cs="Times New Roman"/>
                      <w:bCs/>
                      <w:color w:val="auto"/>
                      <w:sz w:val="22"/>
                      <w:szCs w:val="22"/>
                      <w:vertAlign w:val="superscript"/>
                      <w:lang w:bidi="ar"/>
                    </w:rPr>
                    <w:t>2</w:t>
                  </w:r>
                  <w:r>
                    <w:rPr>
                      <w:rFonts w:hint="default" w:ascii="Times New Roman" w:hAnsi="Times New Roman" w:eastAsia="宋体" w:cs="Times New Roman"/>
                      <w:snapToGrid w:val="0"/>
                      <w:color w:val="auto"/>
                      <w:kern w:val="0"/>
                      <w:sz w:val="22"/>
                      <w:szCs w:val="22"/>
                      <w:lang w:val="en-US" w:eastAsia="zh-CN"/>
                    </w:rPr>
                    <w:t>，暂存柴油、润滑油、切削液等油品</w:t>
                  </w:r>
                </w:p>
              </w:tc>
              <w:tc>
                <w:tcPr>
                  <w:tcW w:w="971" w:type="dxa"/>
                  <w:tcBorders>
                    <w:tl2br w:val="nil"/>
                    <w:tr2bl w:val="nil"/>
                  </w:tcBorders>
                  <w:noWrap w:val="0"/>
                  <w:tcMar>
                    <w:left w:w="28" w:type="dxa"/>
                    <w:right w:w="28" w:type="dxa"/>
                  </w:tcMar>
                  <w:vAlign w:val="center"/>
                </w:tcPr>
                <w:p w14:paraId="262D956E">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已建</w:t>
                  </w:r>
                </w:p>
              </w:tc>
            </w:tr>
            <w:tr w14:paraId="14DD91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520" w:type="dxa"/>
                  <w:vMerge w:val="restart"/>
                  <w:tcBorders>
                    <w:tl2br w:val="nil"/>
                    <w:tr2bl w:val="nil"/>
                  </w:tcBorders>
                  <w:noWrap w:val="0"/>
                  <w:tcMar>
                    <w:left w:w="28" w:type="dxa"/>
                    <w:right w:w="28" w:type="dxa"/>
                  </w:tcMar>
                  <w:vAlign w:val="center"/>
                </w:tcPr>
                <w:p w14:paraId="326D0FC2">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公用工程</w:t>
                  </w:r>
                </w:p>
              </w:tc>
              <w:tc>
                <w:tcPr>
                  <w:tcW w:w="1082" w:type="dxa"/>
                  <w:tcBorders>
                    <w:tl2br w:val="nil"/>
                    <w:tr2bl w:val="nil"/>
                  </w:tcBorders>
                  <w:noWrap w:val="0"/>
                  <w:tcMar>
                    <w:left w:w="28" w:type="dxa"/>
                    <w:right w:w="28" w:type="dxa"/>
                  </w:tcMar>
                  <w:vAlign w:val="center"/>
                </w:tcPr>
                <w:p w14:paraId="23633306">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供水</w:t>
                  </w:r>
                </w:p>
              </w:tc>
              <w:tc>
                <w:tcPr>
                  <w:tcW w:w="5342" w:type="dxa"/>
                  <w:gridSpan w:val="2"/>
                  <w:tcBorders>
                    <w:tl2br w:val="nil"/>
                    <w:tr2bl w:val="nil"/>
                  </w:tcBorders>
                  <w:noWrap w:val="0"/>
                  <w:tcMar>
                    <w:left w:w="28" w:type="dxa"/>
                    <w:right w:w="28" w:type="dxa"/>
                  </w:tcMar>
                  <w:vAlign w:val="center"/>
                </w:tcPr>
                <w:p w14:paraId="7F400B5A">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sz w:val="22"/>
                      <w:szCs w:val="22"/>
                    </w:rPr>
                    <w:t>生活用水和生产用水均由西南铝业供应</w:t>
                  </w:r>
                </w:p>
              </w:tc>
              <w:tc>
                <w:tcPr>
                  <w:tcW w:w="971" w:type="dxa"/>
                  <w:tcBorders>
                    <w:tl2br w:val="nil"/>
                    <w:tr2bl w:val="nil"/>
                  </w:tcBorders>
                  <w:noWrap w:val="0"/>
                  <w:tcMar>
                    <w:left w:w="28" w:type="dxa"/>
                    <w:right w:w="28" w:type="dxa"/>
                  </w:tcMar>
                  <w:vAlign w:val="center"/>
                </w:tcPr>
                <w:p w14:paraId="646EC413">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已建</w:t>
                  </w:r>
                </w:p>
              </w:tc>
            </w:tr>
            <w:tr w14:paraId="34EDE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520" w:type="dxa"/>
                  <w:vMerge w:val="continue"/>
                  <w:tcBorders>
                    <w:tl2br w:val="nil"/>
                    <w:tr2bl w:val="nil"/>
                  </w:tcBorders>
                  <w:noWrap w:val="0"/>
                  <w:tcMar>
                    <w:left w:w="28" w:type="dxa"/>
                    <w:right w:w="28" w:type="dxa"/>
                  </w:tcMar>
                  <w:vAlign w:val="center"/>
                </w:tcPr>
                <w:p w14:paraId="154109FA">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tcBorders>
                    <w:tl2br w:val="nil"/>
                    <w:tr2bl w:val="nil"/>
                  </w:tcBorders>
                  <w:noWrap w:val="0"/>
                  <w:tcMar>
                    <w:left w:w="28" w:type="dxa"/>
                    <w:right w:w="28" w:type="dxa"/>
                  </w:tcMar>
                  <w:vAlign w:val="center"/>
                </w:tcPr>
                <w:p w14:paraId="231943A3">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排水</w:t>
                  </w:r>
                </w:p>
              </w:tc>
              <w:tc>
                <w:tcPr>
                  <w:tcW w:w="5342" w:type="dxa"/>
                  <w:gridSpan w:val="2"/>
                  <w:tcBorders>
                    <w:tl2br w:val="nil"/>
                    <w:tr2bl w:val="nil"/>
                  </w:tcBorders>
                  <w:noWrap w:val="0"/>
                  <w:tcMar>
                    <w:left w:w="28" w:type="dxa"/>
                    <w:right w:w="28" w:type="dxa"/>
                  </w:tcMar>
                  <w:vAlign w:val="center"/>
                </w:tcPr>
                <w:p w14:paraId="0B9C9567">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sz w:val="22"/>
                      <w:szCs w:val="22"/>
                      <w:lang w:val="en-US"/>
                    </w:rPr>
                  </w:pPr>
                  <w:r>
                    <w:rPr>
                      <w:rFonts w:hint="default" w:ascii="Times New Roman" w:hAnsi="Times New Roman" w:eastAsia="宋体" w:cs="Times New Roman"/>
                      <w:color w:val="auto"/>
                      <w:sz w:val="22"/>
                      <w:szCs w:val="22"/>
                      <w:lang w:val="en-US" w:eastAsia="zh-CN"/>
                    </w:rPr>
                    <w:t>实行雨污分流制，雨水经雨水管网收集后排入市政雨水管网，生活污水经厂区生化池处理达标后排放至市政污水管网</w:t>
                  </w:r>
                </w:p>
              </w:tc>
              <w:tc>
                <w:tcPr>
                  <w:tcW w:w="971" w:type="dxa"/>
                  <w:tcBorders>
                    <w:tl2br w:val="nil"/>
                    <w:tr2bl w:val="nil"/>
                  </w:tcBorders>
                  <w:noWrap w:val="0"/>
                  <w:tcMar>
                    <w:left w:w="28" w:type="dxa"/>
                    <w:right w:w="28" w:type="dxa"/>
                  </w:tcMar>
                  <w:vAlign w:val="center"/>
                </w:tcPr>
                <w:p w14:paraId="1E169DCA">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已建</w:t>
                  </w:r>
                </w:p>
              </w:tc>
            </w:tr>
            <w:tr w14:paraId="5410B0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520" w:type="dxa"/>
                  <w:vMerge w:val="continue"/>
                  <w:tcBorders>
                    <w:tl2br w:val="nil"/>
                    <w:tr2bl w:val="nil"/>
                  </w:tcBorders>
                  <w:noWrap w:val="0"/>
                  <w:tcMar>
                    <w:left w:w="28" w:type="dxa"/>
                    <w:right w:w="28" w:type="dxa"/>
                  </w:tcMar>
                  <w:vAlign w:val="center"/>
                </w:tcPr>
                <w:p w14:paraId="67E08943">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tcBorders>
                    <w:tl2br w:val="nil"/>
                    <w:tr2bl w:val="nil"/>
                  </w:tcBorders>
                  <w:noWrap w:val="0"/>
                  <w:tcMar>
                    <w:left w:w="28" w:type="dxa"/>
                    <w:right w:w="28" w:type="dxa"/>
                  </w:tcMar>
                  <w:vAlign w:val="center"/>
                </w:tcPr>
                <w:p w14:paraId="040BFA7B">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供电</w:t>
                  </w:r>
                </w:p>
              </w:tc>
              <w:tc>
                <w:tcPr>
                  <w:tcW w:w="5342" w:type="dxa"/>
                  <w:gridSpan w:val="2"/>
                  <w:tcBorders>
                    <w:tl2br w:val="nil"/>
                    <w:tr2bl w:val="nil"/>
                  </w:tcBorders>
                  <w:noWrap w:val="0"/>
                  <w:tcMar>
                    <w:left w:w="28" w:type="dxa"/>
                    <w:right w:w="28" w:type="dxa"/>
                  </w:tcMar>
                  <w:vAlign w:val="center"/>
                </w:tcPr>
                <w:p w14:paraId="564AB867">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sz w:val="22"/>
                      <w:szCs w:val="22"/>
                    </w:rPr>
                    <w:t>西南铝业供电，经厂内变压器以380V和220V为用电设施配电，满足项目用电需求</w:t>
                  </w:r>
                </w:p>
              </w:tc>
              <w:tc>
                <w:tcPr>
                  <w:tcW w:w="971" w:type="dxa"/>
                  <w:tcBorders>
                    <w:tl2br w:val="nil"/>
                    <w:tr2bl w:val="nil"/>
                  </w:tcBorders>
                  <w:noWrap w:val="0"/>
                  <w:tcMar>
                    <w:left w:w="28" w:type="dxa"/>
                    <w:right w:w="28" w:type="dxa"/>
                  </w:tcMar>
                  <w:vAlign w:val="center"/>
                </w:tcPr>
                <w:p w14:paraId="7F2CD990">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已建</w:t>
                  </w:r>
                </w:p>
              </w:tc>
            </w:tr>
            <w:tr w14:paraId="4D5C2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520" w:type="dxa"/>
                  <w:vMerge w:val="continue"/>
                  <w:tcBorders>
                    <w:tl2br w:val="nil"/>
                    <w:tr2bl w:val="nil"/>
                  </w:tcBorders>
                  <w:noWrap w:val="0"/>
                  <w:tcMar>
                    <w:left w:w="28" w:type="dxa"/>
                    <w:right w:w="28" w:type="dxa"/>
                  </w:tcMar>
                  <w:vAlign w:val="center"/>
                </w:tcPr>
                <w:p w14:paraId="5E9A4CCD">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tcBorders>
                    <w:tl2br w:val="nil"/>
                    <w:tr2bl w:val="nil"/>
                  </w:tcBorders>
                  <w:noWrap w:val="0"/>
                  <w:tcMar>
                    <w:left w:w="28" w:type="dxa"/>
                    <w:right w:w="28" w:type="dxa"/>
                  </w:tcMar>
                  <w:vAlign w:val="center"/>
                </w:tcPr>
                <w:p w14:paraId="1AC3B87D">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天然气</w:t>
                  </w:r>
                </w:p>
              </w:tc>
              <w:tc>
                <w:tcPr>
                  <w:tcW w:w="5342" w:type="dxa"/>
                  <w:gridSpan w:val="2"/>
                  <w:tcBorders>
                    <w:tl2br w:val="nil"/>
                    <w:tr2bl w:val="nil"/>
                  </w:tcBorders>
                  <w:noWrap w:val="0"/>
                  <w:tcMar>
                    <w:left w:w="28" w:type="dxa"/>
                    <w:right w:w="28" w:type="dxa"/>
                  </w:tcMar>
                  <w:vAlign w:val="center"/>
                </w:tcPr>
                <w:p w14:paraId="1902A9FF">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市政天然气管网</w:t>
                  </w:r>
                </w:p>
              </w:tc>
              <w:tc>
                <w:tcPr>
                  <w:tcW w:w="971" w:type="dxa"/>
                  <w:tcBorders>
                    <w:tl2br w:val="nil"/>
                    <w:tr2bl w:val="nil"/>
                  </w:tcBorders>
                  <w:noWrap w:val="0"/>
                  <w:tcMar>
                    <w:left w:w="28" w:type="dxa"/>
                    <w:right w:w="28" w:type="dxa"/>
                  </w:tcMar>
                  <w:vAlign w:val="center"/>
                </w:tcPr>
                <w:p w14:paraId="1803E200">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已建</w:t>
                  </w:r>
                </w:p>
              </w:tc>
            </w:tr>
            <w:tr w14:paraId="5D5AEB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520" w:type="dxa"/>
                  <w:vMerge w:val="continue"/>
                  <w:tcBorders>
                    <w:tl2br w:val="nil"/>
                    <w:tr2bl w:val="nil"/>
                  </w:tcBorders>
                  <w:noWrap w:val="0"/>
                  <w:tcMar>
                    <w:left w:w="28" w:type="dxa"/>
                    <w:right w:w="28" w:type="dxa"/>
                  </w:tcMar>
                  <w:vAlign w:val="center"/>
                </w:tcPr>
                <w:p w14:paraId="0D2C5D45">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tcBorders>
                    <w:tl2br w:val="nil"/>
                    <w:tr2bl w:val="nil"/>
                  </w:tcBorders>
                  <w:noWrap w:val="0"/>
                  <w:tcMar>
                    <w:left w:w="28" w:type="dxa"/>
                    <w:right w:w="28" w:type="dxa"/>
                  </w:tcMar>
                  <w:vAlign w:val="center"/>
                </w:tcPr>
                <w:p w14:paraId="18047969">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压缩空气</w:t>
                  </w:r>
                </w:p>
              </w:tc>
              <w:tc>
                <w:tcPr>
                  <w:tcW w:w="5342" w:type="dxa"/>
                  <w:gridSpan w:val="2"/>
                  <w:tcBorders>
                    <w:tl2br w:val="nil"/>
                    <w:tr2bl w:val="nil"/>
                  </w:tcBorders>
                  <w:noWrap w:val="0"/>
                  <w:tcMar>
                    <w:left w:w="28" w:type="dxa"/>
                    <w:right w:w="28" w:type="dxa"/>
                  </w:tcMar>
                  <w:vAlign w:val="center"/>
                </w:tcPr>
                <w:p w14:paraId="1B1A7E49">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熔铸车间西侧空压机房内设置4台</w:t>
                  </w:r>
                  <w:r>
                    <w:rPr>
                      <w:rFonts w:hint="default" w:ascii="Times New Roman" w:hAnsi="Times New Roman" w:eastAsia="宋体" w:cs="Times New Roman"/>
                      <w:color w:val="auto"/>
                      <w:kern w:val="0"/>
                      <w:sz w:val="22"/>
                      <w:szCs w:val="22"/>
                    </w:rPr>
                    <w:t>螺杆变频空压机</w:t>
                  </w:r>
                  <w:r>
                    <w:rPr>
                      <w:rFonts w:hint="default" w:ascii="Times New Roman" w:hAnsi="Times New Roman" w:eastAsia="宋体" w:cs="Times New Roman"/>
                      <w:color w:val="auto"/>
                      <w:sz w:val="22"/>
                      <w:szCs w:val="22"/>
                      <w:lang w:val="en-US" w:eastAsia="zh-CN"/>
                    </w:rPr>
                    <w:t>，</w:t>
                  </w:r>
                  <w:r>
                    <w:rPr>
                      <w:rFonts w:hint="default" w:ascii="Times New Roman" w:hAnsi="Times New Roman" w:eastAsia="宋体" w:cs="Times New Roman"/>
                      <w:color w:val="auto"/>
                      <w:kern w:val="0"/>
                      <w:sz w:val="22"/>
                      <w:szCs w:val="22"/>
                      <w:lang w:val="en-US" w:eastAsia="zh-CN"/>
                    </w:rPr>
                    <w:t>为熔炼炉提供压缩空气；</w:t>
                  </w:r>
                </w:p>
              </w:tc>
              <w:tc>
                <w:tcPr>
                  <w:tcW w:w="971" w:type="dxa"/>
                  <w:tcBorders>
                    <w:tl2br w:val="nil"/>
                    <w:tr2bl w:val="nil"/>
                  </w:tcBorders>
                  <w:noWrap w:val="0"/>
                  <w:tcMar>
                    <w:left w:w="28" w:type="dxa"/>
                    <w:right w:w="28" w:type="dxa"/>
                  </w:tcMar>
                  <w:vAlign w:val="center"/>
                </w:tcPr>
                <w:p w14:paraId="11377641">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已建</w:t>
                  </w:r>
                </w:p>
              </w:tc>
            </w:tr>
            <w:tr w14:paraId="59E13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520" w:type="dxa"/>
                  <w:vMerge w:val="continue"/>
                  <w:tcBorders>
                    <w:tl2br w:val="nil"/>
                    <w:tr2bl w:val="nil"/>
                  </w:tcBorders>
                  <w:noWrap w:val="0"/>
                  <w:tcMar>
                    <w:left w:w="28" w:type="dxa"/>
                    <w:right w:w="28" w:type="dxa"/>
                  </w:tcMar>
                  <w:vAlign w:val="center"/>
                </w:tcPr>
                <w:p w14:paraId="69666499">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tcBorders>
                    <w:tl2br w:val="nil"/>
                    <w:tr2bl w:val="nil"/>
                  </w:tcBorders>
                  <w:noWrap w:val="0"/>
                  <w:tcMar>
                    <w:left w:w="28" w:type="dxa"/>
                    <w:right w:w="28" w:type="dxa"/>
                  </w:tcMar>
                  <w:vAlign w:val="center"/>
                </w:tcPr>
                <w:p w14:paraId="5EBE2EA1">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循环水冷却系统</w:t>
                  </w:r>
                </w:p>
              </w:tc>
              <w:tc>
                <w:tcPr>
                  <w:tcW w:w="5342" w:type="dxa"/>
                  <w:gridSpan w:val="2"/>
                  <w:tcBorders>
                    <w:tl2br w:val="nil"/>
                    <w:tr2bl w:val="nil"/>
                  </w:tcBorders>
                  <w:noWrap w:val="0"/>
                  <w:tcMar>
                    <w:left w:w="28" w:type="dxa"/>
                    <w:right w:w="28" w:type="dxa"/>
                  </w:tcMar>
                  <w:vAlign w:val="center"/>
                </w:tcPr>
                <w:p w14:paraId="6CB09BA4">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sz w:val="22"/>
                      <w:szCs w:val="22"/>
                      <w:lang w:val="en-US" w:eastAsia="zh-CN"/>
                    </w:rPr>
                    <w:t>1台16吨熔炼炉和2台25t熔炼炉配备2座冷却塔和3座循环水池；1台60t熔炼炉和2台35t熔炼炉配备2座冷却塔和2座循环水池；铝回收装置配套1座冷却池</w:t>
                  </w:r>
                </w:p>
              </w:tc>
              <w:tc>
                <w:tcPr>
                  <w:tcW w:w="971" w:type="dxa"/>
                  <w:tcBorders>
                    <w:tl2br w:val="nil"/>
                    <w:tr2bl w:val="nil"/>
                  </w:tcBorders>
                  <w:noWrap w:val="0"/>
                  <w:tcMar>
                    <w:left w:w="28" w:type="dxa"/>
                    <w:right w:w="28" w:type="dxa"/>
                  </w:tcMar>
                  <w:vAlign w:val="center"/>
                </w:tcPr>
                <w:p w14:paraId="488E168A">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bCs/>
                      <w:color w:val="auto"/>
                      <w:sz w:val="22"/>
                      <w:szCs w:val="22"/>
                      <w:lang w:val="en-US" w:eastAsia="zh-CN"/>
                    </w:rPr>
                  </w:pPr>
                  <w:r>
                    <w:rPr>
                      <w:rFonts w:hint="default" w:ascii="Times New Roman" w:hAnsi="Times New Roman" w:eastAsia="宋体" w:cs="Times New Roman"/>
                      <w:color w:val="auto"/>
                      <w:kern w:val="0"/>
                      <w:sz w:val="22"/>
                      <w:szCs w:val="22"/>
                      <w:vertAlign w:val="baseline"/>
                      <w:lang w:val="en-US" w:eastAsia="zh-CN"/>
                    </w:rPr>
                    <w:t>除铝回收装置冷却系统外，其余已建</w:t>
                  </w:r>
                </w:p>
              </w:tc>
            </w:tr>
            <w:tr w14:paraId="2F41E2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520" w:type="dxa"/>
                  <w:vMerge w:val="continue"/>
                  <w:tcBorders>
                    <w:tl2br w:val="nil"/>
                    <w:tr2bl w:val="nil"/>
                  </w:tcBorders>
                  <w:noWrap w:val="0"/>
                  <w:tcMar>
                    <w:left w:w="28" w:type="dxa"/>
                    <w:right w:w="28" w:type="dxa"/>
                  </w:tcMar>
                  <w:vAlign w:val="center"/>
                </w:tcPr>
                <w:p w14:paraId="412F1734">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tcBorders>
                    <w:tl2br w:val="nil"/>
                    <w:tr2bl w:val="nil"/>
                  </w:tcBorders>
                  <w:noWrap w:val="0"/>
                  <w:tcMar>
                    <w:left w:w="28" w:type="dxa"/>
                    <w:right w:w="28" w:type="dxa"/>
                  </w:tcMar>
                  <w:vAlign w:val="center"/>
                </w:tcPr>
                <w:p w14:paraId="49E40596">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sz w:val="22"/>
                      <w:szCs w:val="22"/>
                    </w:rPr>
                    <w:t>供氩系统</w:t>
                  </w:r>
                </w:p>
              </w:tc>
              <w:tc>
                <w:tcPr>
                  <w:tcW w:w="5342" w:type="dxa"/>
                  <w:gridSpan w:val="2"/>
                  <w:tcBorders>
                    <w:tl2br w:val="nil"/>
                    <w:tr2bl w:val="nil"/>
                  </w:tcBorders>
                  <w:noWrap w:val="0"/>
                  <w:tcMar>
                    <w:left w:w="28" w:type="dxa"/>
                    <w:right w:w="28" w:type="dxa"/>
                  </w:tcMar>
                  <w:vAlign w:val="center"/>
                </w:tcPr>
                <w:p w14:paraId="43F6F7A4">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sz w:val="22"/>
                      <w:szCs w:val="22"/>
                      <w:lang w:val="en-US" w:eastAsia="zh-CN"/>
                    </w:rPr>
                    <w:t>在熔铸车间外北侧，</w:t>
                  </w:r>
                  <w:r>
                    <w:rPr>
                      <w:rFonts w:hint="default" w:ascii="Times New Roman" w:hAnsi="Times New Roman" w:eastAsia="宋体" w:cs="Times New Roman"/>
                      <w:color w:val="auto"/>
                      <w:sz w:val="22"/>
                      <w:szCs w:val="22"/>
                    </w:rPr>
                    <w:t>设1个容积5m</w:t>
                  </w:r>
                  <w:r>
                    <w:rPr>
                      <w:rFonts w:hint="default" w:ascii="Times New Roman" w:hAnsi="Times New Roman" w:eastAsia="宋体" w:cs="Times New Roman"/>
                      <w:color w:val="auto"/>
                      <w:sz w:val="22"/>
                      <w:szCs w:val="22"/>
                      <w:vertAlign w:val="superscript"/>
                    </w:rPr>
                    <w:t>3</w:t>
                  </w:r>
                  <w:r>
                    <w:rPr>
                      <w:rFonts w:hint="default" w:ascii="Times New Roman" w:hAnsi="Times New Roman" w:eastAsia="宋体" w:cs="Times New Roman"/>
                      <w:color w:val="auto"/>
                      <w:sz w:val="22"/>
                      <w:szCs w:val="22"/>
                      <w:vertAlign w:val="baseline"/>
                      <w:lang w:eastAsia="zh-CN"/>
                    </w:rPr>
                    <w:t>和</w:t>
                  </w:r>
                  <w:r>
                    <w:rPr>
                      <w:rFonts w:hint="default" w:ascii="Times New Roman" w:hAnsi="Times New Roman" w:eastAsia="宋体" w:cs="Times New Roman"/>
                      <w:color w:val="auto"/>
                      <w:sz w:val="22"/>
                      <w:szCs w:val="22"/>
                      <w:vertAlign w:val="baseline"/>
                      <w:lang w:val="en-US" w:eastAsia="zh-CN"/>
                    </w:rPr>
                    <w:t>1个容积10m</w:t>
                  </w:r>
                  <w:r>
                    <w:rPr>
                      <w:rFonts w:hint="default" w:ascii="Times New Roman" w:hAnsi="Times New Roman" w:eastAsia="宋体" w:cs="Times New Roman"/>
                      <w:color w:val="auto"/>
                      <w:sz w:val="22"/>
                      <w:szCs w:val="22"/>
                      <w:vertAlign w:val="superscript"/>
                      <w:lang w:val="en-US" w:eastAsia="zh-CN"/>
                    </w:rPr>
                    <w:t>3</w:t>
                  </w:r>
                  <w:r>
                    <w:rPr>
                      <w:rFonts w:hint="default" w:ascii="Times New Roman" w:hAnsi="Times New Roman" w:eastAsia="宋体" w:cs="Times New Roman"/>
                      <w:color w:val="auto"/>
                      <w:sz w:val="22"/>
                      <w:szCs w:val="22"/>
                    </w:rPr>
                    <w:t>的氩气储罐</w:t>
                  </w:r>
                  <w:r>
                    <w:rPr>
                      <w:rFonts w:hint="default" w:ascii="Times New Roman" w:hAnsi="Times New Roman" w:eastAsia="宋体" w:cs="Times New Roman"/>
                      <w:color w:val="auto"/>
                      <w:sz w:val="22"/>
                      <w:szCs w:val="22"/>
                      <w:lang w:eastAsia="zh-CN"/>
                    </w:rPr>
                    <w:t>，</w:t>
                  </w:r>
                  <w:r>
                    <w:rPr>
                      <w:rFonts w:hint="default" w:ascii="Times New Roman" w:hAnsi="Times New Roman" w:eastAsia="宋体" w:cs="Times New Roman"/>
                      <w:color w:val="auto"/>
                      <w:kern w:val="0"/>
                      <w:sz w:val="22"/>
                      <w:szCs w:val="22"/>
                      <w:vertAlign w:val="baseline"/>
                      <w:lang w:val="en-US" w:eastAsia="zh-CN" w:bidi="ar-SA"/>
                    </w:rPr>
                    <w:t>氮气罐为临时使用，需要时通知氮气供应商配送于精炼设备旁使用，场内不涉及暂存</w:t>
                  </w:r>
                </w:p>
              </w:tc>
              <w:tc>
                <w:tcPr>
                  <w:tcW w:w="971" w:type="dxa"/>
                  <w:tcBorders>
                    <w:tl2br w:val="nil"/>
                    <w:tr2bl w:val="nil"/>
                  </w:tcBorders>
                  <w:noWrap w:val="0"/>
                  <w:tcMar>
                    <w:left w:w="28" w:type="dxa"/>
                    <w:right w:w="28" w:type="dxa"/>
                  </w:tcMar>
                  <w:vAlign w:val="center"/>
                </w:tcPr>
                <w:p w14:paraId="619497B6">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已建</w:t>
                  </w:r>
                </w:p>
              </w:tc>
            </w:tr>
            <w:tr w14:paraId="56CE3C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dxa"/>
                  <w:vMerge w:val="restart"/>
                  <w:tcBorders>
                    <w:tl2br w:val="nil"/>
                    <w:tr2bl w:val="nil"/>
                  </w:tcBorders>
                  <w:noWrap w:val="0"/>
                  <w:tcMar>
                    <w:left w:w="28" w:type="dxa"/>
                    <w:right w:w="28" w:type="dxa"/>
                  </w:tcMar>
                  <w:vAlign w:val="center"/>
                </w:tcPr>
                <w:p w14:paraId="086706ED">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环保工程</w:t>
                  </w:r>
                </w:p>
              </w:tc>
              <w:tc>
                <w:tcPr>
                  <w:tcW w:w="1082" w:type="dxa"/>
                  <w:vMerge w:val="restart"/>
                  <w:tcBorders>
                    <w:tl2br w:val="nil"/>
                    <w:tr2bl w:val="nil"/>
                  </w:tcBorders>
                  <w:noWrap w:val="0"/>
                  <w:tcMar>
                    <w:left w:w="28" w:type="dxa"/>
                    <w:right w:w="28" w:type="dxa"/>
                  </w:tcMar>
                  <w:vAlign w:val="center"/>
                </w:tcPr>
                <w:p w14:paraId="6FFDAA71">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bidi="ar-SA"/>
                    </w:rPr>
                  </w:pPr>
                  <w:r>
                    <w:rPr>
                      <w:rFonts w:hint="default" w:ascii="Times New Roman" w:hAnsi="Times New Roman" w:eastAsia="宋体" w:cs="Times New Roman"/>
                      <w:color w:val="auto"/>
                      <w:kern w:val="0"/>
                      <w:sz w:val="22"/>
                      <w:szCs w:val="22"/>
                      <w:vertAlign w:val="baseline"/>
                      <w:lang w:val="en-US" w:eastAsia="zh-CN"/>
                    </w:rPr>
                    <w:t>废气</w:t>
                  </w:r>
                </w:p>
              </w:tc>
              <w:tc>
                <w:tcPr>
                  <w:tcW w:w="5342" w:type="dxa"/>
                  <w:gridSpan w:val="2"/>
                  <w:tcBorders>
                    <w:tl2br w:val="nil"/>
                    <w:tr2bl w:val="nil"/>
                  </w:tcBorders>
                  <w:noWrap w:val="0"/>
                  <w:tcMar>
                    <w:left w:w="28" w:type="dxa"/>
                    <w:right w:w="28" w:type="dxa"/>
                  </w:tcMar>
                  <w:vAlign w:val="center"/>
                </w:tcPr>
                <w:p w14:paraId="1874FD95">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sz w:val="22"/>
                      <w:szCs w:val="22"/>
                    </w:rPr>
                    <w:t>16吨熔炼炉废气</w:t>
                  </w:r>
                  <w:r>
                    <w:rPr>
                      <w:rFonts w:hint="default" w:ascii="Times New Roman" w:hAnsi="Times New Roman" w:eastAsia="宋体" w:cs="Times New Roman"/>
                      <w:color w:val="auto"/>
                      <w:sz w:val="22"/>
                      <w:szCs w:val="22"/>
                      <w:lang w:val="en-US" w:eastAsia="zh-CN"/>
                    </w:rPr>
                    <w:t>、</w:t>
                  </w:r>
                  <w:r>
                    <w:rPr>
                      <w:rFonts w:hint="default" w:ascii="Times New Roman" w:hAnsi="Times New Roman" w:eastAsia="宋体" w:cs="Times New Roman"/>
                      <w:color w:val="auto"/>
                      <w:sz w:val="22"/>
                      <w:szCs w:val="22"/>
                    </w:rPr>
                    <w:t>2个25吨熔炼炉</w:t>
                  </w:r>
                  <w:r>
                    <w:rPr>
                      <w:rFonts w:hint="default" w:ascii="Times New Roman" w:hAnsi="Times New Roman" w:eastAsia="宋体" w:cs="Times New Roman"/>
                      <w:color w:val="auto"/>
                      <w:sz w:val="22"/>
                      <w:szCs w:val="22"/>
                      <w:lang w:val="en-US" w:eastAsia="zh-CN"/>
                    </w:rPr>
                    <w:t>废气和2#35t熔炼炉废气</w:t>
                  </w:r>
                  <w:r>
                    <w:rPr>
                      <w:rFonts w:hint="default" w:ascii="Times New Roman" w:hAnsi="Times New Roman" w:eastAsia="宋体" w:cs="Times New Roman"/>
                      <w:color w:val="auto"/>
                      <w:sz w:val="22"/>
                      <w:szCs w:val="22"/>
                    </w:rPr>
                    <w:t>一并收集</w:t>
                  </w:r>
                  <w:r>
                    <w:rPr>
                      <w:rFonts w:hint="default" w:ascii="Times New Roman" w:hAnsi="Times New Roman" w:eastAsia="宋体" w:cs="Times New Roman"/>
                      <w:color w:val="auto"/>
                      <w:sz w:val="22"/>
                      <w:szCs w:val="22"/>
                      <w:lang w:val="en-US" w:eastAsia="zh-CN"/>
                    </w:rPr>
                    <w:t>至1#“旋风+</w:t>
                  </w:r>
                  <w:r>
                    <w:rPr>
                      <w:rFonts w:hint="default" w:ascii="Times New Roman" w:hAnsi="Times New Roman" w:eastAsia="宋体" w:cs="Times New Roman"/>
                      <w:color w:val="auto"/>
                      <w:sz w:val="22"/>
                      <w:szCs w:val="22"/>
                    </w:rPr>
                    <w:t>布袋除尘系统</w:t>
                  </w:r>
                  <w:r>
                    <w:rPr>
                      <w:rFonts w:hint="default" w:ascii="Times New Roman" w:hAnsi="Times New Roman" w:eastAsia="宋体" w:cs="Times New Roman"/>
                      <w:color w:val="auto"/>
                      <w:sz w:val="22"/>
                      <w:szCs w:val="22"/>
                      <w:lang w:val="en-US" w:eastAsia="zh-CN"/>
                    </w:rPr>
                    <w:t>”</w:t>
                  </w:r>
                  <w:r>
                    <w:rPr>
                      <w:rFonts w:hint="default" w:ascii="Times New Roman" w:hAnsi="Times New Roman" w:eastAsia="宋体" w:cs="Times New Roman"/>
                      <w:color w:val="auto"/>
                      <w:sz w:val="22"/>
                      <w:szCs w:val="22"/>
                    </w:rPr>
                    <w:t>处理</w:t>
                  </w:r>
                  <w:r>
                    <w:rPr>
                      <w:rFonts w:hint="default" w:ascii="Times New Roman" w:hAnsi="Times New Roman" w:eastAsia="宋体" w:cs="Times New Roman"/>
                      <w:color w:val="auto"/>
                      <w:sz w:val="22"/>
                      <w:szCs w:val="22"/>
                      <w:lang w:val="en-US" w:eastAsia="zh-CN"/>
                    </w:rPr>
                    <w:t>后通过1根21m高排气筒排放</w:t>
                  </w:r>
                  <w:r>
                    <w:rPr>
                      <w:rFonts w:hint="default" w:ascii="Times New Roman" w:hAnsi="Times New Roman" w:eastAsia="宋体" w:cs="Times New Roman"/>
                      <w:color w:val="auto"/>
                      <w:sz w:val="22"/>
                      <w:szCs w:val="22"/>
                    </w:rPr>
                    <w:t>（排气筒</w:t>
                  </w:r>
                  <w:r>
                    <w:rPr>
                      <w:rFonts w:hint="default" w:ascii="Times New Roman" w:hAnsi="Times New Roman" w:eastAsia="宋体" w:cs="Times New Roman"/>
                      <w:color w:val="auto"/>
                      <w:sz w:val="22"/>
                      <w:szCs w:val="22"/>
                      <w:lang w:val="en-US" w:eastAsia="zh-CN"/>
                    </w:rPr>
                    <w:t>编号</w:t>
                  </w:r>
                  <w:r>
                    <w:rPr>
                      <w:rFonts w:hint="default" w:ascii="Times New Roman" w:hAnsi="Times New Roman" w:eastAsia="宋体" w:cs="Times New Roman"/>
                      <w:color w:val="auto"/>
                      <w:sz w:val="22"/>
                      <w:szCs w:val="22"/>
                    </w:rPr>
                    <w:t>DA002）</w:t>
                  </w:r>
                </w:p>
              </w:tc>
              <w:tc>
                <w:tcPr>
                  <w:tcW w:w="971" w:type="dxa"/>
                  <w:tcBorders>
                    <w:tl2br w:val="nil"/>
                    <w:tr2bl w:val="nil"/>
                  </w:tcBorders>
                  <w:noWrap w:val="0"/>
                  <w:tcMar>
                    <w:left w:w="28" w:type="dxa"/>
                    <w:right w:w="28" w:type="dxa"/>
                  </w:tcMar>
                  <w:vAlign w:val="center"/>
                </w:tcPr>
                <w:p w14:paraId="0B68C60E">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除2#35t熔炼炉废气收集系统在建外，其余已建</w:t>
                  </w:r>
                </w:p>
              </w:tc>
            </w:tr>
            <w:tr w14:paraId="73FEF3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dxa"/>
                  <w:vMerge w:val="continue"/>
                  <w:tcBorders>
                    <w:tl2br w:val="nil"/>
                    <w:tr2bl w:val="nil"/>
                  </w:tcBorders>
                  <w:noWrap w:val="0"/>
                  <w:tcMar>
                    <w:left w:w="28" w:type="dxa"/>
                    <w:right w:w="28" w:type="dxa"/>
                  </w:tcMar>
                  <w:vAlign w:val="center"/>
                </w:tcPr>
                <w:p w14:paraId="2E5380F1">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vMerge w:val="continue"/>
                  <w:tcBorders>
                    <w:tl2br w:val="nil"/>
                    <w:tr2bl w:val="nil"/>
                  </w:tcBorders>
                  <w:noWrap w:val="0"/>
                  <w:tcMar>
                    <w:left w:w="28" w:type="dxa"/>
                    <w:right w:w="28" w:type="dxa"/>
                  </w:tcMar>
                  <w:vAlign w:val="center"/>
                </w:tcPr>
                <w:p w14:paraId="6D40F258">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5342" w:type="dxa"/>
                  <w:gridSpan w:val="2"/>
                  <w:tcBorders>
                    <w:tl2br w:val="nil"/>
                    <w:tr2bl w:val="nil"/>
                  </w:tcBorders>
                  <w:noWrap w:val="0"/>
                  <w:tcMar>
                    <w:left w:w="28" w:type="dxa"/>
                    <w:right w:w="28" w:type="dxa"/>
                  </w:tcMar>
                  <w:vAlign w:val="center"/>
                </w:tcPr>
                <w:p w14:paraId="79630201">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1#35t熔炼炉废气和60t熔炼废气经</w:t>
                  </w:r>
                  <w:r>
                    <w:rPr>
                      <w:rFonts w:hint="default" w:ascii="Times New Roman" w:hAnsi="Times New Roman" w:eastAsia="宋体" w:cs="Times New Roman"/>
                      <w:color w:val="auto"/>
                      <w:kern w:val="0"/>
                      <w:sz w:val="22"/>
                      <w:szCs w:val="22"/>
                      <w:vertAlign w:val="baseline"/>
                      <w:lang w:val="en-US" w:eastAsia="zh-CN"/>
                    </w:rPr>
                    <w:t>2#“重力沉降+布袋除尘器”处理后，由1根21m高DA001排气筒排放</w:t>
                  </w:r>
                </w:p>
              </w:tc>
              <w:tc>
                <w:tcPr>
                  <w:tcW w:w="971" w:type="dxa"/>
                  <w:tcBorders>
                    <w:tl2br w:val="nil"/>
                    <w:tr2bl w:val="nil"/>
                  </w:tcBorders>
                  <w:noWrap w:val="0"/>
                  <w:tcMar>
                    <w:left w:w="28" w:type="dxa"/>
                    <w:right w:w="28" w:type="dxa"/>
                  </w:tcMar>
                  <w:vAlign w:val="center"/>
                </w:tcPr>
                <w:p w14:paraId="7E22D6F4">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在建</w:t>
                  </w:r>
                </w:p>
              </w:tc>
            </w:tr>
            <w:tr w14:paraId="3D52F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dxa"/>
                  <w:vMerge w:val="continue"/>
                  <w:tcBorders>
                    <w:tl2br w:val="nil"/>
                    <w:tr2bl w:val="nil"/>
                  </w:tcBorders>
                  <w:noWrap w:val="0"/>
                  <w:tcMar>
                    <w:left w:w="28" w:type="dxa"/>
                    <w:right w:w="28" w:type="dxa"/>
                  </w:tcMar>
                  <w:vAlign w:val="center"/>
                </w:tcPr>
                <w:p w14:paraId="43FCE643">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vMerge w:val="continue"/>
                  <w:tcBorders>
                    <w:tl2br w:val="nil"/>
                    <w:tr2bl w:val="nil"/>
                  </w:tcBorders>
                  <w:noWrap w:val="0"/>
                  <w:tcMar>
                    <w:left w:w="28" w:type="dxa"/>
                    <w:right w:w="28" w:type="dxa"/>
                  </w:tcMar>
                  <w:vAlign w:val="center"/>
                </w:tcPr>
                <w:p w14:paraId="4C279ADE">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5342" w:type="dxa"/>
                  <w:gridSpan w:val="2"/>
                  <w:tcBorders>
                    <w:tl2br w:val="nil"/>
                    <w:tr2bl w:val="nil"/>
                  </w:tcBorders>
                  <w:noWrap w:val="0"/>
                  <w:tcMar>
                    <w:left w:w="28" w:type="dxa"/>
                    <w:right w:w="28" w:type="dxa"/>
                  </w:tcMar>
                  <w:vAlign w:val="center"/>
                </w:tcPr>
                <w:p w14:paraId="0DA9C04F">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kern w:val="0"/>
                      <w:sz w:val="22"/>
                      <w:szCs w:val="22"/>
                      <w:vertAlign w:val="baseline"/>
                      <w:lang w:val="en-US" w:eastAsia="zh-CN"/>
                    </w:rPr>
                    <w:t>铝回收装置废气经3#“重力沉降+低压脉冲袋式除尘器”处理后，由1根20m高DA003排气筒排放</w:t>
                  </w:r>
                </w:p>
              </w:tc>
              <w:tc>
                <w:tcPr>
                  <w:tcW w:w="971" w:type="dxa"/>
                  <w:tcBorders>
                    <w:tl2br w:val="nil"/>
                    <w:tr2bl w:val="nil"/>
                  </w:tcBorders>
                  <w:noWrap w:val="0"/>
                  <w:tcMar>
                    <w:left w:w="28" w:type="dxa"/>
                    <w:right w:w="28" w:type="dxa"/>
                  </w:tcMar>
                  <w:vAlign w:val="center"/>
                </w:tcPr>
                <w:p w14:paraId="4069957F">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未建</w:t>
                  </w:r>
                </w:p>
              </w:tc>
            </w:tr>
            <w:tr w14:paraId="039AD0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dxa"/>
                  <w:vMerge w:val="continue"/>
                  <w:tcBorders>
                    <w:tl2br w:val="nil"/>
                    <w:tr2bl w:val="nil"/>
                  </w:tcBorders>
                  <w:noWrap w:val="0"/>
                  <w:tcMar>
                    <w:left w:w="28" w:type="dxa"/>
                    <w:right w:w="28" w:type="dxa"/>
                  </w:tcMar>
                  <w:vAlign w:val="center"/>
                </w:tcPr>
                <w:p w14:paraId="07FDD536">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vMerge w:val="continue"/>
                  <w:tcBorders>
                    <w:tl2br w:val="nil"/>
                    <w:tr2bl w:val="nil"/>
                  </w:tcBorders>
                  <w:noWrap w:val="0"/>
                  <w:tcMar>
                    <w:left w:w="28" w:type="dxa"/>
                    <w:right w:w="28" w:type="dxa"/>
                  </w:tcMar>
                  <w:vAlign w:val="center"/>
                </w:tcPr>
                <w:p w14:paraId="50A82E15">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5342" w:type="dxa"/>
                  <w:gridSpan w:val="2"/>
                  <w:tcBorders>
                    <w:tl2br w:val="nil"/>
                    <w:tr2bl w:val="nil"/>
                  </w:tcBorders>
                  <w:noWrap w:val="0"/>
                  <w:tcMar>
                    <w:left w:w="28" w:type="dxa"/>
                    <w:right w:w="28" w:type="dxa"/>
                  </w:tcMar>
                  <w:vAlign w:val="center"/>
                </w:tcPr>
                <w:p w14:paraId="318D0F6E">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两台均质炉的废气经1</w:t>
                  </w:r>
                  <w:r>
                    <w:rPr>
                      <w:rFonts w:hint="default" w:ascii="Times New Roman" w:hAnsi="Times New Roman" w:eastAsia="宋体" w:cs="Times New Roman"/>
                      <w:color w:val="auto"/>
                      <w:sz w:val="22"/>
                      <w:szCs w:val="22"/>
                    </w:rPr>
                    <w:t>根</w:t>
                  </w:r>
                  <w:r>
                    <w:rPr>
                      <w:rFonts w:hint="default" w:ascii="Times New Roman" w:hAnsi="Times New Roman" w:eastAsia="宋体" w:cs="Times New Roman"/>
                      <w:color w:val="auto"/>
                      <w:sz w:val="22"/>
                      <w:szCs w:val="22"/>
                      <w:lang w:val="en-US" w:eastAsia="zh-CN"/>
                    </w:rPr>
                    <w:t>15m高排气筒排放</w:t>
                  </w:r>
                  <w:r>
                    <w:rPr>
                      <w:rFonts w:hint="default" w:ascii="Times New Roman" w:hAnsi="Times New Roman" w:eastAsia="宋体" w:cs="Times New Roman"/>
                      <w:color w:val="auto"/>
                      <w:sz w:val="22"/>
                      <w:szCs w:val="22"/>
                    </w:rPr>
                    <w:t>（排气筒</w:t>
                  </w:r>
                  <w:r>
                    <w:rPr>
                      <w:rFonts w:hint="default" w:ascii="Times New Roman" w:hAnsi="Times New Roman" w:eastAsia="宋体" w:cs="Times New Roman"/>
                      <w:color w:val="auto"/>
                      <w:sz w:val="22"/>
                      <w:szCs w:val="22"/>
                      <w:lang w:val="en-US" w:eastAsia="zh-CN"/>
                    </w:rPr>
                    <w:t>编号</w:t>
                  </w:r>
                  <w:r>
                    <w:rPr>
                      <w:rFonts w:hint="default" w:ascii="Times New Roman" w:hAnsi="Times New Roman" w:eastAsia="宋体" w:cs="Times New Roman"/>
                      <w:color w:val="auto"/>
                      <w:sz w:val="22"/>
                      <w:szCs w:val="22"/>
                    </w:rPr>
                    <w:t>DA004）</w:t>
                  </w:r>
                </w:p>
              </w:tc>
              <w:tc>
                <w:tcPr>
                  <w:tcW w:w="971" w:type="dxa"/>
                  <w:tcBorders>
                    <w:tl2br w:val="nil"/>
                    <w:tr2bl w:val="nil"/>
                  </w:tcBorders>
                  <w:noWrap w:val="0"/>
                  <w:tcMar>
                    <w:left w:w="28" w:type="dxa"/>
                    <w:right w:w="28" w:type="dxa"/>
                  </w:tcMar>
                  <w:vAlign w:val="center"/>
                </w:tcPr>
                <w:p w14:paraId="678B82CF">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已建</w:t>
                  </w:r>
                </w:p>
              </w:tc>
            </w:tr>
            <w:tr w14:paraId="1425C4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dxa"/>
                  <w:vMerge w:val="continue"/>
                  <w:tcBorders>
                    <w:tl2br w:val="nil"/>
                    <w:tr2bl w:val="nil"/>
                  </w:tcBorders>
                  <w:noWrap w:val="0"/>
                  <w:tcMar>
                    <w:left w:w="28" w:type="dxa"/>
                    <w:right w:w="28" w:type="dxa"/>
                  </w:tcMar>
                  <w:vAlign w:val="center"/>
                </w:tcPr>
                <w:p w14:paraId="34E7AF0E">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tcBorders>
                    <w:tl2br w:val="nil"/>
                    <w:tr2bl w:val="nil"/>
                  </w:tcBorders>
                  <w:noWrap w:val="0"/>
                  <w:tcMar>
                    <w:left w:w="28" w:type="dxa"/>
                    <w:right w:w="28" w:type="dxa"/>
                  </w:tcMar>
                  <w:vAlign w:val="center"/>
                </w:tcPr>
                <w:p w14:paraId="7E893AE2">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废水</w:t>
                  </w:r>
                </w:p>
              </w:tc>
              <w:tc>
                <w:tcPr>
                  <w:tcW w:w="5342" w:type="dxa"/>
                  <w:gridSpan w:val="2"/>
                  <w:tcBorders>
                    <w:tl2br w:val="nil"/>
                    <w:tr2bl w:val="nil"/>
                  </w:tcBorders>
                  <w:noWrap w:val="0"/>
                  <w:tcMar>
                    <w:left w:w="28" w:type="dxa"/>
                    <w:right w:w="28" w:type="dxa"/>
                  </w:tcMar>
                  <w:vAlign w:val="center"/>
                </w:tcPr>
                <w:p w14:paraId="511178FF">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sz w:val="22"/>
                      <w:szCs w:val="22"/>
                      <w:lang w:val="en-US" w:eastAsia="zh-CN"/>
                    </w:rPr>
                    <w:t>现有项目不产生生产废水。</w:t>
                  </w:r>
                  <w:r>
                    <w:rPr>
                      <w:rFonts w:hint="default" w:ascii="Times New Roman" w:hAnsi="Times New Roman" w:eastAsia="宋体" w:cs="Times New Roman"/>
                      <w:color w:val="auto"/>
                      <w:sz w:val="22"/>
                      <w:szCs w:val="22"/>
                    </w:rPr>
                    <w:t>员工洗手</w:t>
                  </w:r>
                  <w:r>
                    <w:rPr>
                      <w:rFonts w:hint="default" w:ascii="Times New Roman" w:hAnsi="Times New Roman" w:eastAsia="宋体" w:cs="Times New Roman"/>
                      <w:color w:val="auto"/>
                      <w:sz w:val="22"/>
                      <w:szCs w:val="22"/>
                      <w:lang w:val="en-US" w:eastAsia="zh-CN"/>
                    </w:rPr>
                    <w:t>废水经</w:t>
                  </w:r>
                  <w:r>
                    <w:rPr>
                      <w:rFonts w:hint="default" w:ascii="Times New Roman" w:hAnsi="Times New Roman" w:eastAsia="宋体" w:cs="Times New Roman"/>
                      <w:color w:val="auto"/>
                      <w:sz w:val="22"/>
                      <w:szCs w:val="22"/>
                    </w:rPr>
                    <w:t>隔油池（处理规模约1m</w:t>
                  </w:r>
                  <w:r>
                    <w:rPr>
                      <w:rFonts w:hint="default" w:ascii="Times New Roman" w:hAnsi="Times New Roman" w:eastAsia="宋体" w:cs="Times New Roman"/>
                      <w:color w:val="auto"/>
                      <w:sz w:val="22"/>
                      <w:szCs w:val="22"/>
                      <w:vertAlign w:val="superscript"/>
                    </w:rPr>
                    <w:t>3</w:t>
                  </w:r>
                  <w:r>
                    <w:rPr>
                      <w:rFonts w:hint="default" w:ascii="Times New Roman" w:hAnsi="Times New Roman" w:eastAsia="宋体" w:cs="Times New Roman"/>
                      <w:color w:val="auto"/>
                      <w:sz w:val="22"/>
                      <w:szCs w:val="22"/>
                    </w:rPr>
                    <w:t>/d）</w:t>
                  </w:r>
                  <w:r>
                    <w:rPr>
                      <w:rFonts w:hint="default" w:ascii="Times New Roman" w:hAnsi="Times New Roman" w:eastAsia="宋体" w:cs="Times New Roman"/>
                      <w:color w:val="auto"/>
                      <w:sz w:val="22"/>
                      <w:szCs w:val="22"/>
                      <w:lang w:val="en-US" w:eastAsia="zh-CN"/>
                    </w:rPr>
                    <w:t>处理后同其他</w:t>
                  </w:r>
                  <w:r>
                    <w:rPr>
                      <w:rFonts w:hint="default" w:ascii="Times New Roman" w:hAnsi="Times New Roman" w:eastAsia="宋体" w:cs="Times New Roman"/>
                      <w:color w:val="auto"/>
                      <w:sz w:val="22"/>
                      <w:szCs w:val="22"/>
                    </w:rPr>
                    <w:t>生活污水</w:t>
                  </w:r>
                  <w:r>
                    <w:rPr>
                      <w:rFonts w:hint="default" w:ascii="Times New Roman" w:hAnsi="Times New Roman" w:eastAsia="宋体" w:cs="Times New Roman"/>
                      <w:color w:val="auto"/>
                      <w:sz w:val="22"/>
                      <w:szCs w:val="22"/>
                      <w:lang w:val="en-US" w:eastAsia="zh-CN"/>
                    </w:rPr>
                    <w:t>一起汇至厂区生化池</w:t>
                  </w:r>
                  <w:r>
                    <w:rPr>
                      <w:rFonts w:hint="default" w:ascii="Times New Roman" w:hAnsi="Times New Roman" w:eastAsia="宋体" w:cs="Times New Roman"/>
                      <w:color w:val="auto"/>
                      <w:sz w:val="22"/>
                      <w:szCs w:val="22"/>
                    </w:rPr>
                    <w:t>（处理规模约1</w:t>
                  </w:r>
                  <w:r>
                    <w:rPr>
                      <w:rFonts w:hint="default" w:ascii="Times New Roman" w:hAnsi="Times New Roman" w:eastAsia="宋体" w:cs="Times New Roman"/>
                      <w:color w:val="auto"/>
                      <w:sz w:val="22"/>
                      <w:szCs w:val="22"/>
                      <w:lang w:val="en-US" w:eastAsia="zh-CN"/>
                    </w:rPr>
                    <w:t>0</w:t>
                  </w:r>
                  <w:r>
                    <w:rPr>
                      <w:rFonts w:hint="default" w:ascii="Times New Roman" w:hAnsi="Times New Roman" w:eastAsia="宋体" w:cs="Times New Roman"/>
                      <w:color w:val="auto"/>
                      <w:sz w:val="22"/>
                      <w:szCs w:val="22"/>
                    </w:rPr>
                    <w:t>m</w:t>
                  </w:r>
                  <w:r>
                    <w:rPr>
                      <w:rFonts w:hint="default" w:ascii="Times New Roman" w:hAnsi="Times New Roman" w:eastAsia="宋体" w:cs="Times New Roman"/>
                      <w:color w:val="auto"/>
                      <w:sz w:val="22"/>
                      <w:szCs w:val="22"/>
                      <w:vertAlign w:val="superscript"/>
                    </w:rPr>
                    <w:t>3</w:t>
                  </w:r>
                  <w:r>
                    <w:rPr>
                      <w:rFonts w:hint="default" w:ascii="Times New Roman" w:hAnsi="Times New Roman" w:eastAsia="宋体" w:cs="Times New Roman"/>
                      <w:color w:val="auto"/>
                      <w:sz w:val="22"/>
                      <w:szCs w:val="22"/>
                    </w:rPr>
                    <w:t>/d）处理达《污水综合排放标准》（GB8978-1996）三级标准后排入市政污水管网，最终经西彭城镇污水处理厂处理后排入桥头河</w:t>
                  </w:r>
                </w:p>
              </w:tc>
              <w:tc>
                <w:tcPr>
                  <w:tcW w:w="971" w:type="dxa"/>
                  <w:tcBorders>
                    <w:tl2br w:val="nil"/>
                    <w:tr2bl w:val="nil"/>
                  </w:tcBorders>
                  <w:noWrap w:val="0"/>
                  <w:tcMar>
                    <w:left w:w="28" w:type="dxa"/>
                    <w:right w:w="28" w:type="dxa"/>
                  </w:tcMar>
                  <w:vAlign w:val="center"/>
                </w:tcPr>
                <w:p w14:paraId="4D261C5F">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已建</w:t>
                  </w:r>
                </w:p>
              </w:tc>
            </w:tr>
            <w:tr w14:paraId="20E53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20" w:type="dxa"/>
                  <w:vMerge w:val="continue"/>
                  <w:tcBorders>
                    <w:tl2br w:val="nil"/>
                    <w:tr2bl w:val="nil"/>
                  </w:tcBorders>
                  <w:noWrap w:val="0"/>
                  <w:tcMar>
                    <w:left w:w="28" w:type="dxa"/>
                    <w:right w:w="28" w:type="dxa"/>
                  </w:tcMar>
                  <w:vAlign w:val="center"/>
                </w:tcPr>
                <w:p w14:paraId="196A7EF6">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vMerge w:val="restart"/>
                  <w:tcBorders>
                    <w:tl2br w:val="nil"/>
                    <w:tr2bl w:val="nil"/>
                  </w:tcBorders>
                  <w:noWrap w:val="0"/>
                  <w:tcMar>
                    <w:left w:w="28" w:type="dxa"/>
                    <w:right w:w="28" w:type="dxa"/>
                  </w:tcMar>
                  <w:vAlign w:val="center"/>
                </w:tcPr>
                <w:p w14:paraId="26C3AB69">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固废</w:t>
                  </w:r>
                </w:p>
              </w:tc>
              <w:tc>
                <w:tcPr>
                  <w:tcW w:w="5342" w:type="dxa"/>
                  <w:gridSpan w:val="2"/>
                  <w:tcBorders>
                    <w:tl2br w:val="nil"/>
                    <w:tr2bl w:val="nil"/>
                  </w:tcBorders>
                  <w:noWrap w:val="0"/>
                  <w:tcMar>
                    <w:left w:w="28" w:type="dxa"/>
                    <w:right w:w="28" w:type="dxa"/>
                  </w:tcMar>
                  <w:vAlign w:val="center"/>
                </w:tcPr>
                <w:p w14:paraId="13A9B76C">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一般固废：设置一般固废暂存间，</w:t>
                  </w:r>
                  <w:r>
                    <w:rPr>
                      <w:rFonts w:hint="default" w:ascii="Times New Roman" w:hAnsi="Times New Roman" w:eastAsia="宋体" w:cs="Times New Roman"/>
                      <w:bCs/>
                      <w:color w:val="auto"/>
                      <w:sz w:val="22"/>
                      <w:szCs w:val="22"/>
                      <w:lang w:val="en-US" w:eastAsia="zh-CN" w:bidi="ar"/>
                    </w:rPr>
                    <w:t>位于厂区北侧</w:t>
                  </w:r>
                  <w:r>
                    <w:rPr>
                      <w:rFonts w:hint="default" w:ascii="Times New Roman" w:hAnsi="Times New Roman" w:eastAsia="宋体" w:cs="Times New Roman"/>
                      <w:bCs/>
                      <w:color w:val="auto"/>
                      <w:sz w:val="22"/>
                      <w:szCs w:val="22"/>
                      <w:lang w:bidi="ar"/>
                    </w:rPr>
                    <w:t>，</w:t>
                  </w:r>
                  <w:r>
                    <w:rPr>
                      <w:rFonts w:hint="default" w:ascii="Times New Roman" w:hAnsi="Times New Roman" w:eastAsia="宋体" w:cs="Times New Roman"/>
                      <w:bCs/>
                      <w:color w:val="auto"/>
                      <w:sz w:val="22"/>
                      <w:szCs w:val="22"/>
                      <w:lang w:val="en-US" w:eastAsia="zh-CN" w:bidi="ar"/>
                    </w:rPr>
                    <w:t>占地</w:t>
                  </w:r>
                  <w:r>
                    <w:rPr>
                      <w:rFonts w:hint="default" w:ascii="Times New Roman" w:hAnsi="Times New Roman" w:eastAsia="宋体" w:cs="Times New Roman"/>
                      <w:bCs/>
                      <w:color w:val="auto"/>
                      <w:sz w:val="22"/>
                      <w:szCs w:val="22"/>
                      <w:lang w:bidi="ar"/>
                    </w:rPr>
                    <w:t>面积约</w:t>
                  </w:r>
                  <w:r>
                    <w:rPr>
                      <w:rFonts w:hint="default" w:ascii="Times New Roman" w:hAnsi="Times New Roman" w:eastAsia="宋体" w:cs="Times New Roman"/>
                      <w:bCs/>
                      <w:color w:val="auto"/>
                      <w:sz w:val="22"/>
                      <w:szCs w:val="22"/>
                      <w:lang w:val="en-US" w:eastAsia="zh-CN" w:bidi="ar"/>
                    </w:rPr>
                    <w:t>50</w:t>
                  </w:r>
                  <w:r>
                    <w:rPr>
                      <w:rFonts w:hint="default" w:ascii="Times New Roman" w:hAnsi="Times New Roman" w:eastAsia="宋体" w:cs="Times New Roman"/>
                      <w:bCs/>
                      <w:color w:val="auto"/>
                      <w:sz w:val="22"/>
                      <w:szCs w:val="22"/>
                      <w:lang w:bidi="ar"/>
                    </w:rPr>
                    <w:t>m</w:t>
                  </w:r>
                  <w:r>
                    <w:rPr>
                      <w:rFonts w:hint="default" w:ascii="Times New Roman" w:hAnsi="Times New Roman" w:eastAsia="宋体" w:cs="Times New Roman"/>
                      <w:bCs/>
                      <w:color w:val="auto"/>
                      <w:sz w:val="22"/>
                      <w:szCs w:val="22"/>
                      <w:vertAlign w:val="superscript"/>
                      <w:lang w:bidi="ar"/>
                    </w:rPr>
                    <w:t>2</w:t>
                  </w:r>
                  <w:r>
                    <w:rPr>
                      <w:rFonts w:hint="default" w:ascii="Times New Roman" w:hAnsi="Times New Roman" w:eastAsia="宋体" w:cs="Times New Roman"/>
                      <w:bCs/>
                      <w:color w:val="auto"/>
                      <w:sz w:val="22"/>
                      <w:szCs w:val="22"/>
                      <w:lang w:bidi="ar"/>
                    </w:rPr>
                    <w:t>，用于暂存一般固体废物</w:t>
                  </w:r>
                </w:p>
              </w:tc>
              <w:tc>
                <w:tcPr>
                  <w:tcW w:w="971" w:type="dxa"/>
                  <w:tcBorders>
                    <w:tl2br w:val="nil"/>
                    <w:tr2bl w:val="nil"/>
                  </w:tcBorders>
                  <w:noWrap w:val="0"/>
                  <w:tcMar>
                    <w:left w:w="28" w:type="dxa"/>
                    <w:right w:w="28" w:type="dxa"/>
                  </w:tcMar>
                  <w:vAlign w:val="center"/>
                </w:tcPr>
                <w:p w14:paraId="26CFBF34">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kern w:val="0"/>
                      <w:sz w:val="22"/>
                      <w:szCs w:val="22"/>
                      <w:vertAlign w:val="baseline"/>
                      <w:lang w:val="en-US" w:eastAsia="zh-CN"/>
                    </w:rPr>
                    <w:t>已建</w:t>
                  </w:r>
                </w:p>
              </w:tc>
            </w:tr>
            <w:tr w14:paraId="187FA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20" w:type="dxa"/>
                  <w:vMerge w:val="continue"/>
                  <w:tcBorders>
                    <w:tl2br w:val="nil"/>
                    <w:tr2bl w:val="nil"/>
                  </w:tcBorders>
                  <w:noWrap w:val="0"/>
                  <w:tcMar>
                    <w:left w:w="28" w:type="dxa"/>
                    <w:right w:w="28" w:type="dxa"/>
                  </w:tcMar>
                  <w:vAlign w:val="center"/>
                </w:tcPr>
                <w:p w14:paraId="7BEC2061">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vMerge w:val="continue"/>
                  <w:tcBorders>
                    <w:tl2br w:val="nil"/>
                    <w:tr2bl w:val="nil"/>
                  </w:tcBorders>
                  <w:noWrap w:val="0"/>
                  <w:tcMar>
                    <w:left w:w="28" w:type="dxa"/>
                    <w:right w:w="28" w:type="dxa"/>
                  </w:tcMar>
                  <w:vAlign w:val="center"/>
                </w:tcPr>
                <w:p w14:paraId="1B64CD55">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5342" w:type="dxa"/>
                  <w:gridSpan w:val="2"/>
                  <w:tcBorders>
                    <w:tl2br w:val="nil"/>
                    <w:tr2bl w:val="nil"/>
                  </w:tcBorders>
                  <w:noWrap w:val="0"/>
                  <w:tcMar>
                    <w:left w:w="28" w:type="dxa"/>
                    <w:right w:w="28" w:type="dxa"/>
                  </w:tcMar>
                  <w:vAlign w:val="center"/>
                </w:tcPr>
                <w:p w14:paraId="2D5A695F">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危险废物：设置危废贮存库，</w:t>
                  </w:r>
                  <w:r>
                    <w:rPr>
                      <w:rFonts w:hint="default" w:ascii="Times New Roman" w:hAnsi="Times New Roman" w:eastAsia="宋体" w:cs="Times New Roman"/>
                      <w:bCs/>
                      <w:color w:val="auto"/>
                      <w:sz w:val="22"/>
                      <w:szCs w:val="22"/>
                      <w:lang w:val="en-US" w:eastAsia="zh-CN" w:bidi="ar"/>
                    </w:rPr>
                    <w:t>位于厂区北侧，采用钢板进行防渗，占地面积约200m</w:t>
                  </w:r>
                  <w:r>
                    <w:rPr>
                      <w:rFonts w:hint="default" w:ascii="Times New Roman" w:hAnsi="Times New Roman" w:eastAsia="宋体" w:cs="Times New Roman"/>
                      <w:bCs/>
                      <w:color w:val="auto"/>
                      <w:sz w:val="22"/>
                      <w:szCs w:val="22"/>
                      <w:vertAlign w:val="superscript"/>
                      <w:lang w:bidi="ar"/>
                    </w:rPr>
                    <w:t>2</w:t>
                  </w:r>
                  <w:r>
                    <w:rPr>
                      <w:rFonts w:hint="default" w:ascii="Times New Roman" w:hAnsi="Times New Roman" w:eastAsia="宋体" w:cs="Times New Roman"/>
                      <w:bCs/>
                      <w:color w:val="auto"/>
                      <w:sz w:val="22"/>
                      <w:szCs w:val="22"/>
                      <w:lang w:bidi="ar"/>
                    </w:rPr>
                    <w:t>，</w:t>
                  </w:r>
                  <w:r>
                    <w:rPr>
                      <w:rFonts w:hint="default" w:ascii="Times New Roman" w:hAnsi="Times New Roman" w:eastAsia="宋体" w:cs="Times New Roman"/>
                      <w:bCs/>
                      <w:color w:val="auto"/>
                      <w:sz w:val="22"/>
                      <w:szCs w:val="22"/>
                      <w:lang w:val="en-US" w:eastAsia="zh-CN" w:bidi="ar"/>
                    </w:rPr>
                    <w:t>用于暂存危险废物</w:t>
                  </w:r>
                </w:p>
              </w:tc>
              <w:tc>
                <w:tcPr>
                  <w:tcW w:w="971" w:type="dxa"/>
                  <w:tcBorders>
                    <w:tl2br w:val="nil"/>
                    <w:tr2bl w:val="nil"/>
                  </w:tcBorders>
                  <w:noWrap w:val="0"/>
                  <w:tcMar>
                    <w:left w:w="28" w:type="dxa"/>
                    <w:right w:w="28" w:type="dxa"/>
                  </w:tcMar>
                  <w:vAlign w:val="center"/>
                </w:tcPr>
                <w:p w14:paraId="04715D96">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已建</w:t>
                  </w:r>
                </w:p>
              </w:tc>
            </w:tr>
            <w:tr w14:paraId="0B6351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520" w:type="dxa"/>
                  <w:vMerge w:val="continue"/>
                  <w:tcBorders>
                    <w:tl2br w:val="nil"/>
                    <w:tr2bl w:val="nil"/>
                  </w:tcBorders>
                  <w:noWrap w:val="0"/>
                  <w:tcMar>
                    <w:left w:w="28" w:type="dxa"/>
                    <w:right w:w="28" w:type="dxa"/>
                  </w:tcMar>
                  <w:vAlign w:val="center"/>
                </w:tcPr>
                <w:p w14:paraId="03B0444E">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vMerge w:val="continue"/>
                  <w:tcBorders>
                    <w:tl2br w:val="nil"/>
                    <w:tr2bl w:val="nil"/>
                  </w:tcBorders>
                  <w:noWrap w:val="0"/>
                  <w:tcMar>
                    <w:left w:w="28" w:type="dxa"/>
                    <w:right w:w="28" w:type="dxa"/>
                  </w:tcMar>
                  <w:vAlign w:val="center"/>
                </w:tcPr>
                <w:p w14:paraId="79ADD4A8">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5342" w:type="dxa"/>
                  <w:gridSpan w:val="2"/>
                  <w:tcBorders>
                    <w:tl2br w:val="nil"/>
                    <w:tr2bl w:val="nil"/>
                  </w:tcBorders>
                  <w:noWrap w:val="0"/>
                  <w:tcMar>
                    <w:left w:w="28" w:type="dxa"/>
                    <w:right w:w="28" w:type="dxa"/>
                  </w:tcMar>
                  <w:vAlign w:val="center"/>
                </w:tcPr>
                <w:p w14:paraId="149AA9CF">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生活垃圾：</w:t>
                  </w:r>
                  <w:r>
                    <w:rPr>
                      <w:rFonts w:hint="default" w:ascii="Times New Roman" w:hAnsi="Times New Roman" w:eastAsia="宋体" w:cs="Times New Roman"/>
                      <w:bCs/>
                      <w:color w:val="auto"/>
                      <w:sz w:val="22"/>
                      <w:szCs w:val="22"/>
                      <w:lang w:bidi="ar"/>
                    </w:rPr>
                    <w:t>设置垃圾收集桶，生活垃圾经集中收集后交由环卫部门统一处理</w:t>
                  </w:r>
                </w:p>
              </w:tc>
              <w:tc>
                <w:tcPr>
                  <w:tcW w:w="971" w:type="dxa"/>
                  <w:tcBorders>
                    <w:tl2br w:val="nil"/>
                    <w:tr2bl w:val="nil"/>
                  </w:tcBorders>
                  <w:noWrap w:val="0"/>
                  <w:tcMar>
                    <w:left w:w="28" w:type="dxa"/>
                    <w:right w:w="28" w:type="dxa"/>
                  </w:tcMar>
                  <w:vAlign w:val="center"/>
                </w:tcPr>
                <w:p w14:paraId="075E0A9A">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vertAlign w:val="baseline"/>
                      <w:lang w:val="en-US" w:eastAsia="zh-CN"/>
                    </w:rPr>
                    <w:t>已建</w:t>
                  </w:r>
                </w:p>
              </w:tc>
            </w:tr>
            <w:tr w14:paraId="6226FE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20" w:type="dxa"/>
                  <w:vMerge w:val="continue"/>
                  <w:tcBorders>
                    <w:tl2br w:val="nil"/>
                    <w:tr2bl w:val="nil"/>
                  </w:tcBorders>
                  <w:noWrap w:val="0"/>
                  <w:tcMar>
                    <w:left w:w="28" w:type="dxa"/>
                    <w:right w:w="28" w:type="dxa"/>
                  </w:tcMar>
                  <w:vAlign w:val="center"/>
                </w:tcPr>
                <w:p w14:paraId="58E05E0F">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tcBorders>
                    <w:tl2br w:val="nil"/>
                    <w:tr2bl w:val="nil"/>
                  </w:tcBorders>
                  <w:noWrap w:val="0"/>
                  <w:tcMar>
                    <w:left w:w="28" w:type="dxa"/>
                    <w:right w:w="28" w:type="dxa"/>
                  </w:tcMar>
                  <w:vAlign w:val="center"/>
                </w:tcPr>
                <w:p w14:paraId="10772EAE">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噪声</w:t>
                  </w:r>
                </w:p>
              </w:tc>
              <w:tc>
                <w:tcPr>
                  <w:tcW w:w="5342" w:type="dxa"/>
                  <w:gridSpan w:val="2"/>
                  <w:tcBorders>
                    <w:tl2br w:val="nil"/>
                    <w:tr2bl w:val="nil"/>
                  </w:tcBorders>
                  <w:noWrap w:val="0"/>
                  <w:tcMar>
                    <w:left w:w="28" w:type="dxa"/>
                    <w:right w:w="28" w:type="dxa"/>
                  </w:tcMar>
                  <w:vAlign w:val="center"/>
                </w:tcPr>
                <w:p w14:paraId="2E44D553">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sz w:val="22"/>
                      <w:szCs w:val="22"/>
                    </w:rPr>
                    <w:t>选用低噪环保设备，机械设备定期保养维护</w:t>
                  </w:r>
                </w:p>
              </w:tc>
              <w:tc>
                <w:tcPr>
                  <w:tcW w:w="971" w:type="dxa"/>
                  <w:tcBorders>
                    <w:tl2br w:val="nil"/>
                    <w:tr2bl w:val="nil"/>
                  </w:tcBorders>
                  <w:noWrap w:val="0"/>
                  <w:tcMar>
                    <w:left w:w="28" w:type="dxa"/>
                    <w:right w:w="28" w:type="dxa"/>
                  </w:tcMar>
                  <w:vAlign w:val="center"/>
                </w:tcPr>
                <w:p w14:paraId="4D8CE076">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kern w:val="0"/>
                      <w:sz w:val="22"/>
                      <w:szCs w:val="22"/>
                      <w:vertAlign w:val="baseline"/>
                      <w:lang w:val="en-US" w:eastAsia="zh-CN"/>
                    </w:rPr>
                    <w:t>/</w:t>
                  </w:r>
                </w:p>
              </w:tc>
            </w:tr>
            <w:tr w14:paraId="08A31E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520" w:type="dxa"/>
                  <w:vMerge w:val="continue"/>
                  <w:tcBorders>
                    <w:tl2br w:val="nil"/>
                    <w:tr2bl w:val="nil"/>
                  </w:tcBorders>
                  <w:noWrap w:val="0"/>
                  <w:tcMar>
                    <w:left w:w="28" w:type="dxa"/>
                    <w:right w:w="28" w:type="dxa"/>
                  </w:tcMar>
                  <w:vAlign w:val="center"/>
                </w:tcPr>
                <w:p w14:paraId="017DEEBA">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vMerge w:val="restart"/>
                  <w:tcBorders>
                    <w:tl2br w:val="nil"/>
                    <w:tr2bl w:val="nil"/>
                  </w:tcBorders>
                  <w:noWrap w:val="0"/>
                  <w:tcMar>
                    <w:left w:w="28" w:type="dxa"/>
                    <w:right w:w="28" w:type="dxa"/>
                  </w:tcMar>
                  <w:vAlign w:val="center"/>
                </w:tcPr>
                <w:p w14:paraId="664861D3">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环境风险</w:t>
                  </w:r>
                </w:p>
              </w:tc>
              <w:tc>
                <w:tcPr>
                  <w:tcW w:w="5342" w:type="dxa"/>
                  <w:gridSpan w:val="2"/>
                  <w:tcBorders>
                    <w:tl2br w:val="nil"/>
                    <w:tr2bl w:val="nil"/>
                  </w:tcBorders>
                  <w:noWrap w:val="0"/>
                  <w:tcMar>
                    <w:left w:w="28" w:type="dxa"/>
                    <w:right w:w="28" w:type="dxa"/>
                  </w:tcMar>
                  <w:vAlign w:val="center"/>
                </w:tcPr>
                <w:p w14:paraId="70B5D598">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设置有单独的油库，建筑面积15m</w:t>
                  </w:r>
                  <w:r>
                    <w:rPr>
                      <w:rFonts w:hint="default" w:ascii="Times New Roman" w:hAnsi="Times New Roman" w:eastAsia="宋体" w:cs="Times New Roman"/>
                      <w:color w:val="auto"/>
                      <w:sz w:val="22"/>
                      <w:szCs w:val="22"/>
                      <w:vertAlign w:val="superscript"/>
                      <w:lang w:val="en-US" w:eastAsia="zh-CN"/>
                    </w:rPr>
                    <w:t>2</w:t>
                  </w:r>
                  <w:r>
                    <w:rPr>
                      <w:rFonts w:hint="default" w:ascii="Times New Roman" w:hAnsi="Times New Roman" w:eastAsia="宋体" w:cs="Times New Roman"/>
                      <w:color w:val="auto"/>
                      <w:sz w:val="22"/>
                      <w:szCs w:val="22"/>
                      <w:lang w:val="en-US" w:eastAsia="zh-CN"/>
                    </w:rPr>
                    <w:t>。油库进行重点防渗处置，底部设置托盘</w:t>
                  </w:r>
                </w:p>
              </w:tc>
              <w:tc>
                <w:tcPr>
                  <w:tcW w:w="971" w:type="dxa"/>
                  <w:tcBorders>
                    <w:tl2br w:val="nil"/>
                    <w:tr2bl w:val="nil"/>
                  </w:tcBorders>
                  <w:noWrap w:val="0"/>
                  <w:tcMar>
                    <w:left w:w="28" w:type="dxa"/>
                    <w:right w:w="28" w:type="dxa"/>
                  </w:tcMar>
                  <w:vAlign w:val="center"/>
                </w:tcPr>
                <w:p w14:paraId="32D3F48F">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kern w:val="0"/>
                      <w:sz w:val="22"/>
                      <w:szCs w:val="22"/>
                      <w:vertAlign w:val="baseline"/>
                      <w:lang w:val="en-US" w:eastAsia="zh-CN"/>
                    </w:rPr>
                    <w:t>已建</w:t>
                  </w:r>
                </w:p>
              </w:tc>
            </w:tr>
            <w:tr w14:paraId="1567BC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20" w:type="dxa"/>
                  <w:vMerge w:val="continue"/>
                  <w:tcBorders>
                    <w:tl2br w:val="nil"/>
                    <w:tr2bl w:val="nil"/>
                  </w:tcBorders>
                  <w:noWrap w:val="0"/>
                  <w:tcMar>
                    <w:left w:w="28" w:type="dxa"/>
                    <w:right w:w="28" w:type="dxa"/>
                  </w:tcMar>
                  <w:vAlign w:val="center"/>
                </w:tcPr>
                <w:p w14:paraId="269559BA">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vMerge w:val="continue"/>
                  <w:tcBorders>
                    <w:tl2br w:val="nil"/>
                    <w:tr2bl w:val="nil"/>
                  </w:tcBorders>
                  <w:noWrap w:val="0"/>
                  <w:tcMar>
                    <w:left w:w="28" w:type="dxa"/>
                    <w:right w:w="28" w:type="dxa"/>
                  </w:tcMar>
                  <w:vAlign w:val="center"/>
                </w:tcPr>
                <w:p w14:paraId="042267F1">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2"/>
                      <w:szCs w:val="22"/>
                      <w:lang w:val="en-US" w:eastAsia="zh-CN"/>
                    </w:rPr>
                  </w:pPr>
                </w:p>
              </w:tc>
              <w:tc>
                <w:tcPr>
                  <w:tcW w:w="5342" w:type="dxa"/>
                  <w:gridSpan w:val="2"/>
                  <w:tcBorders>
                    <w:tl2br w:val="nil"/>
                    <w:tr2bl w:val="nil"/>
                  </w:tcBorders>
                  <w:noWrap w:val="0"/>
                  <w:tcMar>
                    <w:left w:w="28" w:type="dxa"/>
                    <w:right w:w="28" w:type="dxa"/>
                  </w:tcMar>
                  <w:vAlign w:val="center"/>
                </w:tcPr>
                <w:p w14:paraId="2B1CEEBF">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bCs/>
                      <w:color w:val="auto"/>
                      <w:sz w:val="22"/>
                      <w:szCs w:val="22"/>
                      <w:lang w:val="en-US" w:eastAsia="zh-CN" w:bidi="ar"/>
                    </w:rPr>
                  </w:pPr>
                  <w:r>
                    <w:rPr>
                      <w:rFonts w:hint="default" w:ascii="Times New Roman" w:hAnsi="Times New Roman" w:eastAsia="宋体" w:cs="Times New Roman"/>
                      <w:bCs/>
                      <w:color w:val="auto"/>
                      <w:sz w:val="22"/>
                      <w:szCs w:val="22"/>
                      <w:lang w:val="en-US" w:eastAsia="zh-CN" w:bidi="ar"/>
                    </w:rPr>
                    <w:t>危险废物贮存库设置了钢板防渗</w:t>
                  </w:r>
                </w:p>
              </w:tc>
              <w:tc>
                <w:tcPr>
                  <w:tcW w:w="971" w:type="dxa"/>
                  <w:tcBorders>
                    <w:tl2br w:val="nil"/>
                    <w:tr2bl w:val="nil"/>
                  </w:tcBorders>
                  <w:noWrap w:val="0"/>
                  <w:tcMar>
                    <w:left w:w="28" w:type="dxa"/>
                    <w:right w:w="28" w:type="dxa"/>
                  </w:tcMar>
                  <w:vAlign w:val="center"/>
                </w:tcPr>
                <w:p w14:paraId="0996A0F7">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kern w:val="0"/>
                      <w:sz w:val="22"/>
                      <w:szCs w:val="22"/>
                      <w:vertAlign w:val="baseline"/>
                      <w:lang w:val="en-US" w:eastAsia="zh-CN"/>
                    </w:rPr>
                    <w:t>已建</w:t>
                  </w:r>
                </w:p>
              </w:tc>
            </w:tr>
            <w:tr w14:paraId="449AAF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20" w:type="dxa"/>
                  <w:vMerge w:val="continue"/>
                  <w:tcBorders>
                    <w:tl2br w:val="nil"/>
                    <w:tr2bl w:val="nil"/>
                  </w:tcBorders>
                  <w:noWrap w:val="0"/>
                  <w:tcMar>
                    <w:left w:w="28" w:type="dxa"/>
                    <w:right w:w="28" w:type="dxa"/>
                  </w:tcMar>
                  <w:vAlign w:val="center"/>
                </w:tcPr>
                <w:p w14:paraId="773A32F6">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0"/>
                      <w:sz w:val="22"/>
                      <w:szCs w:val="22"/>
                      <w:vertAlign w:val="baseline"/>
                      <w:lang w:val="en-US" w:eastAsia="zh-CN"/>
                    </w:rPr>
                  </w:pPr>
                </w:p>
              </w:tc>
              <w:tc>
                <w:tcPr>
                  <w:tcW w:w="1082" w:type="dxa"/>
                  <w:vMerge w:val="continue"/>
                  <w:tcBorders>
                    <w:tl2br w:val="nil"/>
                    <w:tr2bl w:val="nil"/>
                  </w:tcBorders>
                  <w:noWrap w:val="0"/>
                  <w:tcMar>
                    <w:left w:w="28" w:type="dxa"/>
                    <w:right w:w="28" w:type="dxa"/>
                  </w:tcMar>
                  <w:vAlign w:val="center"/>
                </w:tcPr>
                <w:p w14:paraId="0B682DB9">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2"/>
                      <w:szCs w:val="22"/>
                      <w:lang w:val="en-US" w:eastAsia="zh-CN"/>
                    </w:rPr>
                  </w:pPr>
                </w:p>
              </w:tc>
              <w:tc>
                <w:tcPr>
                  <w:tcW w:w="5342" w:type="dxa"/>
                  <w:gridSpan w:val="2"/>
                  <w:tcBorders>
                    <w:tl2br w:val="nil"/>
                    <w:tr2bl w:val="nil"/>
                  </w:tcBorders>
                  <w:noWrap w:val="0"/>
                  <w:tcMar>
                    <w:left w:w="28" w:type="dxa"/>
                    <w:right w:w="28" w:type="dxa"/>
                  </w:tcMar>
                  <w:vAlign w:val="center"/>
                </w:tcPr>
                <w:p w14:paraId="622FA6DE">
                  <w:pPr>
                    <w:keepNext w:val="0"/>
                    <w:keepLines w:val="0"/>
                    <w:pageBreakBefore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bCs/>
                      <w:color w:val="auto"/>
                      <w:sz w:val="22"/>
                      <w:szCs w:val="22"/>
                      <w:lang w:val="en-US" w:eastAsia="zh-CN" w:bidi="ar"/>
                    </w:rPr>
                    <w:t>天然气熔炼炉设置了气体报警仪</w:t>
                  </w:r>
                </w:p>
              </w:tc>
              <w:tc>
                <w:tcPr>
                  <w:tcW w:w="971" w:type="dxa"/>
                  <w:tcBorders>
                    <w:tl2br w:val="nil"/>
                    <w:tr2bl w:val="nil"/>
                  </w:tcBorders>
                  <w:noWrap w:val="0"/>
                  <w:tcMar>
                    <w:left w:w="28" w:type="dxa"/>
                    <w:right w:w="28" w:type="dxa"/>
                  </w:tcMar>
                  <w:vAlign w:val="center"/>
                </w:tcPr>
                <w:p w14:paraId="1F178685">
                  <w:pPr>
                    <w:keepNext w:val="0"/>
                    <w:keepLines w:val="0"/>
                    <w:pageBreakBefore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kern w:val="0"/>
                      <w:sz w:val="22"/>
                      <w:szCs w:val="22"/>
                      <w:vertAlign w:val="baseline"/>
                      <w:lang w:val="en-US" w:eastAsia="zh-CN"/>
                    </w:rPr>
                    <w:t>已建</w:t>
                  </w:r>
                </w:p>
              </w:tc>
            </w:tr>
          </w:tbl>
          <w:p w14:paraId="2BF06334">
            <w:pPr>
              <w:spacing w:line="460" w:lineRule="exact"/>
              <w:rPr>
                <w:rFonts w:hint="eastAsia" w:ascii="Times New Roman" w:hAnsi="Times New Roman"/>
                <w:b/>
                <w:color w:val="auto"/>
                <w:sz w:val="26"/>
                <w:szCs w:val="26"/>
              </w:rPr>
            </w:pPr>
          </w:p>
          <w:p w14:paraId="5021B737">
            <w:pPr>
              <w:spacing w:line="460" w:lineRule="exact"/>
              <w:rPr>
                <w:rFonts w:ascii="Times New Roman" w:hAnsi="Times New Roman"/>
                <w:b/>
                <w:color w:val="auto"/>
                <w:sz w:val="26"/>
                <w:szCs w:val="26"/>
              </w:rPr>
            </w:pPr>
            <w:r>
              <w:rPr>
                <w:rFonts w:hint="eastAsia" w:ascii="Times New Roman" w:hAnsi="Times New Roman"/>
                <w:b/>
                <w:color w:val="auto"/>
                <w:sz w:val="26"/>
                <w:szCs w:val="26"/>
              </w:rPr>
              <w:t>2.1</w:t>
            </w:r>
            <w:r>
              <w:rPr>
                <w:rFonts w:hint="eastAsia" w:ascii="Times New Roman" w:hAnsi="Times New Roman"/>
                <w:b/>
                <w:color w:val="auto"/>
                <w:sz w:val="26"/>
                <w:szCs w:val="26"/>
                <w:lang w:val="en-US" w:eastAsia="zh-CN"/>
              </w:rPr>
              <w:t>4</w:t>
            </w:r>
            <w:r>
              <w:rPr>
                <w:rFonts w:hint="eastAsia" w:ascii="Times New Roman" w:hAnsi="Times New Roman"/>
                <w:b/>
                <w:color w:val="auto"/>
                <w:sz w:val="26"/>
                <w:szCs w:val="26"/>
              </w:rPr>
              <w:t>现有</w:t>
            </w:r>
            <w:r>
              <w:rPr>
                <w:rFonts w:hint="eastAsia" w:ascii="Times New Roman" w:hAnsi="Times New Roman"/>
                <w:b/>
                <w:color w:val="auto"/>
                <w:sz w:val="26"/>
                <w:szCs w:val="26"/>
                <w:lang w:val="en-US" w:eastAsia="zh-CN"/>
              </w:rPr>
              <w:t>项目</w:t>
            </w:r>
            <w:r>
              <w:rPr>
                <w:rFonts w:hint="eastAsia" w:ascii="Times New Roman" w:hAnsi="Times New Roman"/>
                <w:b/>
                <w:color w:val="auto"/>
                <w:sz w:val="26"/>
                <w:szCs w:val="26"/>
              </w:rPr>
              <w:t>生产装置</w:t>
            </w:r>
          </w:p>
          <w:p w14:paraId="02C51FC7">
            <w:pPr>
              <w:snapToGrid w:val="0"/>
              <w:spacing w:line="460" w:lineRule="exact"/>
              <w:ind w:firstLine="520" w:firstLineChars="200"/>
              <w:rPr>
                <w:rFonts w:ascii="Times New Roman" w:hAnsi="Times New Roman"/>
                <w:color w:val="auto"/>
                <w:sz w:val="26"/>
                <w:szCs w:val="26"/>
              </w:rPr>
            </w:pPr>
            <w:r>
              <w:rPr>
                <w:rFonts w:hint="eastAsia" w:ascii="Times New Roman" w:hAnsi="Times New Roman"/>
                <w:color w:val="auto"/>
                <w:sz w:val="26"/>
                <w:szCs w:val="26"/>
              </w:rPr>
              <w:t>现有项目主要生产设施详见表2.</w:t>
            </w:r>
            <w:r>
              <w:rPr>
                <w:rFonts w:hint="eastAsia" w:ascii="Times New Roman" w:hAnsi="Times New Roman"/>
                <w:color w:val="auto"/>
                <w:sz w:val="26"/>
                <w:szCs w:val="26"/>
                <w:lang w:val="en-US" w:eastAsia="zh-CN"/>
              </w:rPr>
              <w:t>5</w:t>
            </w:r>
            <w:r>
              <w:rPr>
                <w:rFonts w:hint="eastAsia" w:ascii="Times New Roman" w:hAnsi="Times New Roman"/>
                <w:color w:val="auto"/>
                <w:sz w:val="26"/>
                <w:szCs w:val="26"/>
              </w:rPr>
              <w:t>-1</w:t>
            </w:r>
            <w:r>
              <w:rPr>
                <w:rFonts w:hint="eastAsia"/>
                <w:color w:val="auto"/>
                <w:sz w:val="26"/>
                <w:szCs w:val="26"/>
                <w:lang w:val="en-US" w:eastAsia="zh-CN"/>
              </w:rPr>
              <w:t>所示</w:t>
            </w:r>
            <w:r>
              <w:rPr>
                <w:rFonts w:hint="eastAsia" w:ascii="Times New Roman" w:hAnsi="Times New Roman"/>
                <w:color w:val="auto"/>
                <w:sz w:val="26"/>
                <w:szCs w:val="26"/>
              </w:rPr>
              <w:t>。</w:t>
            </w:r>
          </w:p>
          <w:p w14:paraId="4DC3D8F3">
            <w:pPr>
              <w:spacing w:line="460" w:lineRule="exact"/>
              <w:rPr>
                <w:rFonts w:hint="eastAsia" w:ascii="Times New Roman" w:hAnsi="Times New Roman"/>
                <w:b/>
                <w:color w:val="auto"/>
                <w:sz w:val="26"/>
                <w:szCs w:val="26"/>
              </w:rPr>
            </w:pPr>
            <w:r>
              <w:rPr>
                <w:rFonts w:hint="eastAsia" w:ascii="Times New Roman" w:hAnsi="Times New Roman"/>
                <w:b/>
                <w:color w:val="auto"/>
                <w:sz w:val="26"/>
                <w:szCs w:val="26"/>
              </w:rPr>
              <w:t>2.1</w:t>
            </w:r>
            <w:r>
              <w:rPr>
                <w:rFonts w:hint="eastAsia" w:ascii="Times New Roman" w:hAnsi="Times New Roman"/>
                <w:b/>
                <w:color w:val="auto"/>
                <w:sz w:val="26"/>
                <w:szCs w:val="26"/>
                <w:lang w:val="en-US" w:eastAsia="zh-CN"/>
              </w:rPr>
              <w:t>5</w:t>
            </w:r>
            <w:r>
              <w:rPr>
                <w:rFonts w:hint="eastAsia" w:ascii="Times New Roman" w:hAnsi="Times New Roman"/>
                <w:b/>
                <w:color w:val="auto"/>
                <w:sz w:val="26"/>
                <w:szCs w:val="26"/>
              </w:rPr>
              <w:t>现有工艺流程及产污环节</w:t>
            </w:r>
          </w:p>
          <w:p w14:paraId="13569973">
            <w:pPr>
              <w:spacing w:line="460" w:lineRule="exact"/>
              <w:rPr>
                <w:rFonts w:hint="default" w:ascii="Times New Roman" w:hAnsi="Times New Roman" w:eastAsia="宋体" w:cs="Times New Roman"/>
                <w:b/>
                <w:color w:val="auto"/>
                <w:sz w:val="26"/>
                <w:szCs w:val="26"/>
                <w:lang w:val="en-US" w:eastAsia="zh-CN"/>
              </w:rPr>
            </w:pPr>
            <w:r>
              <w:rPr>
                <w:rFonts w:hint="eastAsia" w:ascii="Times New Roman" w:hAnsi="Times New Roman" w:eastAsia="宋体" w:cs="Times New Roman"/>
                <w:b/>
                <w:color w:val="auto"/>
                <w:sz w:val="26"/>
                <w:szCs w:val="26"/>
                <w:lang w:val="en-US" w:eastAsia="zh-CN"/>
              </w:rPr>
              <w:t>2.15.1工艺流程</w:t>
            </w:r>
          </w:p>
          <w:p w14:paraId="160628A0">
            <w:pPr>
              <w:snapToGrid w:val="0"/>
              <w:spacing w:line="460" w:lineRule="exact"/>
              <w:ind w:firstLine="520" w:firstLineChars="200"/>
              <w:rPr>
                <w:rFonts w:hint="eastAsia" w:ascii="Times New Roman" w:hAnsi="Times New Roman" w:eastAsia="宋体" w:cs="Times New Roman"/>
                <w:color w:val="auto"/>
                <w:sz w:val="26"/>
                <w:szCs w:val="26"/>
                <w:lang w:eastAsia="zh-CN"/>
              </w:rPr>
            </w:pPr>
            <w:r>
              <w:rPr>
                <w:rFonts w:hint="eastAsia" w:ascii="Times New Roman" w:hAnsi="Times New Roman" w:eastAsia="宋体" w:cs="Times New Roman"/>
                <w:color w:val="auto"/>
                <w:sz w:val="26"/>
                <w:szCs w:val="26"/>
                <w:lang w:val="en-US" w:eastAsia="zh-CN"/>
              </w:rPr>
              <w:t>现有项目主要有铝合金圆柱棒生产线和铝合金系列产品生产线，主要生产流程类似，均是将铝锭、合金元素等原料装入熔炼炉，</w:t>
            </w:r>
            <w:r>
              <w:rPr>
                <w:rFonts w:hint="eastAsia" w:ascii="Times New Roman" w:hAnsi="Times New Roman" w:eastAsia="宋体" w:cs="Times New Roman"/>
                <w:color w:val="auto"/>
                <w:sz w:val="26"/>
                <w:szCs w:val="26"/>
              </w:rPr>
              <w:t>加热</w:t>
            </w:r>
            <w:r>
              <w:rPr>
                <w:rFonts w:hint="eastAsia" w:ascii="Times New Roman" w:hAnsi="Times New Roman" w:eastAsia="宋体" w:cs="Times New Roman"/>
                <w:color w:val="auto"/>
                <w:sz w:val="26"/>
                <w:szCs w:val="26"/>
                <w:lang w:val="en-US" w:eastAsia="zh-CN"/>
              </w:rPr>
              <w:t>熔化</w:t>
            </w:r>
            <w:r>
              <w:rPr>
                <w:rFonts w:hint="eastAsia" w:ascii="Times New Roman" w:hAnsi="Times New Roman" w:eastAsia="宋体" w:cs="Times New Roman"/>
                <w:color w:val="auto"/>
                <w:sz w:val="26"/>
                <w:szCs w:val="26"/>
              </w:rPr>
              <w:t>，然后搅拌、除渣、除气</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rPr>
              <w:t>待炉内的</w:t>
            </w:r>
            <w:r>
              <w:rPr>
                <w:rFonts w:hint="eastAsia" w:ascii="Times New Roman" w:hAnsi="Times New Roman" w:eastAsia="宋体" w:cs="Times New Roman"/>
                <w:color w:val="auto"/>
                <w:sz w:val="26"/>
                <w:szCs w:val="26"/>
                <w:lang w:eastAsia="zh-CN"/>
              </w:rPr>
              <w:t>铝液</w:t>
            </w:r>
            <w:r>
              <w:rPr>
                <w:rFonts w:hint="eastAsia" w:ascii="Times New Roman" w:hAnsi="Times New Roman" w:eastAsia="宋体" w:cs="Times New Roman"/>
                <w:color w:val="auto"/>
                <w:sz w:val="26"/>
                <w:szCs w:val="26"/>
              </w:rPr>
              <w:t>取样合格后，铝液进入铸造平台浇铸</w:t>
            </w:r>
            <w:r>
              <w:rPr>
                <w:rFonts w:hint="eastAsia" w:ascii="Times New Roman" w:hAnsi="Times New Roman" w:eastAsia="宋体" w:cs="Times New Roman"/>
                <w:color w:val="auto"/>
                <w:sz w:val="26"/>
                <w:szCs w:val="26"/>
                <w:lang w:eastAsia="zh-CN"/>
              </w:rPr>
              <w:t>成产品。具体如下：</w:t>
            </w:r>
          </w:p>
          <w:p w14:paraId="43B2C293">
            <w:pPr>
              <w:snapToGrid w:val="0"/>
              <w:spacing w:line="460" w:lineRule="exact"/>
              <w:ind w:firstLine="520" w:firstLineChars="200"/>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1</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铝合金圆柱棒生产线</w:t>
            </w:r>
          </w:p>
          <w:p w14:paraId="3B974BB5">
            <w:pPr>
              <w:snapToGrid w:val="0"/>
              <w:spacing w:line="460" w:lineRule="exact"/>
              <w:ind w:firstLine="520" w:firstLineChars="200"/>
              <w:jc w:val="left"/>
              <w:rPr>
                <w:rFonts w:hint="eastAsia" w:ascii="Times New Roman" w:hAnsi="Times New Roman"/>
                <w:color w:val="auto"/>
                <w:sz w:val="26"/>
                <w:szCs w:val="26"/>
                <w:lang w:val="zh-CN"/>
              </w:rPr>
            </w:pPr>
            <w:r>
              <w:rPr>
                <w:rFonts w:hint="eastAsia" w:ascii="Times New Roman" w:hAnsi="Times New Roman" w:eastAsia="宋体" w:cs="Times New Roman"/>
                <w:color w:val="auto"/>
                <w:sz w:val="26"/>
                <w:szCs w:val="26"/>
                <w:lang w:eastAsia="zh-CN"/>
              </w:rPr>
              <w:t>铝合金圆铸棒</w:t>
            </w:r>
            <w:r>
              <w:rPr>
                <w:rFonts w:hint="eastAsia" w:ascii="Times New Roman" w:hAnsi="Times New Roman" w:eastAsia="宋体" w:cs="Times New Roman"/>
                <w:color w:val="auto"/>
                <w:sz w:val="26"/>
                <w:szCs w:val="26"/>
              </w:rPr>
              <w:t>生产</w:t>
            </w:r>
            <w:r>
              <w:rPr>
                <w:rFonts w:hint="eastAsia" w:ascii="Times New Roman" w:hAnsi="Times New Roman" w:eastAsia="宋体" w:cs="Times New Roman"/>
                <w:color w:val="auto"/>
                <w:sz w:val="26"/>
                <w:szCs w:val="26"/>
                <w:lang w:eastAsia="zh-CN"/>
              </w:rPr>
              <w:t>线</w:t>
            </w:r>
            <w:r>
              <w:rPr>
                <w:rFonts w:hint="eastAsia" w:ascii="Times New Roman" w:hAnsi="Times New Roman" w:eastAsia="宋体" w:cs="Times New Roman"/>
                <w:color w:val="auto"/>
                <w:sz w:val="26"/>
                <w:szCs w:val="26"/>
              </w:rPr>
              <w:t>工艺流程</w:t>
            </w:r>
            <w:r>
              <w:rPr>
                <w:rFonts w:hint="eastAsia" w:ascii="Times New Roman" w:hAnsi="Times New Roman" w:eastAsia="宋体" w:cs="Times New Roman"/>
                <w:color w:val="auto"/>
                <w:sz w:val="26"/>
                <w:szCs w:val="26"/>
                <w:lang w:val="en-US" w:eastAsia="zh-CN"/>
              </w:rPr>
              <w:t>见下图。</w:t>
            </w:r>
          </w:p>
          <w:p w14:paraId="7ED3A7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b/>
                <w:bCs/>
                <w:color w:val="auto"/>
                <w:sz w:val="26"/>
                <w:szCs w:val="26"/>
                <w:lang w:val="zh-CN"/>
              </w:rPr>
            </w:pPr>
            <w:r>
              <w:rPr>
                <w:rFonts w:hint="eastAsia" w:ascii="Times New Roman" w:hAnsi="Times New Roman"/>
                <w:b/>
                <w:bCs/>
                <w:color w:val="auto"/>
                <w:sz w:val="26"/>
                <w:szCs w:val="26"/>
                <w:lang w:val="zh-CN"/>
              </w:rPr>
              <w:object>
                <v:shape id="_x0000_i1028" o:spt="75" type="#_x0000_t75" style="height:150.35pt;width:396.7pt;" o:ole="t" filled="f" o:preferrelative="t" stroked="f" coordsize="21600,21600">
                  <v:path/>
                  <v:fill on="f" focussize="0,0"/>
                  <v:stroke on="f"/>
                  <v:imagedata r:id="rId21" o:title=""/>
                  <o:lock v:ext="edit" aspectratio="f"/>
                  <w10:wrap type="none"/>
                  <w10:anchorlock/>
                </v:shape>
                <o:OLEObject Type="Embed" ProgID="Visio.Drawing.15" ShapeID="_x0000_i1028" DrawAspect="Content" ObjectID="_1468075730" r:id="rId20">
                  <o:LockedField>false</o:LockedField>
                </o:OLEObject>
              </w:object>
            </w:r>
            <w:r>
              <w:rPr>
                <w:rFonts w:hint="eastAsia" w:ascii="Times New Roman" w:hAnsi="Times New Roman"/>
                <w:b/>
                <w:bCs/>
                <w:color w:val="auto"/>
                <w:sz w:val="26"/>
                <w:szCs w:val="26"/>
                <w:u w:val="single"/>
                <w:lang w:val="zh-CN"/>
              </w:rPr>
              <w:t>图</w:t>
            </w:r>
            <w:r>
              <w:rPr>
                <w:rFonts w:hint="eastAsia" w:ascii="Times New Roman" w:hAnsi="Times New Roman"/>
                <w:b/>
                <w:bCs/>
                <w:color w:val="auto"/>
                <w:sz w:val="26"/>
                <w:szCs w:val="26"/>
                <w:u w:val="single"/>
              </w:rPr>
              <w:t>2.1</w:t>
            </w:r>
            <w:r>
              <w:rPr>
                <w:rFonts w:hint="eastAsia" w:ascii="Times New Roman" w:hAnsi="Times New Roman"/>
                <w:b/>
                <w:bCs/>
                <w:color w:val="auto"/>
                <w:sz w:val="26"/>
                <w:szCs w:val="26"/>
                <w:u w:val="single"/>
                <w:lang w:val="en-US" w:eastAsia="zh-CN"/>
              </w:rPr>
              <w:t>5</w:t>
            </w:r>
            <w:r>
              <w:rPr>
                <w:rFonts w:hint="eastAsia" w:ascii="Times New Roman" w:hAnsi="Times New Roman"/>
                <w:b/>
                <w:bCs/>
                <w:color w:val="auto"/>
                <w:sz w:val="26"/>
                <w:szCs w:val="26"/>
                <w:u w:val="single"/>
              </w:rPr>
              <w:t>-1</w:t>
            </w:r>
            <w:r>
              <w:rPr>
                <w:rFonts w:hint="eastAsia" w:ascii="Times New Roman" w:hAnsi="Times New Roman"/>
                <w:b/>
                <w:bCs/>
                <w:color w:val="auto"/>
                <w:sz w:val="26"/>
                <w:szCs w:val="26"/>
                <w:u w:val="single"/>
                <w:lang w:val="zh-CN"/>
              </w:rPr>
              <w:t xml:space="preserve"> </w:t>
            </w:r>
            <w:r>
              <w:rPr>
                <w:rFonts w:hint="eastAsia" w:ascii="Times New Roman" w:hAnsi="Times New Roman"/>
                <w:b/>
                <w:bCs/>
                <w:color w:val="auto"/>
                <w:sz w:val="26"/>
                <w:szCs w:val="26"/>
                <w:u w:val="single"/>
                <w:lang w:val="zh-CN" w:eastAsia="zh-CN"/>
              </w:rPr>
              <w:t>铝合金圆铸棒</w:t>
            </w:r>
            <w:r>
              <w:rPr>
                <w:rFonts w:hint="eastAsia" w:ascii="Times New Roman" w:hAnsi="Times New Roman"/>
                <w:b/>
                <w:bCs/>
                <w:color w:val="auto"/>
                <w:sz w:val="26"/>
                <w:szCs w:val="26"/>
                <w:u w:val="single"/>
                <w:lang w:val="zh-CN"/>
              </w:rPr>
              <w:t>生产</w:t>
            </w:r>
            <w:r>
              <w:rPr>
                <w:rFonts w:hint="eastAsia" w:ascii="Times New Roman" w:hAnsi="Times New Roman"/>
                <w:b/>
                <w:bCs/>
                <w:color w:val="auto"/>
                <w:sz w:val="26"/>
                <w:szCs w:val="26"/>
                <w:u w:val="single"/>
                <w:lang w:val="zh-CN" w:eastAsia="zh-CN"/>
              </w:rPr>
              <w:t>线</w:t>
            </w:r>
            <w:r>
              <w:rPr>
                <w:rFonts w:hint="eastAsia" w:ascii="Times New Roman" w:hAnsi="Times New Roman"/>
                <w:b/>
                <w:bCs/>
                <w:color w:val="auto"/>
                <w:sz w:val="26"/>
                <w:szCs w:val="26"/>
                <w:u w:val="single"/>
                <w:lang w:val="zh-CN"/>
              </w:rPr>
              <w:t>工艺流程及产污环节图</w:t>
            </w:r>
          </w:p>
          <w:p w14:paraId="1F527045">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rPr>
              <w:t>具体工艺流程如下：</w:t>
            </w:r>
          </w:p>
          <w:p w14:paraId="0FFD627A">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rPr>
              <w:t>①配料</w:t>
            </w:r>
          </w:p>
          <w:p w14:paraId="47BB65B9">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rPr>
              <w:t>根据产品合金进行配料，不同合金铝合金产品需要配料不同比例的铝锭、</w:t>
            </w:r>
            <w:r>
              <w:rPr>
                <w:rFonts w:hint="eastAsia" w:ascii="Times New Roman" w:hAnsi="Times New Roman" w:eastAsia="宋体" w:cs="Times New Roman"/>
                <w:color w:val="auto"/>
                <w:sz w:val="26"/>
                <w:szCs w:val="26"/>
                <w:lang w:val="en-US" w:eastAsia="zh-CN"/>
              </w:rPr>
              <w:t>复合</w:t>
            </w:r>
            <w:r>
              <w:rPr>
                <w:rFonts w:hint="eastAsia" w:ascii="Times New Roman" w:hAnsi="Times New Roman" w:eastAsia="宋体" w:cs="Times New Roman"/>
                <w:color w:val="auto"/>
                <w:sz w:val="26"/>
                <w:szCs w:val="26"/>
              </w:rPr>
              <w:t>铝锭、中间合金锭及小金属等。</w:t>
            </w:r>
          </w:p>
          <w:p w14:paraId="54CEAE0F">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rPr>
              <w:t>②熔炼</w:t>
            </w:r>
          </w:p>
          <w:p w14:paraId="3858769E">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rPr>
              <w:t>熔炼炉侧壁各设有2个烧嘴喷入天然气与空气的混合气体，在炉膛内燃烧，热量通过炉壁反射作用加热炉料，熔池温度约750℃，炉膛温度900~1000℃。熔池内铝液通过电磁搅拌器搅拌，可使池内炉内铝液充分循环起来，使后续加入的固体料（合金元素铜、锌、镁）加快熔化，可有效减低铝料烧损。在精炼过程中阻断空气与</w:t>
            </w:r>
            <w:r>
              <w:rPr>
                <w:rFonts w:hint="eastAsia" w:ascii="Times New Roman" w:hAnsi="Times New Roman" w:eastAsia="宋体" w:cs="Times New Roman"/>
                <w:color w:val="auto"/>
                <w:sz w:val="26"/>
                <w:szCs w:val="26"/>
              </w:rPr>
              <w:fldChar w:fldCharType="begin"/>
            </w:r>
            <w:r>
              <w:rPr>
                <w:rFonts w:hint="eastAsia" w:ascii="Times New Roman" w:hAnsi="Times New Roman" w:eastAsia="宋体" w:cs="Times New Roman"/>
                <w:color w:val="auto"/>
                <w:sz w:val="26"/>
                <w:szCs w:val="26"/>
              </w:rPr>
              <w:instrText xml:space="preserve"> HYPERLINK "https://www.alu.cn/aluTrade/tags_94DD6DB2.html" \t "_blank" </w:instrText>
            </w:r>
            <w:r>
              <w:rPr>
                <w:rFonts w:hint="eastAsia" w:ascii="Times New Roman" w:hAnsi="Times New Roman" w:eastAsia="宋体" w:cs="Times New Roman"/>
                <w:color w:val="auto"/>
                <w:sz w:val="26"/>
                <w:szCs w:val="26"/>
              </w:rPr>
              <w:fldChar w:fldCharType="separate"/>
            </w:r>
            <w:r>
              <w:rPr>
                <w:rFonts w:hint="eastAsia" w:ascii="Times New Roman" w:hAnsi="Times New Roman" w:eastAsia="宋体" w:cs="Times New Roman"/>
                <w:color w:val="auto"/>
                <w:sz w:val="26"/>
                <w:szCs w:val="26"/>
              </w:rPr>
              <w:t>铝液</w:t>
            </w:r>
            <w:r>
              <w:rPr>
                <w:rFonts w:hint="eastAsia" w:ascii="Times New Roman" w:hAnsi="Times New Roman" w:eastAsia="宋体" w:cs="Times New Roman"/>
                <w:color w:val="auto"/>
                <w:sz w:val="26"/>
                <w:szCs w:val="26"/>
              </w:rPr>
              <w:fldChar w:fldCharType="end"/>
            </w:r>
            <w:r>
              <w:rPr>
                <w:rFonts w:hint="eastAsia" w:ascii="Times New Roman" w:hAnsi="Times New Roman" w:eastAsia="宋体" w:cs="Times New Roman"/>
                <w:color w:val="auto"/>
                <w:sz w:val="26"/>
                <w:szCs w:val="26"/>
              </w:rPr>
              <w:t>的接触，减少铝液精炼时的吸气现象，降低铝液的含气量，向熔体内喷入氩气，氩气是惰性气体，性质稳定，不易与铝液里的其他元素发生反应，在精炼的过程中不产生有毒有害气体，使精炼过程绿色环保、无毒害、更安全。</w:t>
            </w:r>
          </w:p>
          <w:p w14:paraId="63206BA0">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rPr>
              <w:t>③扒渣</w:t>
            </w:r>
          </w:p>
          <w:p w14:paraId="3AC679AA">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lang w:val="en-US" w:eastAsia="zh-CN"/>
              </w:rPr>
              <w:t>本</w:t>
            </w:r>
            <w:r>
              <w:rPr>
                <w:rFonts w:hint="eastAsia" w:ascii="Times New Roman" w:hAnsi="Times New Roman" w:eastAsia="宋体" w:cs="Times New Roman"/>
                <w:color w:val="auto"/>
                <w:sz w:val="26"/>
                <w:szCs w:val="26"/>
              </w:rPr>
              <w:t>项目熔炼过程产生的铝灰渣浮于铝液表面，在进入铸造前需要对铝灰渣进行扒渣。</w:t>
            </w:r>
          </w:p>
          <w:p w14:paraId="01208C24">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rPr>
              <w:t>当炉料均熔化后，加入除渣剂，搅拌熔体，以利于熔体温度一致，成分均匀，搅拌过程完全自动化。采用人工+叉车扒渣，清除熔体中浮游的氧化夹渣，使熔体更纯净。扒出来的热渣于炉门前操作区进行冷却，冷却后采用尼龙袋进行装袋，用叉车运至铝渣暂存点暂存。</w:t>
            </w:r>
          </w:p>
          <w:p w14:paraId="7CC8530C">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rPr>
              <w:t>该过程中产生熔炼废气在炉门的上方设置了吸气罩对废气进行收集，与熔炼废气一并进行处理。</w:t>
            </w:r>
          </w:p>
          <w:p w14:paraId="09DB090B">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rPr>
              <w:t>④检验及成分调整</w:t>
            </w:r>
          </w:p>
          <w:p w14:paraId="3694F2F3">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rPr>
              <w:t>对扒渣后的铝液采样，分析铝液化学成分是否符合标准要求，当分析结果和合金标准或成分要求不相符时应调整成分，通过冲淡或补料调整。</w:t>
            </w:r>
          </w:p>
          <w:p w14:paraId="5E8F8523">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rPr>
              <w:t>⑤在线过滤</w:t>
            </w:r>
          </w:p>
          <w:p w14:paraId="5B7FA179">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rPr>
              <w:t>检验合格后的铝液进入在线除气、过滤系统进行熔体晶粒细化和除气。项目晶粒细化装置采用炉外加入铝-钛-硼线杆的方式，从而达到铝熔体晶粒细化的目的。晶粒细化后的熔体进入除气箱进行除气、除渣。除气、除渣后的熔体进入陶瓷板过滤工序，陶瓷板过滤可进一步对熔体进行物理过滤。</w:t>
            </w:r>
          </w:p>
          <w:p w14:paraId="3A894EF3">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rPr>
              <w:t>⑥铸造</w:t>
            </w:r>
          </w:p>
          <w:p w14:paraId="38C6D821">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rPr>
              <w:t>经调制精炼后的铝液检验合格后即可进入浇铸工段。铸造采用连续铸造，铸模依次前进，铝液逐渐冷却（使用水循环冷却），当铝液到达铸造机顶端时，已经完全凝固成铝棒，铸模翻转，铝棒脱模，由天车吊运至半成品堆存，便于后续的均质或机加。自动连续铸锭系统由铸造平台、升降台、传送装置、铸锭底座、水冷系统等组成。项目使用石墨模具，不使用脱模剂。</w:t>
            </w:r>
          </w:p>
          <w:p w14:paraId="67C4C8DD">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rPr>
              <w:t>⑦均质</w:t>
            </w:r>
          </w:p>
          <w:p w14:paraId="537BB1E9">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rPr>
              <w:t>根据客户的需要，对铝棒进行加热均质，达到改善成品表面质量及力学性能。污染物主要为天然气燃烧产生的废气。</w:t>
            </w:r>
          </w:p>
          <w:p w14:paraId="5E5B193A">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rPr>
              <w:t>⑧锯切、剥皮</w:t>
            </w:r>
          </w:p>
          <w:p w14:paraId="7B992CAF">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rPr>
              <w:t>采用锯切机、车床等对部分铝棒进行处理，达到客户所需的尺寸和要求后的产品即为成品外卖。</w:t>
            </w:r>
            <w:r>
              <w:rPr>
                <w:rFonts w:hint="default" w:ascii="Times New Roman" w:hAnsi="Times New Roman" w:eastAsia="宋体" w:cs="Times New Roman"/>
                <w:color w:val="auto"/>
                <w:sz w:val="26"/>
                <w:szCs w:val="26"/>
                <w:lang w:val="en-US" w:eastAsia="zh-CN"/>
              </w:rPr>
              <w:t>该过程中产生噪声和一定量的废</w:t>
            </w:r>
            <w:r>
              <w:rPr>
                <w:rFonts w:hint="default" w:ascii="Times New Roman" w:hAnsi="Times New Roman" w:eastAsia="宋体" w:cs="Times New Roman"/>
                <w:color w:val="auto"/>
                <w:sz w:val="26"/>
                <w:szCs w:val="26"/>
              </w:rPr>
              <w:t>铝</w:t>
            </w:r>
            <w:r>
              <w:rPr>
                <w:rFonts w:hint="default" w:ascii="Times New Roman" w:hAnsi="Times New Roman" w:eastAsia="宋体" w:cs="Times New Roman"/>
                <w:color w:val="auto"/>
                <w:sz w:val="26"/>
                <w:szCs w:val="26"/>
                <w:lang w:val="en-US" w:eastAsia="zh-CN"/>
              </w:rPr>
              <w:t>料S3，锯切及剥皮工序使用切削液，</w:t>
            </w:r>
            <w:r>
              <w:rPr>
                <w:rFonts w:hint="default" w:ascii="Times New Roman" w:hAnsi="Times New Roman" w:eastAsia="宋体" w:cs="Times New Roman"/>
                <w:color w:val="auto"/>
                <w:sz w:val="26"/>
                <w:szCs w:val="26"/>
                <w:highlight w:val="none"/>
                <w:lang w:val="en-US" w:eastAsia="zh-CN"/>
              </w:rPr>
              <w:t>切削液循环使用产生</w:t>
            </w:r>
            <w:r>
              <w:rPr>
                <w:rFonts w:hint="eastAsia" w:ascii="Times New Roman" w:hAnsi="Times New Roman" w:eastAsia="宋体" w:cs="Times New Roman"/>
                <w:color w:val="auto"/>
                <w:sz w:val="26"/>
                <w:szCs w:val="26"/>
              </w:rPr>
              <w:t>。</w:t>
            </w:r>
          </w:p>
          <w:p w14:paraId="42300C6B">
            <w:pPr>
              <w:spacing w:line="460" w:lineRule="exact"/>
              <w:ind w:firstLine="520" w:firstLineChars="200"/>
              <w:rPr>
                <w:rFonts w:hint="eastAsia" w:ascii="Times New Roman" w:hAnsi="Times New Roman" w:eastAsia="宋体" w:cs="Times New Roman"/>
                <w:color w:val="auto"/>
                <w:sz w:val="26"/>
                <w:szCs w:val="26"/>
                <w:lang w:eastAsia="zh-CN"/>
              </w:rPr>
            </w:pP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2</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铝合金系列产品生产线</w:t>
            </w:r>
          </w:p>
          <w:p w14:paraId="2028152F">
            <w:pPr>
              <w:spacing w:line="460" w:lineRule="exact"/>
              <w:ind w:firstLine="520" w:firstLineChars="200"/>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铝合金系列产品生产线</w:t>
            </w:r>
            <w:r>
              <w:rPr>
                <w:rFonts w:hint="eastAsia" w:ascii="Times New Roman" w:hAnsi="Times New Roman" w:eastAsia="宋体" w:cs="Times New Roman"/>
                <w:color w:val="auto"/>
                <w:kern w:val="0"/>
                <w:sz w:val="26"/>
                <w:szCs w:val="26"/>
                <w:lang w:val="en-US" w:eastAsia="zh-CN" w:bidi="ar-SA"/>
              </w:rPr>
              <w:t>产品小类包括铝合金铸锭、铝合金液及铸造铝合金，每小类产品根据产品要求生产工艺流程不同，因此工艺流程按照铝合金铸锭、铝合金液及铸造铝合金分别进行描述，具体生产工艺流程及产污环节图详见下图</w:t>
            </w:r>
          </w:p>
          <w:p w14:paraId="65A8FEB8">
            <w:pPr>
              <w:spacing w:line="460" w:lineRule="exact"/>
              <w:ind w:firstLine="520" w:firstLineChars="200"/>
              <w:rPr>
                <w:rFonts w:hint="eastAsia" w:ascii="Times New Roman" w:hAnsi="Times New Roman" w:eastAsia="宋体" w:cs="Times New Roman"/>
                <w:color w:val="auto"/>
                <w:sz w:val="26"/>
                <w:szCs w:val="26"/>
                <w:lang w:val="en-US" w:eastAsia="zh-CN"/>
              </w:rPr>
            </w:pPr>
          </w:p>
          <w:p w14:paraId="51E61994">
            <w:pPr>
              <w:spacing w:line="460" w:lineRule="exact"/>
              <w:ind w:firstLine="520" w:firstLineChars="200"/>
              <w:rPr>
                <w:rFonts w:hint="eastAsia" w:ascii="Times New Roman" w:hAnsi="Times New Roman" w:eastAsia="宋体" w:cs="Times New Roman"/>
                <w:color w:val="auto"/>
                <w:sz w:val="26"/>
                <w:szCs w:val="26"/>
              </w:rPr>
            </w:pPr>
          </w:p>
          <w:p w14:paraId="347A6820">
            <w:pPr>
              <w:spacing w:line="460" w:lineRule="exact"/>
              <w:ind w:firstLine="520" w:firstLineChars="200"/>
              <w:rPr>
                <w:rFonts w:hint="eastAsia" w:ascii="Times New Roman" w:hAnsi="Times New Roman" w:eastAsia="宋体" w:cs="Times New Roman"/>
                <w:color w:val="auto"/>
                <w:sz w:val="26"/>
                <w:szCs w:val="26"/>
              </w:rPr>
            </w:pPr>
          </w:p>
          <w:p w14:paraId="7386EF3E">
            <w:pPr>
              <w:spacing w:line="460" w:lineRule="exact"/>
              <w:ind w:firstLine="520" w:firstLineChars="200"/>
              <w:rPr>
                <w:rFonts w:hint="eastAsia" w:ascii="Times New Roman" w:hAnsi="Times New Roman" w:eastAsia="宋体" w:cs="Times New Roman"/>
                <w:color w:val="auto"/>
                <w:sz w:val="26"/>
                <w:szCs w:val="26"/>
              </w:rPr>
            </w:pPr>
          </w:p>
          <w:p w14:paraId="61217679">
            <w:pPr>
              <w:spacing w:line="460" w:lineRule="exact"/>
              <w:ind w:firstLine="520" w:firstLineChars="200"/>
              <w:rPr>
                <w:rFonts w:hint="eastAsia" w:ascii="Times New Roman" w:hAnsi="Times New Roman" w:eastAsia="宋体" w:cs="Times New Roman"/>
                <w:color w:val="auto"/>
                <w:sz w:val="26"/>
                <w:szCs w:val="26"/>
              </w:rPr>
            </w:pPr>
          </w:p>
          <w:p w14:paraId="5E696B88">
            <w:pPr>
              <w:adjustRightInd w:val="0"/>
              <w:snapToGrid w:val="0"/>
              <w:spacing w:line="460" w:lineRule="exact"/>
              <w:jc w:val="left"/>
              <w:rPr>
                <w:rFonts w:hint="default" w:ascii="Times New Roman" w:hAnsi="Times New Roman" w:eastAsia="宋体" w:cs="Times New Roman"/>
                <w:bCs/>
                <w:color w:val="auto"/>
                <w:sz w:val="26"/>
                <w:szCs w:val="26"/>
                <w:highlight w:val="none"/>
                <w:lang w:val="en-US" w:eastAsia="zh-CN"/>
              </w:rPr>
            </w:pPr>
          </w:p>
        </w:tc>
      </w:tr>
    </w:tbl>
    <w:p w14:paraId="0563A912">
      <w:pPr>
        <w:pStyle w:val="20"/>
        <w:jc w:val="both"/>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B071440">
      <w:pPr>
        <w:pStyle w:val="20"/>
        <w:jc w:val="both"/>
        <w:rPr>
          <w:rFonts w:hint="default" w:ascii="Times New Roman" w:hAnsi="Times New Roman" w:eastAsia="黑体" w:cs="Times New Roman"/>
          <w:snapToGrid w:val="0"/>
          <w:color w:val="auto"/>
          <w:sz w:val="36"/>
          <w:szCs w:val="36"/>
        </w:rPr>
      </w:pPr>
      <w:r>
        <w:rPr>
          <w:rFonts w:ascii="Times New Roman" w:hAnsi="Times New Roman" w:eastAsia="宋体" w:cs="Times New Roman"/>
          <w:color w:val="auto"/>
          <w:sz w:val="26"/>
          <w:szCs w:val="26"/>
        </w:rPr>
        <w:pict>
          <v:shape id="Object 42" o:spid="_x0000_s2211" o:spt="75" type="#_x0000_t75" style="position:absolute;left:0pt;margin-left:23.25pt;margin-top:-57.3pt;height:476.3pt;width:592.85pt;z-index:251659264;mso-width-relative:page;mso-height-relative:page;" o:ole="t" filled="f" o:preferrelative="t" stroked="f" coordsize="21600,21600">
            <v:path/>
            <v:fill on="f" focussize="0,0"/>
            <v:stroke on="f"/>
            <v:imagedata r:id="rId23" o:title=""/>
            <o:lock v:ext="edit" aspectratio="t"/>
          </v:shape>
          <o:OLEObject Type="Embed" ProgID="Visio.Drawing.11" ShapeID="Object 42" DrawAspect="Content" ObjectID="_1468075731" r:id="rId22">
            <o:LockedField>false</o:LockedField>
          </o:OLEObject>
        </w:pict>
      </w:r>
    </w:p>
    <w:p w14:paraId="137DB871">
      <w:pPr>
        <w:pStyle w:val="20"/>
        <w:jc w:val="both"/>
        <w:rPr>
          <w:rFonts w:hint="default" w:ascii="Times New Roman" w:hAnsi="Times New Roman" w:eastAsia="黑体" w:cs="Times New Roman"/>
          <w:snapToGrid w:val="0"/>
          <w:color w:val="auto"/>
          <w:sz w:val="36"/>
          <w:szCs w:val="36"/>
        </w:rPr>
      </w:pPr>
    </w:p>
    <w:p w14:paraId="3D3FB448">
      <w:pPr>
        <w:pStyle w:val="20"/>
        <w:jc w:val="both"/>
        <w:rPr>
          <w:rFonts w:hint="default" w:ascii="Times New Roman" w:hAnsi="Times New Roman" w:eastAsia="黑体" w:cs="Times New Roman"/>
          <w:snapToGrid w:val="0"/>
          <w:color w:val="auto"/>
          <w:sz w:val="36"/>
          <w:szCs w:val="36"/>
        </w:rPr>
      </w:pPr>
    </w:p>
    <w:p w14:paraId="3F9B62F9">
      <w:pPr>
        <w:pStyle w:val="20"/>
        <w:jc w:val="both"/>
        <w:rPr>
          <w:rFonts w:hint="default" w:ascii="Times New Roman" w:hAnsi="Times New Roman" w:eastAsia="黑体" w:cs="Times New Roman"/>
          <w:snapToGrid w:val="0"/>
          <w:color w:val="auto"/>
          <w:sz w:val="36"/>
          <w:szCs w:val="36"/>
        </w:rPr>
      </w:pPr>
    </w:p>
    <w:p w14:paraId="33069013">
      <w:pPr>
        <w:pStyle w:val="20"/>
        <w:jc w:val="both"/>
        <w:rPr>
          <w:rFonts w:hint="default" w:ascii="Times New Roman" w:hAnsi="Times New Roman" w:eastAsia="黑体" w:cs="Times New Roman"/>
          <w:snapToGrid w:val="0"/>
          <w:color w:val="auto"/>
          <w:sz w:val="36"/>
          <w:szCs w:val="36"/>
        </w:rPr>
      </w:pPr>
    </w:p>
    <w:p w14:paraId="5B2F1A1B">
      <w:pPr>
        <w:pStyle w:val="20"/>
        <w:jc w:val="both"/>
        <w:rPr>
          <w:rFonts w:hint="default" w:ascii="Times New Roman" w:hAnsi="Times New Roman" w:eastAsia="黑体" w:cs="Times New Roman"/>
          <w:snapToGrid w:val="0"/>
          <w:color w:val="auto"/>
          <w:sz w:val="36"/>
          <w:szCs w:val="36"/>
        </w:rPr>
      </w:pPr>
    </w:p>
    <w:p w14:paraId="6618D5A5">
      <w:pPr>
        <w:pStyle w:val="20"/>
        <w:jc w:val="both"/>
        <w:rPr>
          <w:rFonts w:hint="default" w:ascii="Times New Roman" w:hAnsi="Times New Roman" w:eastAsia="黑体" w:cs="Times New Roman"/>
          <w:snapToGrid w:val="0"/>
          <w:color w:val="auto"/>
          <w:sz w:val="36"/>
          <w:szCs w:val="36"/>
        </w:rPr>
      </w:pPr>
    </w:p>
    <w:p w14:paraId="562BDCBE">
      <w:pPr>
        <w:pStyle w:val="20"/>
        <w:jc w:val="both"/>
        <w:rPr>
          <w:rFonts w:hint="default" w:ascii="Times New Roman" w:hAnsi="Times New Roman" w:eastAsia="黑体" w:cs="Times New Roman"/>
          <w:snapToGrid w:val="0"/>
          <w:color w:val="auto"/>
          <w:sz w:val="36"/>
          <w:szCs w:val="36"/>
        </w:rPr>
      </w:pPr>
    </w:p>
    <w:p w14:paraId="49A73EF7">
      <w:pPr>
        <w:pStyle w:val="20"/>
        <w:jc w:val="both"/>
        <w:rPr>
          <w:rFonts w:hint="default" w:ascii="Times New Roman" w:hAnsi="Times New Roman" w:eastAsia="黑体" w:cs="Times New Roman"/>
          <w:snapToGrid w:val="0"/>
          <w:color w:val="auto"/>
          <w:sz w:val="36"/>
          <w:szCs w:val="36"/>
        </w:rPr>
      </w:pPr>
    </w:p>
    <w:p w14:paraId="54F0F826">
      <w:pPr>
        <w:pStyle w:val="20"/>
        <w:jc w:val="both"/>
        <w:rPr>
          <w:rFonts w:hint="default" w:ascii="Times New Roman" w:hAnsi="Times New Roman" w:eastAsia="黑体" w:cs="Times New Roman"/>
          <w:snapToGrid w:val="0"/>
          <w:color w:val="auto"/>
          <w:sz w:val="36"/>
          <w:szCs w:val="36"/>
        </w:rPr>
      </w:pPr>
    </w:p>
    <w:p w14:paraId="6894E382">
      <w:pPr>
        <w:pStyle w:val="20"/>
        <w:jc w:val="both"/>
        <w:rPr>
          <w:rFonts w:hint="default" w:ascii="Times New Roman" w:hAnsi="Times New Roman" w:eastAsia="黑体" w:cs="Times New Roman"/>
          <w:snapToGrid w:val="0"/>
          <w:color w:val="auto"/>
          <w:sz w:val="36"/>
          <w:szCs w:val="36"/>
        </w:rPr>
      </w:pPr>
    </w:p>
    <w:p w14:paraId="1CA0C740">
      <w:pPr>
        <w:pStyle w:val="20"/>
        <w:jc w:val="both"/>
        <w:rPr>
          <w:rFonts w:hint="default" w:ascii="Times New Roman" w:hAnsi="Times New Roman" w:eastAsia="黑体" w:cs="Times New Roman"/>
          <w:snapToGrid w:val="0"/>
          <w:color w:val="auto"/>
          <w:sz w:val="36"/>
          <w:szCs w:val="36"/>
        </w:rPr>
      </w:pPr>
    </w:p>
    <w:p w14:paraId="48B51DFB">
      <w:pPr>
        <w:pStyle w:val="20"/>
        <w:jc w:val="center"/>
        <w:rPr>
          <w:rFonts w:hint="default" w:ascii="Times New Roman" w:hAnsi="Times New Roman" w:eastAsia="黑体" w:cs="Times New Roman"/>
          <w:snapToGrid w:val="0"/>
          <w:color w:val="auto"/>
          <w:sz w:val="36"/>
          <w:szCs w:val="36"/>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b/>
          <w:bCs/>
          <w:color w:val="auto"/>
          <w:sz w:val="26"/>
          <w:szCs w:val="26"/>
          <w:u w:val="single"/>
          <w:lang w:val="zh-CN"/>
        </w:rPr>
        <w:t>图</w:t>
      </w:r>
      <w:r>
        <w:rPr>
          <w:rFonts w:hint="eastAsia" w:ascii="Times New Roman" w:hAnsi="Times New Roman"/>
          <w:b/>
          <w:bCs/>
          <w:color w:val="auto"/>
          <w:sz w:val="26"/>
          <w:szCs w:val="26"/>
          <w:u w:val="single"/>
        </w:rPr>
        <w:t>2.1</w:t>
      </w:r>
      <w:r>
        <w:rPr>
          <w:rFonts w:hint="eastAsia" w:ascii="Times New Roman" w:hAnsi="Times New Roman"/>
          <w:b/>
          <w:bCs/>
          <w:color w:val="auto"/>
          <w:sz w:val="26"/>
          <w:szCs w:val="26"/>
          <w:u w:val="single"/>
          <w:lang w:val="en-US" w:eastAsia="zh-CN"/>
        </w:rPr>
        <w:t>5-2</w:t>
      </w:r>
      <w:r>
        <w:rPr>
          <w:rFonts w:hint="eastAsia" w:ascii="Times New Roman" w:hAnsi="Times New Roman"/>
          <w:b/>
          <w:bCs/>
          <w:color w:val="auto"/>
          <w:sz w:val="26"/>
          <w:szCs w:val="26"/>
          <w:u w:val="single"/>
          <w:lang w:val="zh-CN"/>
        </w:rPr>
        <w:t xml:space="preserve"> </w:t>
      </w:r>
      <w:r>
        <w:rPr>
          <w:rFonts w:hint="eastAsia" w:ascii="Times New Roman" w:hAnsi="Times New Roman"/>
          <w:b/>
          <w:bCs/>
          <w:color w:val="auto"/>
          <w:sz w:val="26"/>
          <w:szCs w:val="26"/>
          <w:u w:val="single"/>
          <w:lang w:val="zh-CN" w:eastAsia="zh-CN"/>
        </w:rPr>
        <w:t>铝合金系列产品生产线</w:t>
      </w:r>
      <w:r>
        <w:rPr>
          <w:rFonts w:hint="eastAsia" w:ascii="Times New Roman" w:hAnsi="Times New Roman"/>
          <w:b/>
          <w:bCs/>
          <w:color w:val="auto"/>
          <w:sz w:val="26"/>
          <w:szCs w:val="26"/>
          <w:u w:val="single"/>
          <w:lang w:val="zh-CN"/>
        </w:rPr>
        <w:t>工艺流程及产污环节图</w:t>
      </w:r>
    </w:p>
    <w:p w14:paraId="1A811111">
      <w:pPr>
        <w:pStyle w:val="20"/>
        <w:jc w:val="both"/>
        <w:rPr>
          <w:rFonts w:hint="default" w:ascii="Times New Roman" w:hAnsi="Times New Roman" w:eastAsia="黑体" w:cs="Times New Roman"/>
          <w:snapToGrid w:val="0"/>
          <w:color w:val="auto"/>
          <w:sz w:val="36"/>
          <w:szCs w:val="36"/>
        </w:rPr>
      </w:pPr>
    </w:p>
    <w:p w14:paraId="132D5AA4">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15" w:lineRule="auto"/>
        <w:jc w:val="center"/>
        <w:textAlignment w:val="auto"/>
        <w:outlineLvl w:val="9"/>
        <w:rPr>
          <w:rFonts w:hint="default" w:ascii="Times New Roman" w:hAnsi="Times New Roman" w:eastAsia="黑体" w:cs="Times New Roman"/>
          <w:snapToGrid w:val="0"/>
          <w:color w:val="auto"/>
          <w:sz w:val="30"/>
          <w:szCs w:val="30"/>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215"/>
      </w:tblGrid>
      <w:tr w14:paraId="6F0C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846" w:type="dxa"/>
            <w:noWrap w:val="0"/>
            <w:vAlign w:val="top"/>
          </w:tcPr>
          <w:p w14:paraId="4CFD08BF">
            <w:pPr>
              <w:pStyle w:val="20"/>
              <w:jc w:val="center"/>
              <w:outlineLvl w:val="0"/>
              <w:rPr>
                <w:rFonts w:hint="default" w:ascii="Times New Roman" w:hAnsi="Times New Roman" w:eastAsia="黑体" w:cs="Times New Roman"/>
                <w:snapToGrid w:val="0"/>
                <w:color w:val="auto"/>
                <w:sz w:val="30"/>
                <w:szCs w:val="30"/>
                <w:vertAlign w:val="baseline"/>
              </w:rPr>
            </w:pPr>
          </w:p>
        </w:tc>
        <w:tc>
          <w:tcPr>
            <w:tcW w:w="8215" w:type="dxa"/>
            <w:noWrap w:val="0"/>
            <w:vAlign w:val="top"/>
          </w:tcPr>
          <w:p w14:paraId="42EEED85">
            <w:pPr>
              <w:spacing w:line="460" w:lineRule="exact"/>
              <w:ind w:firstLine="520" w:firstLineChars="200"/>
              <w:rPr>
                <w:rFonts w:hint="default" w:ascii="Times New Roman" w:hAnsi="Times New Roman" w:eastAsia="宋体" w:cs="Times New Roman"/>
                <w:color w:val="auto"/>
                <w:kern w:val="2"/>
                <w:sz w:val="26"/>
                <w:szCs w:val="26"/>
                <w:highlight w:val="none"/>
                <w:lang w:val="en-US" w:eastAsia="zh-CN" w:bidi="ar-SA"/>
              </w:rPr>
            </w:pPr>
            <w:r>
              <w:rPr>
                <w:rFonts w:hint="default" w:ascii="Times New Roman" w:hAnsi="Times New Roman" w:eastAsia="宋体" w:cs="Times New Roman"/>
                <w:color w:val="auto"/>
                <w:kern w:val="2"/>
                <w:sz w:val="26"/>
                <w:szCs w:val="26"/>
                <w:highlight w:val="none"/>
                <w:lang w:val="en-US" w:eastAsia="zh-CN" w:bidi="ar-SA"/>
              </w:rPr>
              <w:fldChar w:fldCharType="begin"/>
            </w:r>
            <w:r>
              <w:rPr>
                <w:rFonts w:hint="default" w:ascii="Times New Roman" w:hAnsi="Times New Roman" w:eastAsia="宋体" w:cs="Times New Roman"/>
                <w:color w:val="auto"/>
                <w:kern w:val="2"/>
                <w:sz w:val="26"/>
                <w:szCs w:val="26"/>
                <w:highlight w:val="none"/>
                <w:lang w:val="en-US" w:eastAsia="zh-CN" w:bidi="ar-SA"/>
              </w:rPr>
              <w:instrText xml:space="preserve"> = 1 \* GB3 \* MERGEFORMAT </w:instrText>
            </w:r>
            <w:r>
              <w:rPr>
                <w:rFonts w:hint="default" w:ascii="Times New Roman" w:hAnsi="Times New Roman" w:eastAsia="宋体" w:cs="Times New Roman"/>
                <w:color w:val="auto"/>
                <w:kern w:val="2"/>
                <w:sz w:val="26"/>
                <w:szCs w:val="26"/>
                <w:highlight w:val="none"/>
                <w:lang w:val="en-US" w:eastAsia="zh-CN" w:bidi="ar-SA"/>
              </w:rPr>
              <w:fldChar w:fldCharType="separate"/>
            </w:r>
            <w:r>
              <w:rPr>
                <w:rFonts w:hint="default" w:ascii="Times New Roman" w:hAnsi="Times New Roman" w:eastAsia="宋体" w:cs="Times New Roman"/>
                <w:color w:val="auto"/>
                <w:sz w:val="26"/>
                <w:szCs w:val="26"/>
              </w:rPr>
              <w:t>①</w:t>
            </w:r>
            <w:r>
              <w:rPr>
                <w:rFonts w:hint="default" w:ascii="Times New Roman" w:hAnsi="Times New Roman" w:eastAsia="宋体" w:cs="Times New Roman"/>
                <w:color w:val="auto"/>
                <w:kern w:val="2"/>
                <w:sz w:val="26"/>
                <w:szCs w:val="26"/>
                <w:highlight w:val="none"/>
                <w:lang w:val="en-US" w:eastAsia="zh-CN" w:bidi="ar-SA"/>
              </w:rPr>
              <w:fldChar w:fldCharType="end"/>
            </w:r>
            <w:r>
              <w:rPr>
                <w:rFonts w:hint="default" w:ascii="Times New Roman" w:hAnsi="Times New Roman" w:eastAsia="宋体" w:cs="Times New Roman"/>
                <w:color w:val="auto"/>
                <w:kern w:val="2"/>
                <w:sz w:val="26"/>
                <w:szCs w:val="26"/>
                <w:highlight w:val="none"/>
                <w:lang w:val="en-US" w:eastAsia="zh-CN" w:bidi="ar-SA"/>
              </w:rPr>
              <w:t>铸造铝合金</w:t>
            </w:r>
          </w:p>
          <w:p w14:paraId="1EF056AB">
            <w:pPr>
              <w:spacing w:line="460" w:lineRule="exact"/>
              <w:ind w:firstLine="522" w:firstLineChars="200"/>
              <w:rPr>
                <w:rFonts w:hint="eastAsia" w:ascii="Times New Roman" w:hAnsi="Times New Roman" w:eastAsia="宋体" w:cs="Times New Roman"/>
                <w:color w:val="auto"/>
                <w:kern w:val="2"/>
                <w:sz w:val="26"/>
                <w:szCs w:val="26"/>
                <w:highlight w:val="none"/>
                <w:lang w:val="en-US" w:eastAsia="zh-CN" w:bidi="ar-SA"/>
              </w:rPr>
            </w:pPr>
            <w:r>
              <w:rPr>
                <w:rFonts w:hint="eastAsia" w:ascii="Times New Roman" w:hAnsi="Times New Roman" w:eastAsia="宋体" w:cs="Times New Roman"/>
                <w:b/>
                <w:bCs/>
                <w:color w:val="auto"/>
                <w:kern w:val="2"/>
                <w:sz w:val="26"/>
                <w:szCs w:val="26"/>
                <w:highlight w:val="none"/>
                <w:lang w:val="en-US" w:eastAsia="zh-CN" w:bidi="ar-SA"/>
              </w:rPr>
              <w:t>配料：</w:t>
            </w:r>
            <w:r>
              <w:rPr>
                <w:rFonts w:hint="eastAsia" w:ascii="Times New Roman" w:hAnsi="Times New Roman" w:eastAsia="宋体" w:cs="Times New Roman"/>
                <w:color w:val="auto"/>
                <w:kern w:val="2"/>
                <w:sz w:val="26"/>
                <w:szCs w:val="26"/>
                <w:highlight w:val="none"/>
                <w:lang w:val="en-US" w:eastAsia="zh-CN" w:bidi="ar-SA"/>
              </w:rPr>
              <w:t xml:space="preserve">根据客户所需产品牌号制定配料比例，将纯铝锭、纯铝液利用叉车将前述物料装入2#35t熔炼炉。 </w:t>
            </w:r>
          </w:p>
          <w:p w14:paraId="33337C11">
            <w:pPr>
              <w:spacing w:line="460" w:lineRule="exact"/>
              <w:ind w:firstLine="522" w:firstLineChars="200"/>
              <w:rPr>
                <w:rFonts w:hint="eastAsia" w:ascii="Times New Roman" w:hAnsi="Times New Roman" w:eastAsia="宋体" w:cs="Times New Roman"/>
                <w:color w:val="auto"/>
                <w:kern w:val="2"/>
                <w:sz w:val="26"/>
                <w:szCs w:val="26"/>
                <w:highlight w:val="none"/>
                <w:lang w:val="en-US" w:eastAsia="zh-CN" w:bidi="ar-SA"/>
              </w:rPr>
            </w:pPr>
            <w:r>
              <w:rPr>
                <w:rFonts w:hint="eastAsia" w:ascii="Times New Roman" w:hAnsi="Times New Roman" w:eastAsia="宋体" w:cs="Times New Roman"/>
                <w:b/>
                <w:bCs/>
                <w:color w:val="auto"/>
                <w:kern w:val="2"/>
                <w:sz w:val="26"/>
                <w:szCs w:val="26"/>
                <w:highlight w:val="none"/>
                <w:lang w:val="en-US" w:eastAsia="zh-CN" w:bidi="ar-SA"/>
              </w:rPr>
              <w:t>熔炼：</w:t>
            </w:r>
            <w:r>
              <w:rPr>
                <w:rFonts w:hint="eastAsia" w:ascii="Times New Roman" w:hAnsi="Times New Roman" w:eastAsia="宋体" w:cs="Times New Roman"/>
                <w:color w:val="auto"/>
                <w:kern w:val="2"/>
                <w:sz w:val="26"/>
                <w:szCs w:val="26"/>
                <w:highlight w:val="none"/>
                <w:lang w:val="en-US" w:eastAsia="zh-CN" w:bidi="ar-SA"/>
              </w:rPr>
              <w:t>该生产线采用蓄热式高效熔炼炉，蓄热式燃烧系统由两个交替工作的可燃气体通过的蓄热箱A、B组成，蓄热箱内含25 mm蓄热球。每个蓄热箱体前端对应一个烧嘴A、B，当A烧嘴燃烧时，高温烟气从B烧嘴对应蓄热箱中的蓄热球中经换热后排出，温度在2s内冷却到200℃以下后排出；当B烧嘴燃烧时冷空气穿过B烧嘴蓄热箱被蓄热球预热后（通常预热温度可达800℃以上）再进入炉膛燃烧，同时A烧嘴重复进行B烧嘴刚才的排烟蓄热操作。在PLC程序的自动控制下，三通换向阀以一定的频率进行切换，使两个燃烧器始终处于蓄热与放热交替工作状态。由于加热和冷却的交替进行，炉膛内的燃气始终在高温助燃空气中燃烧，既能有效地利用烟气余热，又可使燃料燃烧更加充分，提高热效率。</w:t>
            </w:r>
          </w:p>
          <w:p w14:paraId="787C0A0C">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rPr>
              <w:t>炉料</w:t>
            </w:r>
            <w:r>
              <w:rPr>
                <w:rFonts w:hint="eastAsia" w:ascii="Times New Roman" w:hAnsi="Times New Roman" w:eastAsia="宋体" w:cs="Times New Roman"/>
                <w:color w:val="auto"/>
                <w:sz w:val="26"/>
                <w:szCs w:val="26"/>
                <w:lang w:val="en-US" w:eastAsia="zh-CN"/>
              </w:rPr>
              <w:t>熔化后</w:t>
            </w:r>
            <w:r>
              <w:rPr>
                <w:rFonts w:hint="eastAsia" w:ascii="Times New Roman" w:hAnsi="Times New Roman" w:eastAsia="宋体" w:cs="Times New Roman"/>
                <w:color w:val="auto"/>
                <w:sz w:val="26"/>
                <w:szCs w:val="26"/>
              </w:rPr>
              <w:t>铝液通过</w:t>
            </w:r>
            <w:r>
              <w:rPr>
                <w:rFonts w:hint="eastAsia" w:ascii="Times New Roman" w:hAnsi="Times New Roman" w:eastAsia="宋体" w:cs="Times New Roman"/>
                <w:color w:val="auto"/>
                <w:sz w:val="26"/>
                <w:szCs w:val="26"/>
                <w:lang w:val="en-US" w:eastAsia="zh-CN"/>
              </w:rPr>
              <w:t>人工</w:t>
            </w:r>
            <w:r>
              <w:rPr>
                <w:rFonts w:hint="eastAsia" w:ascii="Times New Roman" w:hAnsi="Times New Roman" w:eastAsia="宋体" w:cs="Times New Roman"/>
                <w:color w:val="auto"/>
                <w:sz w:val="26"/>
                <w:szCs w:val="26"/>
              </w:rPr>
              <w:t>搅拌，可使池内炉内铝液充分循环起来，使后续加入的</w:t>
            </w:r>
            <w:r>
              <w:rPr>
                <w:rFonts w:hint="eastAsia" w:ascii="Times New Roman" w:hAnsi="Times New Roman" w:eastAsia="宋体" w:cs="Times New Roman"/>
                <w:color w:val="auto"/>
                <w:sz w:val="26"/>
                <w:szCs w:val="26"/>
                <w:lang w:val="en-US" w:eastAsia="zh-CN"/>
              </w:rPr>
              <w:t>单质金属</w:t>
            </w:r>
            <w:r>
              <w:rPr>
                <w:rFonts w:hint="eastAsia" w:ascii="Times New Roman" w:hAnsi="Times New Roman" w:eastAsia="宋体" w:cs="Times New Roman"/>
                <w:color w:val="auto"/>
                <w:sz w:val="26"/>
                <w:szCs w:val="26"/>
              </w:rPr>
              <w:t>料（合金元素</w:t>
            </w:r>
            <w:r>
              <w:rPr>
                <w:rFonts w:hint="eastAsia" w:ascii="Times New Roman" w:hAnsi="Times New Roman" w:eastAsia="宋体" w:cs="Times New Roman"/>
                <w:color w:val="auto"/>
                <w:sz w:val="26"/>
                <w:szCs w:val="26"/>
                <w:lang w:val="en-US" w:eastAsia="zh-CN"/>
              </w:rPr>
              <w:t>硅、铁、铜、锰、镁、锌</w:t>
            </w:r>
            <w:r>
              <w:rPr>
                <w:rFonts w:hint="eastAsia" w:ascii="Times New Roman" w:hAnsi="Times New Roman" w:eastAsia="宋体" w:cs="Times New Roman"/>
                <w:color w:val="auto"/>
                <w:sz w:val="26"/>
                <w:szCs w:val="26"/>
              </w:rPr>
              <w:t>）加快熔化，可有效减低铝料烧损。</w:t>
            </w:r>
          </w:p>
          <w:p w14:paraId="4E38294F">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lang w:val="en-US" w:eastAsia="zh-CN"/>
              </w:rPr>
              <w:t>随后扒渣采用</w:t>
            </w:r>
            <w:r>
              <w:rPr>
                <w:rFonts w:hint="eastAsia" w:ascii="Times New Roman" w:hAnsi="Times New Roman" w:eastAsia="宋体" w:cs="Times New Roman"/>
                <w:color w:val="auto"/>
                <w:sz w:val="26"/>
                <w:szCs w:val="26"/>
              </w:rPr>
              <w:t>机械扒渣</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rPr>
              <w:t>通过机械方式扒除表面的浮渣</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扒渣后按配料比例装入单质金属</w:t>
            </w:r>
            <w:r>
              <w:rPr>
                <w:rFonts w:hint="eastAsia" w:ascii="Times New Roman" w:hAnsi="Times New Roman" w:eastAsia="宋体" w:cs="Times New Roman"/>
                <w:color w:val="auto"/>
                <w:sz w:val="26"/>
                <w:szCs w:val="26"/>
              </w:rPr>
              <w:t>料</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并重复熔化-搅拌-扒渣工序，</w:t>
            </w:r>
            <w:r>
              <w:rPr>
                <w:rFonts w:hint="eastAsia" w:ascii="Times New Roman" w:hAnsi="Times New Roman" w:eastAsia="宋体" w:cs="Times New Roman"/>
                <w:color w:val="auto"/>
                <w:sz w:val="26"/>
                <w:szCs w:val="26"/>
              </w:rPr>
              <w:t>同时</w:t>
            </w:r>
            <w:r>
              <w:rPr>
                <w:rFonts w:hint="eastAsia" w:ascii="Times New Roman" w:hAnsi="Times New Roman" w:eastAsia="宋体" w:cs="Times New Roman"/>
                <w:color w:val="auto"/>
                <w:sz w:val="26"/>
                <w:szCs w:val="26"/>
                <w:lang w:val="en-US" w:eastAsia="zh-CN"/>
              </w:rPr>
              <w:t>针对多批次铝液采取抽样</w:t>
            </w:r>
            <w:r>
              <w:rPr>
                <w:rFonts w:hint="eastAsia" w:ascii="Times New Roman" w:hAnsi="Times New Roman" w:eastAsia="宋体" w:cs="Times New Roman"/>
                <w:color w:val="auto"/>
                <w:sz w:val="26"/>
                <w:szCs w:val="26"/>
              </w:rPr>
              <w:t>提取</w:t>
            </w:r>
            <w:r>
              <w:rPr>
                <w:rFonts w:hint="eastAsia" w:ascii="Times New Roman" w:hAnsi="Times New Roman" w:eastAsia="宋体" w:cs="Times New Roman"/>
                <w:color w:val="auto"/>
                <w:sz w:val="26"/>
                <w:szCs w:val="26"/>
                <w:lang w:val="en-US" w:eastAsia="zh-CN"/>
              </w:rPr>
              <w:t>方式</w:t>
            </w:r>
            <w:r>
              <w:rPr>
                <w:rFonts w:hint="eastAsia" w:ascii="Times New Roman" w:hAnsi="Times New Roman" w:eastAsia="宋体" w:cs="Times New Roman"/>
                <w:color w:val="auto"/>
                <w:sz w:val="26"/>
                <w:szCs w:val="26"/>
              </w:rPr>
              <w:t>，</w:t>
            </w:r>
            <w:r>
              <w:rPr>
                <w:rFonts w:hint="eastAsia" w:ascii="Times New Roman" w:hAnsi="Times New Roman" w:eastAsia="宋体" w:cs="Times New Roman"/>
                <w:color w:val="auto"/>
                <w:sz w:val="26"/>
                <w:szCs w:val="26"/>
                <w:lang w:val="en-US" w:eastAsia="zh-CN"/>
              </w:rPr>
              <w:t>并委托西南铝集团实验室</w:t>
            </w:r>
            <w:r>
              <w:rPr>
                <w:rFonts w:hint="eastAsia" w:ascii="Times New Roman" w:hAnsi="Times New Roman" w:eastAsia="宋体" w:cs="Times New Roman"/>
                <w:color w:val="auto"/>
                <w:sz w:val="26"/>
                <w:szCs w:val="26"/>
              </w:rPr>
              <w:t>进行成分分析</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西南铝集团实验室距离本项目较近，满足生产时效性</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rPr>
              <w:t>当分析结果</w:t>
            </w:r>
            <w:r>
              <w:rPr>
                <w:rFonts w:hint="eastAsia" w:ascii="Times New Roman" w:hAnsi="Times New Roman" w:eastAsia="宋体" w:cs="Times New Roman"/>
                <w:color w:val="auto"/>
                <w:sz w:val="26"/>
                <w:szCs w:val="26"/>
                <w:lang w:val="en-US" w:eastAsia="zh-CN"/>
              </w:rPr>
              <w:t>与</w:t>
            </w:r>
            <w:r>
              <w:rPr>
                <w:rFonts w:hint="eastAsia" w:ascii="Times New Roman" w:hAnsi="Times New Roman" w:eastAsia="宋体" w:cs="Times New Roman"/>
                <w:color w:val="auto"/>
                <w:sz w:val="26"/>
                <w:szCs w:val="26"/>
              </w:rPr>
              <w:t>合金标准或成分要求不相符时应调整成分，通过冲淡或补料调整</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直至合格</w:t>
            </w:r>
            <w:r>
              <w:rPr>
                <w:rFonts w:hint="eastAsia" w:ascii="Times New Roman" w:hAnsi="Times New Roman" w:eastAsia="宋体" w:cs="Times New Roman"/>
                <w:color w:val="auto"/>
                <w:sz w:val="26"/>
                <w:szCs w:val="26"/>
              </w:rPr>
              <w:t>。</w:t>
            </w:r>
          </w:p>
          <w:p w14:paraId="286DB527">
            <w:pPr>
              <w:spacing w:line="460" w:lineRule="exact"/>
              <w:ind w:firstLine="520" w:firstLineChars="200"/>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该生产线</w:t>
            </w:r>
            <w:r>
              <w:rPr>
                <w:rFonts w:hint="eastAsia" w:ascii="Times New Roman" w:hAnsi="Times New Roman" w:eastAsia="宋体" w:cs="Times New Roman"/>
                <w:color w:val="auto"/>
                <w:sz w:val="26"/>
                <w:szCs w:val="26"/>
              </w:rPr>
              <w:t>熔池温度约750℃</w:t>
            </w:r>
            <w:r>
              <w:rPr>
                <w:rFonts w:hint="eastAsia" w:ascii="Times New Roman" w:hAnsi="Times New Roman" w:eastAsia="宋体" w:cs="Times New Roman"/>
                <w:color w:val="auto"/>
                <w:sz w:val="26"/>
                <w:szCs w:val="26"/>
                <w:lang w:val="en-US" w:eastAsia="zh-CN"/>
              </w:rPr>
              <w:t>~1080</w:t>
            </w:r>
            <w:r>
              <w:rPr>
                <w:rFonts w:hint="eastAsia" w:ascii="Times New Roman" w:hAnsi="Times New Roman" w:eastAsia="宋体" w:cs="Times New Roman"/>
                <w:color w:val="auto"/>
                <w:sz w:val="26"/>
                <w:szCs w:val="26"/>
              </w:rPr>
              <w:t>℃，</w:t>
            </w:r>
            <w:r>
              <w:rPr>
                <w:rFonts w:hint="eastAsia" w:ascii="Times New Roman" w:hAnsi="Times New Roman" w:eastAsia="宋体" w:cs="Times New Roman"/>
                <w:color w:val="auto"/>
                <w:sz w:val="26"/>
                <w:szCs w:val="26"/>
                <w:lang w:val="en-US" w:eastAsia="zh-CN"/>
              </w:rPr>
              <w:t>单批次</w:t>
            </w:r>
            <w:r>
              <w:rPr>
                <w:rFonts w:hint="eastAsia" w:ascii="Times New Roman" w:hAnsi="Times New Roman" w:eastAsia="宋体" w:cs="Times New Roman"/>
                <w:color w:val="auto"/>
                <w:sz w:val="26"/>
                <w:szCs w:val="26"/>
              </w:rPr>
              <w:t>熔炼工序时长约</w:t>
            </w:r>
            <w:r>
              <w:rPr>
                <w:rFonts w:hint="eastAsia" w:ascii="Times New Roman" w:hAnsi="Times New Roman" w:eastAsia="宋体" w:cs="Times New Roman"/>
                <w:color w:val="auto"/>
                <w:sz w:val="26"/>
                <w:szCs w:val="26"/>
                <w:lang w:val="en-US" w:eastAsia="zh-CN"/>
              </w:rPr>
              <w:t>4</w:t>
            </w:r>
            <w:r>
              <w:rPr>
                <w:rFonts w:hint="eastAsia" w:ascii="Times New Roman" w:hAnsi="Times New Roman" w:eastAsia="宋体" w:cs="Times New Roman"/>
                <w:color w:val="auto"/>
                <w:sz w:val="26"/>
                <w:szCs w:val="26"/>
              </w:rPr>
              <w:t>h</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rPr>
              <w:t>炉料按批次添加，</w:t>
            </w:r>
            <w:r>
              <w:rPr>
                <w:rFonts w:hint="eastAsia" w:ascii="Times New Roman" w:hAnsi="Times New Roman" w:eastAsia="宋体" w:cs="Times New Roman"/>
                <w:color w:val="auto"/>
                <w:sz w:val="26"/>
                <w:szCs w:val="26"/>
                <w:lang w:val="en-US" w:eastAsia="zh-CN"/>
              </w:rPr>
              <w:t>每天3批次，单批次</w:t>
            </w:r>
            <w:r>
              <w:rPr>
                <w:rFonts w:hint="eastAsia" w:ascii="Times New Roman" w:hAnsi="Times New Roman" w:eastAsia="宋体" w:cs="Times New Roman"/>
                <w:color w:val="auto"/>
                <w:sz w:val="26"/>
                <w:szCs w:val="26"/>
              </w:rPr>
              <w:t>物料添加量为</w:t>
            </w:r>
            <w:r>
              <w:rPr>
                <w:rFonts w:hint="eastAsia" w:ascii="Times New Roman" w:hAnsi="Times New Roman" w:eastAsia="宋体" w:cs="Times New Roman"/>
                <w:color w:val="auto"/>
                <w:sz w:val="26"/>
                <w:szCs w:val="26"/>
                <w:lang w:val="en-US" w:eastAsia="zh-CN"/>
              </w:rPr>
              <w:t>35</w:t>
            </w:r>
            <w:r>
              <w:rPr>
                <w:rFonts w:hint="eastAsia" w:ascii="Times New Roman" w:hAnsi="Times New Roman" w:eastAsia="宋体" w:cs="Times New Roman"/>
                <w:color w:val="auto"/>
                <w:sz w:val="26"/>
                <w:szCs w:val="26"/>
              </w:rPr>
              <w:t>t</w:t>
            </w:r>
            <w:r>
              <w:rPr>
                <w:rFonts w:hint="eastAsia" w:ascii="Times New Roman" w:hAnsi="Times New Roman" w:eastAsia="宋体" w:cs="Times New Roman"/>
                <w:color w:val="auto"/>
                <w:sz w:val="26"/>
                <w:szCs w:val="26"/>
                <w:lang w:val="en-US" w:eastAsia="zh-CN"/>
              </w:rPr>
              <w:t>左右</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rPr>
              <w:t>熔体</w:t>
            </w:r>
            <w:r>
              <w:rPr>
                <w:rFonts w:hint="eastAsia" w:ascii="Times New Roman" w:hAnsi="Times New Roman" w:eastAsia="宋体" w:cs="Times New Roman"/>
                <w:color w:val="auto"/>
                <w:sz w:val="26"/>
                <w:szCs w:val="26"/>
                <w:lang w:val="en-US" w:eastAsia="zh-CN"/>
              </w:rPr>
              <w:t>加料、扒渣、取样分析过程需要开启炉门，每批次熔炼过程需开启炉门3次，每次开启时间5~15min，每批次熔炼过程开启炉门时长约30min，则熔炼阶段炉门开启时长共90min/d（335d/a，折合约502.5h/a），炉门开启时天然气停止燃烧。</w:t>
            </w:r>
          </w:p>
          <w:p w14:paraId="6A0E6728">
            <w:pPr>
              <w:spacing w:line="460" w:lineRule="exact"/>
              <w:ind w:firstLine="522" w:firstLineChars="200"/>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b/>
                <w:bCs/>
                <w:color w:val="auto"/>
                <w:sz w:val="26"/>
                <w:szCs w:val="26"/>
                <w:lang w:val="en-US" w:eastAsia="zh-CN"/>
              </w:rPr>
              <w:t>精炼：</w:t>
            </w:r>
            <w:r>
              <w:rPr>
                <w:rFonts w:hint="eastAsia" w:ascii="Times New Roman" w:hAnsi="Times New Roman" w:eastAsia="宋体" w:cs="Times New Roman"/>
                <w:color w:val="auto"/>
                <w:sz w:val="26"/>
                <w:szCs w:val="26"/>
                <w:lang w:val="en-US" w:eastAsia="zh-CN"/>
              </w:rPr>
              <w:t>由于该炉产品部分为铝水，铝水产品对含钙要求较高，因此在精炼前添加除钙剂。精炼保温阶段需向熔炼炉内投加精炼剂，精炼剂浮在铝液表面，通入氩气/氮气（根据产品质量要求高低选择不同惰性气体）作为载气避免炉料再次氧化。氩气/氮气将精炼剂携带入铝液后，形成许多气泡，杂质易被吸附在气泡表面上并随气泡浮至铝熔体表面，同时清除铝液内部的氢气泡，以获得更加纯净的铝液。</w:t>
            </w:r>
          </w:p>
          <w:p w14:paraId="77154A66">
            <w:pPr>
              <w:spacing w:line="460" w:lineRule="exact"/>
              <w:ind w:firstLine="520" w:firstLineChars="200"/>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随后采用</w:t>
            </w:r>
            <w:r>
              <w:rPr>
                <w:rFonts w:hint="eastAsia" w:ascii="Times New Roman" w:hAnsi="Times New Roman" w:eastAsia="宋体" w:cs="Times New Roman"/>
                <w:color w:val="auto"/>
                <w:sz w:val="26"/>
                <w:szCs w:val="26"/>
              </w:rPr>
              <w:t>机械扒渣</w:t>
            </w:r>
            <w:r>
              <w:rPr>
                <w:rFonts w:hint="eastAsia" w:ascii="Times New Roman" w:hAnsi="Times New Roman" w:eastAsia="宋体" w:cs="Times New Roman"/>
                <w:color w:val="auto"/>
                <w:sz w:val="26"/>
                <w:szCs w:val="26"/>
                <w:lang w:val="en-US" w:eastAsia="zh-CN"/>
              </w:rPr>
              <w:t>去除</w:t>
            </w:r>
            <w:r>
              <w:rPr>
                <w:rFonts w:hint="eastAsia" w:ascii="Times New Roman" w:hAnsi="Times New Roman" w:eastAsia="宋体" w:cs="Times New Roman"/>
                <w:color w:val="auto"/>
                <w:sz w:val="26"/>
                <w:szCs w:val="26"/>
              </w:rPr>
              <w:t>熔体表面的浮渣</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保持静置（10～20min）。该生产线精炼温度约700℃~740℃，单批次精炼工序时长约2h，添加辅料、扒渣、取样分析过程需要开启炉门，每批次精炼过程需开启炉门2次，每次开启时间约10min，每批次精炼过程炉门开启时长约20min，每天精炼3批次，则精炼阶段炉门开启时长共60min/d（335d/a，折合约335h/a）。炉门开启时天然气停止燃烧。</w:t>
            </w:r>
          </w:p>
          <w:p w14:paraId="6818EC0B">
            <w:pPr>
              <w:spacing w:line="460" w:lineRule="exact"/>
              <w:ind w:firstLine="522" w:firstLineChars="200"/>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b/>
                <w:bCs/>
                <w:color w:val="auto"/>
                <w:sz w:val="26"/>
                <w:szCs w:val="26"/>
                <w:lang w:val="en-US" w:eastAsia="zh-CN"/>
              </w:rPr>
              <w:t>取样分析、过滤及铸造：</w:t>
            </w:r>
            <w:r>
              <w:rPr>
                <w:rFonts w:hint="eastAsia" w:ascii="Times New Roman" w:hAnsi="Times New Roman" w:eastAsia="宋体" w:cs="Times New Roman"/>
                <w:color w:val="auto"/>
                <w:sz w:val="26"/>
                <w:szCs w:val="26"/>
                <w:lang w:val="en-US" w:eastAsia="zh-CN"/>
              </w:rPr>
              <w:t>铸造前取样分析合格后，熔体进入陶瓷板过滤工序，陶瓷板过滤可进一步对熔体进行物理过滤。根据客户需求，部分铝液可直接以成品形式进行外售，部分铝液进入铸造工序。铝液经流槽导入铸造平台浇铸成铸造铝合金，成品暂存入库。炉内经取样分析</w:t>
            </w:r>
            <w:r>
              <w:rPr>
                <w:rFonts w:hint="eastAsia" w:ascii="Times New Roman" w:hAnsi="Times New Roman" w:eastAsia="宋体" w:cs="Times New Roman"/>
                <w:color w:val="auto"/>
                <w:kern w:val="2"/>
                <w:sz w:val="26"/>
                <w:szCs w:val="26"/>
                <w:lang w:val="en-US" w:eastAsia="zh-CN" w:bidi="ar-SA"/>
              </w:rPr>
              <w:t>合</w:t>
            </w:r>
            <w:r>
              <w:rPr>
                <w:rFonts w:hint="eastAsia" w:ascii="Times New Roman" w:hAnsi="Times New Roman" w:eastAsia="宋体" w:cs="Times New Roman"/>
                <w:color w:val="auto"/>
                <w:sz w:val="26"/>
                <w:szCs w:val="26"/>
                <w:lang w:val="en-US" w:eastAsia="zh-CN"/>
              </w:rPr>
              <w:t>格后的铝液为高纯度铝合金液，杂质极少，出炉后经流槽期间几乎不产生烟尘。高纯度铝合金液经流槽导入铸造平台后，铸造期间不使用脱模剂，不涉及压铸，铸造期间仅采用循环冷却水进行冷却，铝合金液自然成型。</w:t>
            </w:r>
          </w:p>
          <w:p w14:paraId="0FDABCDD">
            <w:pPr>
              <w:spacing w:line="460" w:lineRule="exact"/>
              <w:ind w:firstLine="522" w:firstLineChars="200"/>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b/>
                <w:bCs/>
                <w:color w:val="auto"/>
                <w:sz w:val="26"/>
                <w:szCs w:val="26"/>
                <w:lang w:val="en-US" w:eastAsia="zh-CN"/>
              </w:rPr>
              <w:t>铝液入包：</w:t>
            </w:r>
            <w:r>
              <w:rPr>
                <w:rFonts w:hint="eastAsia" w:ascii="Times New Roman" w:hAnsi="Times New Roman" w:eastAsia="宋体" w:cs="Times New Roman"/>
                <w:color w:val="auto"/>
                <w:sz w:val="26"/>
                <w:szCs w:val="26"/>
                <w:lang w:val="en-US" w:eastAsia="zh-CN"/>
              </w:rPr>
              <w:t>35t熔炼炉产品根据客户需要，部分以铝液形式进行外售。铝液入包前，对铝包进行烘烤90分钟以上，铝包自带天然气烧嘴，温度控制在700～790℃，经精炼过滤后的铝液随即对铝液进行装包。</w:t>
            </w:r>
          </w:p>
          <w:p w14:paraId="03EB91B5">
            <w:pPr>
              <w:spacing w:line="460" w:lineRule="exact"/>
              <w:ind w:firstLine="520" w:firstLineChars="200"/>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该工序产污环节主要为。</w:t>
            </w:r>
          </w:p>
          <w:p w14:paraId="779FEC7C">
            <w:pPr>
              <w:spacing w:line="460" w:lineRule="exact"/>
              <w:ind w:firstLine="520" w:firstLineChars="200"/>
              <w:rPr>
                <w:rFonts w:hint="default" w:ascii="Times New Roman" w:hAnsi="Times New Roman" w:eastAsia="宋体" w:cs="Times New Roman"/>
                <w:color w:val="auto"/>
                <w:kern w:val="2"/>
                <w:sz w:val="26"/>
                <w:szCs w:val="26"/>
                <w:highlight w:val="none"/>
                <w:lang w:val="en-US" w:eastAsia="zh-CN" w:bidi="ar-SA"/>
              </w:rPr>
            </w:pPr>
            <w:r>
              <w:rPr>
                <w:rFonts w:hint="eastAsia" w:ascii="Times New Roman" w:hAnsi="Times New Roman" w:eastAsia="宋体" w:cs="Times New Roman"/>
                <w:color w:val="auto"/>
                <w:sz w:val="26"/>
                <w:szCs w:val="26"/>
                <w:lang w:val="en-US" w:eastAsia="zh-CN"/>
              </w:rPr>
              <w:t>上述熔炼期间产生熔炼</w:t>
            </w:r>
            <w:r>
              <w:rPr>
                <w:rFonts w:hint="eastAsia" w:ascii="Times New Roman" w:hAnsi="Times New Roman" w:eastAsia="宋体" w:cs="Times New Roman"/>
                <w:color w:val="auto"/>
                <w:kern w:val="2"/>
                <w:sz w:val="26"/>
                <w:szCs w:val="26"/>
                <w:highlight w:val="none"/>
                <w:lang w:val="en-US" w:eastAsia="zh-CN" w:bidi="ar-SA"/>
              </w:rPr>
              <w:t>废气、</w:t>
            </w:r>
            <w:r>
              <w:rPr>
                <w:rFonts w:hint="eastAsia" w:ascii="Times New Roman" w:hAnsi="Times New Roman" w:eastAsia="宋体" w:cs="Times New Roman"/>
                <w:color w:val="auto"/>
                <w:sz w:val="26"/>
                <w:szCs w:val="26"/>
                <w:lang w:val="en-US" w:eastAsia="zh-CN"/>
              </w:rPr>
              <w:t>铸造</w:t>
            </w:r>
            <w:r>
              <w:rPr>
                <w:rFonts w:hint="eastAsia" w:ascii="Times New Roman" w:hAnsi="Times New Roman" w:eastAsia="宋体" w:cs="Times New Roman"/>
                <w:color w:val="auto"/>
                <w:kern w:val="2"/>
                <w:sz w:val="26"/>
                <w:szCs w:val="26"/>
                <w:highlight w:val="none"/>
                <w:lang w:val="en-US" w:eastAsia="zh-CN" w:bidi="ar-SA"/>
              </w:rPr>
              <w:t>废气、</w:t>
            </w:r>
            <w:r>
              <w:rPr>
                <w:rFonts w:hint="eastAsia" w:ascii="Times New Roman" w:hAnsi="Times New Roman" w:eastAsia="宋体" w:cs="Times New Roman"/>
                <w:color w:val="auto"/>
                <w:sz w:val="26"/>
                <w:szCs w:val="26"/>
                <w:lang w:val="en-US" w:eastAsia="zh-CN"/>
              </w:rPr>
              <w:t>烤包废气，</w:t>
            </w:r>
            <w:r>
              <w:rPr>
                <w:rFonts w:hint="eastAsia" w:ascii="Times New Roman" w:hAnsi="Times New Roman" w:eastAsia="宋体" w:cs="Times New Roman"/>
                <w:color w:val="auto"/>
                <w:kern w:val="2"/>
                <w:sz w:val="26"/>
                <w:szCs w:val="26"/>
                <w:highlight w:val="none"/>
                <w:lang w:val="en-US" w:eastAsia="zh-CN" w:bidi="ar-SA"/>
              </w:rPr>
              <w:t>扒渣及过滤产生铝灰渣（即一次铝灰），铸造期间产生漏料</w:t>
            </w:r>
            <w:r>
              <w:rPr>
                <w:rFonts w:hint="eastAsia" w:ascii="Times New Roman" w:hAnsi="Times New Roman" w:eastAsia="宋体" w:cs="Times New Roman"/>
                <w:color w:val="auto"/>
                <w:sz w:val="26"/>
                <w:szCs w:val="26"/>
                <w:lang w:val="en-US" w:eastAsia="zh-CN"/>
              </w:rPr>
              <w:t>（进行回炉重熔）</w:t>
            </w:r>
            <w:r>
              <w:rPr>
                <w:rFonts w:hint="eastAsia" w:ascii="Times New Roman" w:hAnsi="Times New Roman" w:eastAsia="宋体" w:cs="Times New Roman"/>
                <w:color w:val="auto"/>
                <w:kern w:val="2"/>
                <w:sz w:val="26"/>
                <w:szCs w:val="26"/>
                <w:highlight w:val="none"/>
                <w:lang w:val="en-US" w:eastAsia="zh-CN" w:bidi="ar-SA"/>
              </w:rPr>
              <w:t>。</w:t>
            </w:r>
          </w:p>
          <w:p w14:paraId="63836556">
            <w:pPr>
              <w:keepNext w:val="0"/>
              <w:keepLines w:val="0"/>
              <w:pageBreakBefore w:val="0"/>
              <w:widowControl w:val="0"/>
              <w:kinsoku/>
              <w:wordWrap/>
              <w:overflowPunct/>
              <w:topLinePunct w:val="0"/>
              <w:autoSpaceDE w:val="0"/>
              <w:autoSpaceDN w:val="0"/>
              <w:bidi w:val="0"/>
              <w:adjustRightInd w:val="0"/>
              <w:spacing w:line="460" w:lineRule="exact"/>
              <w:ind w:firstLine="520" w:firstLineChars="200"/>
              <w:textAlignment w:val="auto"/>
              <w:rPr>
                <w:rFonts w:hint="default" w:ascii="Times New Roman" w:hAnsi="Times New Roman" w:eastAsia="宋体" w:cs="Times New Roman"/>
                <w:color w:val="auto"/>
                <w:kern w:val="2"/>
                <w:sz w:val="26"/>
                <w:szCs w:val="26"/>
                <w:highlight w:val="none"/>
                <w:lang w:val="en-US" w:eastAsia="zh-CN" w:bidi="ar-SA"/>
              </w:rPr>
            </w:pPr>
            <w:r>
              <w:rPr>
                <w:rFonts w:hint="default" w:ascii="Times New Roman" w:hAnsi="Times New Roman" w:eastAsia="宋体" w:cs="Times New Roman"/>
                <w:color w:val="auto"/>
                <w:kern w:val="2"/>
                <w:sz w:val="26"/>
                <w:szCs w:val="26"/>
                <w:highlight w:val="none"/>
                <w:lang w:val="en-US" w:eastAsia="zh-CN" w:bidi="ar-SA"/>
              </w:rPr>
              <w:fldChar w:fldCharType="begin"/>
            </w:r>
            <w:r>
              <w:rPr>
                <w:rFonts w:hint="default" w:ascii="Times New Roman" w:hAnsi="Times New Roman" w:eastAsia="宋体" w:cs="Times New Roman"/>
                <w:color w:val="auto"/>
                <w:kern w:val="2"/>
                <w:sz w:val="26"/>
                <w:szCs w:val="26"/>
                <w:highlight w:val="none"/>
                <w:lang w:val="en-US" w:eastAsia="zh-CN" w:bidi="ar-SA"/>
              </w:rPr>
              <w:instrText xml:space="preserve"> = 2 \* GB3 \* MERGEFORMAT </w:instrText>
            </w:r>
            <w:r>
              <w:rPr>
                <w:rFonts w:hint="default" w:ascii="Times New Roman" w:hAnsi="Times New Roman" w:eastAsia="宋体" w:cs="Times New Roman"/>
                <w:color w:val="auto"/>
                <w:kern w:val="2"/>
                <w:sz w:val="26"/>
                <w:szCs w:val="26"/>
                <w:highlight w:val="none"/>
                <w:lang w:val="en-US" w:eastAsia="zh-CN" w:bidi="ar-SA"/>
              </w:rPr>
              <w:fldChar w:fldCharType="separate"/>
            </w:r>
            <w:r>
              <w:rPr>
                <w:rFonts w:hint="default" w:ascii="Times New Roman" w:hAnsi="Times New Roman" w:eastAsia="宋体" w:cs="Times New Roman"/>
                <w:color w:val="auto"/>
                <w:sz w:val="26"/>
                <w:szCs w:val="26"/>
              </w:rPr>
              <w:t>②</w:t>
            </w:r>
            <w:r>
              <w:rPr>
                <w:rFonts w:hint="default" w:ascii="Times New Roman" w:hAnsi="Times New Roman" w:eastAsia="宋体" w:cs="Times New Roman"/>
                <w:color w:val="auto"/>
                <w:kern w:val="2"/>
                <w:sz w:val="26"/>
                <w:szCs w:val="26"/>
                <w:highlight w:val="none"/>
                <w:lang w:val="en-US" w:eastAsia="zh-CN" w:bidi="ar-SA"/>
              </w:rPr>
              <w:fldChar w:fldCharType="end"/>
            </w:r>
            <w:r>
              <w:rPr>
                <w:rFonts w:hint="default" w:ascii="Times New Roman" w:hAnsi="Times New Roman" w:eastAsia="宋体" w:cs="Times New Roman"/>
                <w:color w:val="auto"/>
                <w:kern w:val="2"/>
                <w:sz w:val="26"/>
                <w:szCs w:val="26"/>
                <w:highlight w:val="none"/>
                <w:lang w:val="en-US" w:eastAsia="zh-CN" w:bidi="ar-SA"/>
              </w:rPr>
              <w:t>铝合</w:t>
            </w:r>
            <w:r>
              <w:rPr>
                <w:rFonts w:hint="eastAsia" w:ascii="Times New Roman" w:hAnsi="Times New Roman" w:eastAsia="宋体" w:cs="Times New Roman"/>
                <w:color w:val="auto"/>
                <w:kern w:val="2"/>
                <w:sz w:val="26"/>
                <w:szCs w:val="26"/>
                <w:highlight w:val="none"/>
                <w:lang w:val="en-US" w:eastAsia="zh-CN" w:bidi="ar-SA"/>
              </w:rPr>
              <w:t>金铸锭（包括铝合金圆铸棒和扁锭）</w:t>
            </w:r>
          </w:p>
          <w:p w14:paraId="14D55E37">
            <w:pPr>
              <w:keepNext w:val="0"/>
              <w:keepLines w:val="0"/>
              <w:pageBreakBefore w:val="0"/>
              <w:widowControl w:val="0"/>
              <w:kinsoku/>
              <w:wordWrap/>
              <w:overflowPunct/>
              <w:topLinePunct w:val="0"/>
              <w:autoSpaceDE w:val="0"/>
              <w:autoSpaceDN w:val="0"/>
              <w:bidi w:val="0"/>
              <w:adjustRightInd w:val="0"/>
              <w:spacing w:line="460" w:lineRule="exact"/>
              <w:ind w:firstLine="522" w:firstLineChars="200"/>
              <w:textAlignment w:val="auto"/>
              <w:rPr>
                <w:rFonts w:hint="eastAsia" w:ascii="Times New Roman" w:hAnsi="Times New Roman" w:eastAsia="宋体" w:cs="Times New Roman"/>
                <w:color w:val="auto"/>
                <w:kern w:val="2"/>
                <w:sz w:val="26"/>
                <w:szCs w:val="26"/>
                <w:highlight w:val="none"/>
                <w:lang w:val="en-US" w:eastAsia="zh-CN" w:bidi="ar-SA"/>
              </w:rPr>
            </w:pPr>
            <w:r>
              <w:rPr>
                <w:rFonts w:hint="eastAsia" w:ascii="Times New Roman" w:hAnsi="Times New Roman" w:eastAsia="宋体" w:cs="Times New Roman"/>
                <w:b/>
                <w:bCs/>
                <w:color w:val="auto"/>
                <w:kern w:val="2"/>
                <w:sz w:val="26"/>
                <w:szCs w:val="26"/>
                <w:highlight w:val="none"/>
                <w:lang w:val="en-US" w:eastAsia="zh-CN" w:bidi="ar-SA"/>
              </w:rPr>
              <w:t>配料：</w:t>
            </w:r>
            <w:r>
              <w:rPr>
                <w:rFonts w:hint="eastAsia" w:ascii="Times New Roman" w:hAnsi="Times New Roman" w:eastAsia="宋体" w:cs="Times New Roman"/>
                <w:color w:val="auto"/>
                <w:kern w:val="2"/>
                <w:sz w:val="26"/>
                <w:szCs w:val="26"/>
                <w:highlight w:val="none"/>
                <w:lang w:val="en-US" w:eastAsia="zh-CN" w:bidi="ar-SA"/>
              </w:rPr>
              <w:t xml:space="preserve">根据客户所需产品牌号制定配料比例，将纯铝锭、纯铝液利用叉车将前述物料装入1#35t熔炼炉。 </w:t>
            </w:r>
          </w:p>
          <w:p w14:paraId="1C9A779D">
            <w:pPr>
              <w:spacing w:line="460" w:lineRule="exact"/>
              <w:ind w:firstLine="522"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b/>
                <w:bCs/>
                <w:color w:val="auto"/>
                <w:kern w:val="2"/>
                <w:sz w:val="26"/>
                <w:szCs w:val="26"/>
                <w:highlight w:val="none"/>
                <w:lang w:val="en-US" w:eastAsia="zh-CN" w:bidi="ar-SA"/>
              </w:rPr>
              <w:t>熔炼：</w:t>
            </w:r>
            <w:r>
              <w:rPr>
                <w:rFonts w:hint="eastAsia" w:ascii="Times New Roman" w:hAnsi="Times New Roman" w:eastAsia="宋体" w:cs="Times New Roman"/>
                <w:color w:val="auto"/>
                <w:kern w:val="2"/>
                <w:sz w:val="26"/>
                <w:szCs w:val="26"/>
                <w:highlight w:val="none"/>
                <w:lang w:val="en-US" w:eastAsia="zh-CN" w:bidi="ar-SA"/>
              </w:rPr>
              <w:t>炉料装料后采用覆盖剂覆盖，覆盖剂具有绝热保温作用，同时具备吸收铝液杂质，起到净化铝液作用；铝液熔化后</w:t>
            </w:r>
            <w:r>
              <w:rPr>
                <w:rFonts w:hint="eastAsia" w:ascii="Times New Roman" w:hAnsi="Times New Roman" w:eastAsia="宋体" w:cs="Times New Roman"/>
                <w:color w:val="auto"/>
                <w:sz w:val="26"/>
                <w:szCs w:val="26"/>
                <w:lang w:val="en-US" w:eastAsia="zh-CN"/>
              </w:rPr>
              <w:t>采用</w:t>
            </w:r>
            <w:r>
              <w:rPr>
                <w:rFonts w:hint="eastAsia" w:ascii="Times New Roman" w:hAnsi="Times New Roman" w:eastAsia="宋体" w:cs="Times New Roman"/>
                <w:color w:val="auto"/>
                <w:sz w:val="26"/>
                <w:szCs w:val="26"/>
              </w:rPr>
              <w:t>机械扒渣</w:t>
            </w:r>
            <w:r>
              <w:rPr>
                <w:rFonts w:hint="eastAsia" w:ascii="Times New Roman" w:hAnsi="Times New Roman" w:eastAsia="宋体" w:cs="Times New Roman"/>
                <w:color w:val="auto"/>
                <w:sz w:val="26"/>
                <w:szCs w:val="26"/>
                <w:lang w:val="en-US" w:eastAsia="zh-CN"/>
              </w:rPr>
              <w:t>去除</w:t>
            </w:r>
            <w:r>
              <w:rPr>
                <w:rFonts w:hint="eastAsia" w:ascii="Times New Roman" w:hAnsi="Times New Roman" w:eastAsia="宋体" w:cs="Times New Roman"/>
                <w:color w:val="auto"/>
                <w:sz w:val="26"/>
                <w:szCs w:val="26"/>
              </w:rPr>
              <w:t>熔体表面的浮渣</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并按配料比例装入单质金属</w:t>
            </w:r>
            <w:r>
              <w:rPr>
                <w:rFonts w:hint="eastAsia" w:ascii="Times New Roman" w:hAnsi="Times New Roman" w:eastAsia="宋体" w:cs="Times New Roman"/>
                <w:color w:val="auto"/>
                <w:sz w:val="26"/>
                <w:szCs w:val="26"/>
              </w:rPr>
              <w:t>料</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rPr>
              <w:t>合金元素</w:t>
            </w:r>
            <w:r>
              <w:rPr>
                <w:rFonts w:hint="eastAsia" w:ascii="Times New Roman" w:hAnsi="Times New Roman" w:eastAsia="宋体" w:cs="Times New Roman"/>
                <w:color w:val="auto"/>
                <w:sz w:val="26"/>
                <w:szCs w:val="26"/>
                <w:lang w:val="en-US" w:eastAsia="zh-CN"/>
              </w:rPr>
              <w:t>硅、铁、铜、锰、镁、锌、锶），并重复覆盖剂覆盖-熔化-搅拌-扒渣工序，</w:t>
            </w:r>
            <w:r>
              <w:rPr>
                <w:rFonts w:hint="eastAsia" w:ascii="Times New Roman" w:hAnsi="Times New Roman" w:eastAsia="宋体" w:cs="Times New Roman"/>
                <w:color w:val="auto"/>
                <w:sz w:val="26"/>
                <w:szCs w:val="26"/>
              </w:rPr>
              <w:t>同时</w:t>
            </w:r>
            <w:r>
              <w:rPr>
                <w:rFonts w:hint="eastAsia" w:ascii="Times New Roman" w:hAnsi="Times New Roman" w:eastAsia="宋体" w:cs="Times New Roman"/>
                <w:color w:val="auto"/>
                <w:sz w:val="26"/>
                <w:szCs w:val="26"/>
                <w:lang w:val="en-US" w:eastAsia="zh-CN"/>
              </w:rPr>
              <w:t>针对多批次铝液采取抽样</w:t>
            </w:r>
            <w:r>
              <w:rPr>
                <w:rFonts w:hint="eastAsia" w:ascii="Times New Roman" w:hAnsi="Times New Roman" w:eastAsia="宋体" w:cs="Times New Roman"/>
                <w:color w:val="auto"/>
                <w:sz w:val="26"/>
                <w:szCs w:val="26"/>
              </w:rPr>
              <w:t>提取</w:t>
            </w:r>
            <w:r>
              <w:rPr>
                <w:rFonts w:hint="eastAsia" w:ascii="Times New Roman" w:hAnsi="Times New Roman" w:eastAsia="宋体" w:cs="Times New Roman"/>
                <w:color w:val="auto"/>
                <w:sz w:val="26"/>
                <w:szCs w:val="26"/>
                <w:lang w:val="en-US" w:eastAsia="zh-CN"/>
              </w:rPr>
              <w:t>方式</w:t>
            </w:r>
            <w:r>
              <w:rPr>
                <w:rFonts w:hint="eastAsia" w:ascii="Times New Roman" w:hAnsi="Times New Roman" w:eastAsia="宋体" w:cs="Times New Roman"/>
                <w:color w:val="auto"/>
                <w:sz w:val="26"/>
                <w:szCs w:val="26"/>
              </w:rPr>
              <w:t>，</w:t>
            </w:r>
            <w:r>
              <w:rPr>
                <w:rFonts w:hint="eastAsia" w:ascii="Times New Roman" w:hAnsi="Times New Roman" w:eastAsia="宋体" w:cs="Times New Roman"/>
                <w:color w:val="auto"/>
                <w:sz w:val="26"/>
                <w:szCs w:val="26"/>
                <w:lang w:val="en-US" w:eastAsia="zh-CN"/>
              </w:rPr>
              <w:t>并委托西南铝集团实验室</w:t>
            </w:r>
            <w:r>
              <w:rPr>
                <w:rFonts w:hint="eastAsia" w:ascii="Times New Roman" w:hAnsi="Times New Roman" w:eastAsia="宋体" w:cs="Times New Roman"/>
                <w:color w:val="auto"/>
                <w:sz w:val="26"/>
                <w:szCs w:val="26"/>
              </w:rPr>
              <w:t>进行成分分析</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西南铝集团实验室距离本项目较近，满足生产时效性</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rPr>
              <w:t>当分析结果</w:t>
            </w:r>
            <w:r>
              <w:rPr>
                <w:rFonts w:hint="eastAsia" w:ascii="Times New Roman" w:hAnsi="Times New Roman" w:eastAsia="宋体" w:cs="Times New Roman"/>
                <w:color w:val="auto"/>
                <w:sz w:val="26"/>
                <w:szCs w:val="26"/>
                <w:lang w:val="en-US" w:eastAsia="zh-CN"/>
              </w:rPr>
              <w:t>与</w:t>
            </w:r>
            <w:r>
              <w:rPr>
                <w:rFonts w:hint="eastAsia" w:ascii="Times New Roman" w:hAnsi="Times New Roman" w:eastAsia="宋体" w:cs="Times New Roman"/>
                <w:color w:val="auto"/>
                <w:sz w:val="26"/>
                <w:szCs w:val="26"/>
              </w:rPr>
              <w:t>合金标准或成分要求不相符时应调整成分，通过冲淡或补料调整</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直至合格</w:t>
            </w:r>
            <w:r>
              <w:rPr>
                <w:rFonts w:hint="eastAsia" w:ascii="Times New Roman" w:hAnsi="Times New Roman" w:eastAsia="宋体" w:cs="Times New Roman"/>
                <w:color w:val="auto"/>
                <w:sz w:val="26"/>
                <w:szCs w:val="26"/>
              </w:rPr>
              <w:t>。</w:t>
            </w:r>
          </w:p>
          <w:p w14:paraId="52062CDA">
            <w:pPr>
              <w:spacing w:line="460" w:lineRule="exact"/>
              <w:ind w:firstLine="520" w:firstLineChars="200"/>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该生产线</w:t>
            </w:r>
            <w:r>
              <w:rPr>
                <w:rFonts w:hint="eastAsia" w:ascii="Times New Roman" w:hAnsi="Times New Roman" w:eastAsia="宋体" w:cs="Times New Roman"/>
                <w:color w:val="auto"/>
                <w:sz w:val="26"/>
                <w:szCs w:val="26"/>
              </w:rPr>
              <w:t>熔池温度约750℃</w:t>
            </w:r>
            <w:r>
              <w:rPr>
                <w:rFonts w:hint="eastAsia" w:ascii="Times New Roman" w:hAnsi="Times New Roman" w:eastAsia="宋体" w:cs="Times New Roman"/>
                <w:color w:val="auto"/>
                <w:sz w:val="26"/>
                <w:szCs w:val="26"/>
                <w:lang w:val="en-US" w:eastAsia="zh-CN"/>
              </w:rPr>
              <w:t>~1080</w:t>
            </w:r>
            <w:r>
              <w:rPr>
                <w:rFonts w:hint="eastAsia" w:ascii="Times New Roman" w:hAnsi="Times New Roman" w:eastAsia="宋体" w:cs="Times New Roman"/>
                <w:color w:val="auto"/>
                <w:sz w:val="26"/>
                <w:szCs w:val="26"/>
              </w:rPr>
              <w:t>℃，</w:t>
            </w:r>
            <w:r>
              <w:rPr>
                <w:rFonts w:hint="eastAsia" w:ascii="Times New Roman" w:hAnsi="Times New Roman" w:eastAsia="宋体" w:cs="Times New Roman"/>
                <w:color w:val="auto"/>
                <w:sz w:val="26"/>
                <w:szCs w:val="26"/>
                <w:lang w:val="en-US" w:eastAsia="zh-CN"/>
              </w:rPr>
              <w:t>单批次</w:t>
            </w:r>
            <w:r>
              <w:rPr>
                <w:rFonts w:hint="eastAsia" w:ascii="Times New Roman" w:hAnsi="Times New Roman" w:eastAsia="宋体" w:cs="Times New Roman"/>
                <w:color w:val="auto"/>
                <w:sz w:val="26"/>
                <w:szCs w:val="26"/>
              </w:rPr>
              <w:t>熔炼工序时长约</w:t>
            </w:r>
            <w:r>
              <w:rPr>
                <w:rFonts w:hint="eastAsia" w:ascii="Times New Roman" w:hAnsi="Times New Roman" w:eastAsia="宋体" w:cs="Times New Roman"/>
                <w:color w:val="auto"/>
                <w:sz w:val="26"/>
                <w:szCs w:val="26"/>
                <w:lang w:val="en-US" w:eastAsia="zh-CN"/>
              </w:rPr>
              <w:t>4</w:t>
            </w:r>
            <w:r>
              <w:rPr>
                <w:rFonts w:hint="eastAsia" w:ascii="Times New Roman" w:hAnsi="Times New Roman" w:eastAsia="宋体" w:cs="Times New Roman"/>
                <w:color w:val="auto"/>
                <w:sz w:val="26"/>
                <w:szCs w:val="26"/>
              </w:rPr>
              <w:t>h</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rPr>
              <w:t>炉料按批次添加，</w:t>
            </w:r>
            <w:r>
              <w:rPr>
                <w:rFonts w:hint="eastAsia" w:ascii="Times New Roman" w:hAnsi="Times New Roman" w:eastAsia="宋体" w:cs="Times New Roman"/>
                <w:color w:val="auto"/>
                <w:sz w:val="26"/>
                <w:szCs w:val="26"/>
                <w:lang w:val="en-US" w:eastAsia="zh-CN"/>
              </w:rPr>
              <w:t>每天3批次，单批次</w:t>
            </w:r>
            <w:r>
              <w:rPr>
                <w:rFonts w:hint="eastAsia" w:ascii="Times New Roman" w:hAnsi="Times New Roman" w:eastAsia="宋体" w:cs="Times New Roman"/>
                <w:color w:val="auto"/>
                <w:sz w:val="26"/>
                <w:szCs w:val="26"/>
              </w:rPr>
              <w:t>物料添加量为</w:t>
            </w:r>
            <w:r>
              <w:rPr>
                <w:rFonts w:hint="eastAsia" w:ascii="Times New Roman" w:hAnsi="Times New Roman" w:eastAsia="宋体" w:cs="Times New Roman"/>
                <w:color w:val="auto"/>
                <w:sz w:val="26"/>
                <w:szCs w:val="26"/>
                <w:lang w:val="en-US" w:eastAsia="zh-CN"/>
              </w:rPr>
              <w:t>35</w:t>
            </w:r>
            <w:r>
              <w:rPr>
                <w:rFonts w:hint="eastAsia" w:ascii="Times New Roman" w:hAnsi="Times New Roman" w:eastAsia="宋体" w:cs="Times New Roman"/>
                <w:color w:val="auto"/>
                <w:sz w:val="26"/>
                <w:szCs w:val="26"/>
              </w:rPr>
              <w:t>t</w:t>
            </w:r>
            <w:r>
              <w:rPr>
                <w:rFonts w:hint="eastAsia" w:ascii="Times New Roman" w:hAnsi="Times New Roman" w:eastAsia="宋体" w:cs="Times New Roman"/>
                <w:color w:val="auto"/>
                <w:sz w:val="26"/>
                <w:szCs w:val="26"/>
                <w:lang w:val="en-US" w:eastAsia="zh-CN"/>
              </w:rPr>
              <w:t>左右</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rPr>
              <w:t>熔体</w:t>
            </w:r>
            <w:r>
              <w:rPr>
                <w:rFonts w:hint="eastAsia" w:ascii="Times New Roman" w:hAnsi="Times New Roman" w:eastAsia="宋体" w:cs="Times New Roman"/>
                <w:color w:val="auto"/>
                <w:sz w:val="26"/>
                <w:szCs w:val="26"/>
                <w:lang w:val="en-US" w:eastAsia="zh-CN"/>
              </w:rPr>
              <w:t>加料、扒渣、取样分析过程需要开启炉门，每批次熔炼过程需开启炉门5次，每次开启时间5~15min，每批次熔炼过程开启炉门时长约50min，则熔炼阶段炉门开启时长共150min/d（285d/a，折合约712.5h/a），炉门开启时天然气停止燃烧。</w:t>
            </w:r>
          </w:p>
          <w:p w14:paraId="2FA6826F">
            <w:pPr>
              <w:spacing w:line="460" w:lineRule="exact"/>
              <w:ind w:firstLine="522" w:firstLineChars="200"/>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b/>
                <w:bCs/>
                <w:color w:val="auto"/>
                <w:sz w:val="26"/>
                <w:szCs w:val="26"/>
                <w:lang w:val="en-US" w:eastAsia="zh-CN"/>
              </w:rPr>
              <w:t>精炼：</w:t>
            </w:r>
            <w:r>
              <w:rPr>
                <w:rFonts w:hint="eastAsia" w:ascii="Times New Roman" w:hAnsi="Times New Roman" w:eastAsia="宋体" w:cs="Times New Roman"/>
                <w:color w:val="auto"/>
                <w:sz w:val="26"/>
                <w:szCs w:val="26"/>
                <w:lang w:val="en-US" w:eastAsia="zh-CN"/>
              </w:rPr>
              <w:t>精炼保温阶段需向熔炼炉内投加精炼剂，精炼保温阶段需向熔炼炉内投加精炼剂，并通入氩气。随后采用</w:t>
            </w:r>
            <w:r>
              <w:rPr>
                <w:rFonts w:hint="eastAsia" w:ascii="Times New Roman" w:hAnsi="Times New Roman" w:eastAsia="宋体" w:cs="Times New Roman"/>
                <w:color w:val="auto"/>
                <w:sz w:val="26"/>
                <w:szCs w:val="26"/>
              </w:rPr>
              <w:t>机械扒渣</w:t>
            </w:r>
            <w:r>
              <w:rPr>
                <w:rFonts w:hint="eastAsia" w:ascii="Times New Roman" w:hAnsi="Times New Roman" w:eastAsia="宋体" w:cs="Times New Roman"/>
                <w:color w:val="auto"/>
                <w:sz w:val="26"/>
                <w:szCs w:val="26"/>
                <w:lang w:val="en-US" w:eastAsia="zh-CN"/>
              </w:rPr>
              <w:t>去除</w:t>
            </w:r>
            <w:r>
              <w:rPr>
                <w:rFonts w:hint="eastAsia" w:ascii="Times New Roman" w:hAnsi="Times New Roman" w:eastAsia="宋体" w:cs="Times New Roman"/>
                <w:color w:val="auto"/>
                <w:sz w:val="26"/>
                <w:szCs w:val="26"/>
              </w:rPr>
              <w:t>熔体表面的浮渣</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保持静置（10～20min）。该生产线精炼温度约700℃~740℃，单批次精炼工序时长约2h，添加辅料、扒渣、取样分析过程需要开启炉门，每批次精炼过程需开启炉门2次，每次开启时间约10min，每批次精炼过程炉门开启时长约20min，每天精炼3批次，则精炼阶段炉门开启时长共60min/d（285d/a，折合约285h/a）。炉门开启时天然气停止燃烧。</w:t>
            </w:r>
          </w:p>
          <w:p w14:paraId="589D6AC1">
            <w:pPr>
              <w:spacing w:line="460" w:lineRule="exact"/>
              <w:ind w:firstLine="522"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b/>
                <w:bCs/>
                <w:color w:val="auto"/>
                <w:sz w:val="26"/>
                <w:szCs w:val="26"/>
                <w:lang w:val="en-US" w:eastAsia="zh-CN"/>
              </w:rPr>
              <w:t>在线晶粒细化及过滤：</w:t>
            </w:r>
            <w:r>
              <w:rPr>
                <w:rFonts w:hint="eastAsia" w:ascii="Times New Roman" w:hAnsi="Times New Roman" w:eastAsia="宋体" w:cs="Times New Roman"/>
                <w:color w:val="auto"/>
                <w:sz w:val="26"/>
                <w:szCs w:val="26"/>
                <w:lang w:val="en-US" w:eastAsia="zh-CN"/>
              </w:rPr>
              <w:t>取样分析</w:t>
            </w:r>
            <w:r>
              <w:rPr>
                <w:rFonts w:hint="eastAsia" w:ascii="Times New Roman" w:hAnsi="Times New Roman" w:eastAsia="宋体" w:cs="Times New Roman"/>
                <w:color w:val="auto"/>
                <w:sz w:val="26"/>
                <w:szCs w:val="26"/>
              </w:rPr>
              <w:t>检验合格后的铝液进入在线除气、过滤</w:t>
            </w:r>
            <w:r>
              <w:rPr>
                <w:rFonts w:hint="eastAsia" w:ascii="Times New Roman" w:hAnsi="Times New Roman" w:eastAsia="宋体" w:cs="Times New Roman"/>
                <w:color w:val="auto"/>
                <w:sz w:val="26"/>
                <w:szCs w:val="26"/>
                <w:lang w:val="en-US" w:eastAsia="zh-CN"/>
              </w:rPr>
              <w:t>设备</w:t>
            </w:r>
            <w:r>
              <w:rPr>
                <w:rFonts w:hint="eastAsia" w:ascii="Times New Roman" w:hAnsi="Times New Roman" w:eastAsia="宋体" w:cs="Times New Roman"/>
                <w:color w:val="auto"/>
                <w:sz w:val="26"/>
                <w:szCs w:val="26"/>
              </w:rPr>
              <w:t>进行熔体晶粒细化</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rPr>
              <w:t>除气</w:t>
            </w:r>
            <w:r>
              <w:rPr>
                <w:rFonts w:hint="eastAsia" w:ascii="Times New Roman" w:hAnsi="Times New Roman" w:eastAsia="宋体" w:cs="Times New Roman"/>
                <w:color w:val="auto"/>
                <w:sz w:val="26"/>
                <w:szCs w:val="26"/>
                <w:lang w:val="en-US" w:eastAsia="zh-CN"/>
              </w:rPr>
              <w:t>及过滤</w:t>
            </w:r>
            <w:r>
              <w:rPr>
                <w:rFonts w:hint="eastAsia" w:ascii="Times New Roman" w:hAnsi="Times New Roman" w:eastAsia="宋体" w:cs="Times New Roman"/>
                <w:color w:val="auto"/>
                <w:sz w:val="26"/>
                <w:szCs w:val="26"/>
              </w:rPr>
              <w:t>。晶粒细化采用炉外加入铝-钛-硼线杆</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添加剂</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rPr>
              <w:t>，从而达到铝熔体晶粒细化的目的</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利于</w:t>
            </w:r>
            <w:r>
              <w:rPr>
                <w:rFonts w:hint="eastAsia" w:ascii="Times New Roman" w:hAnsi="Times New Roman" w:eastAsia="宋体" w:cs="Times New Roman"/>
                <w:color w:val="auto"/>
                <w:sz w:val="26"/>
                <w:szCs w:val="26"/>
              </w:rPr>
              <w:t>铸造及随后的塑性加工</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使最终的铸锭截面具有均匀、细小的等轴晶</w:t>
            </w:r>
            <w:r>
              <w:rPr>
                <w:rFonts w:hint="eastAsia" w:ascii="Times New Roman" w:hAnsi="Times New Roman" w:eastAsia="宋体" w:cs="Times New Roman"/>
                <w:color w:val="auto"/>
                <w:sz w:val="26"/>
                <w:szCs w:val="26"/>
              </w:rPr>
              <w:t>。晶粒细化后的熔体进入除气箱</w:t>
            </w:r>
            <w:r>
              <w:rPr>
                <w:rFonts w:hint="eastAsia" w:ascii="Times New Roman" w:hAnsi="Times New Roman" w:eastAsia="宋体" w:cs="Times New Roman"/>
                <w:color w:val="auto"/>
                <w:sz w:val="26"/>
                <w:szCs w:val="26"/>
                <w:lang w:val="en-US" w:eastAsia="zh-CN"/>
              </w:rPr>
              <w:t>采用氩气</w:t>
            </w:r>
            <w:r>
              <w:rPr>
                <w:rFonts w:hint="eastAsia" w:ascii="Times New Roman" w:hAnsi="Times New Roman" w:eastAsia="宋体" w:cs="Times New Roman"/>
                <w:color w:val="auto"/>
                <w:sz w:val="26"/>
                <w:szCs w:val="26"/>
              </w:rPr>
              <w:t>进行除气、除渣。除气、除渣后的</w:t>
            </w:r>
            <w:r>
              <w:rPr>
                <w:rFonts w:hint="eastAsia" w:ascii="Times New Roman" w:hAnsi="Times New Roman" w:eastAsia="宋体" w:cs="Times New Roman"/>
                <w:color w:val="auto"/>
                <w:sz w:val="26"/>
                <w:szCs w:val="26"/>
                <w:lang w:val="en-US" w:eastAsia="zh-CN"/>
              </w:rPr>
              <w:t>铝液</w:t>
            </w:r>
            <w:r>
              <w:rPr>
                <w:rFonts w:hint="eastAsia" w:ascii="Times New Roman" w:hAnsi="Times New Roman" w:eastAsia="宋体" w:cs="Times New Roman"/>
                <w:color w:val="auto"/>
                <w:sz w:val="26"/>
                <w:szCs w:val="26"/>
              </w:rPr>
              <w:t>进入陶瓷板过滤工序，对</w:t>
            </w:r>
            <w:r>
              <w:rPr>
                <w:rFonts w:hint="eastAsia" w:ascii="Times New Roman" w:hAnsi="Times New Roman" w:eastAsia="宋体" w:cs="Times New Roman"/>
                <w:color w:val="auto"/>
                <w:sz w:val="26"/>
                <w:szCs w:val="26"/>
                <w:lang w:val="en-US" w:eastAsia="zh-CN"/>
              </w:rPr>
              <w:t>铝液</w:t>
            </w:r>
            <w:r>
              <w:rPr>
                <w:rFonts w:hint="eastAsia" w:ascii="Times New Roman" w:hAnsi="Times New Roman" w:eastAsia="宋体" w:cs="Times New Roman"/>
                <w:color w:val="auto"/>
                <w:sz w:val="26"/>
                <w:szCs w:val="26"/>
              </w:rPr>
              <w:t>进行进一步物理过滤。</w:t>
            </w:r>
          </w:p>
          <w:p w14:paraId="098B5A91">
            <w:pPr>
              <w:spacing w:line="460" w:lineRule="exact"/>
              <w:ind w:firstLine="522" w:firstLineChars="200"/>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b/>
                <w:bCs/>
                <w:color w:val="auto"/>
                <w:sz w:val="26"/>
                <w:szCs w:val="26"/>
                <w:lang w:val="en-US" w:eastAsia="zh-CN"/>
              </w:rPr>
              <w:t>铸造：</w:t>
            </w:r>
            <w:r>
              <w:rPr>
                <w:rFonts w:hint="eastAsia" w:ascii="Times New Roman" w:hAnsi="Times New Roman" w:eastAsia="宋体" w:cs="Times New Roman"/>
                <w:color w:val="auto"/>
                <w:kern w:val="2"/>
                <w:sz w:val="26"/>
                <w:szCs w:val="26"/>
                <w:highlight w:val="none"/>
                <w:lang w:val="en-US" w:eastAsia="zh-CN" w:bidi="ar-SA"/>
              </w:rPr>
              <w:t>将炉内金属取样合格后的铝液导入铸造平台浇铸成圆铸棒和扁锭。铸造期间采用循环冷却水进行冷却。</w:t>
            </w:r>
          </w:p>
          <w:p w14:paraId="73DEC969">
            <w:pPr>
              <w:spacing w:line="460" w:lineRule="exact"/>
              <w:ind w:firstLine="522" w:firstLineChars="200"/>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b/>
                <w:bCs/>
                <w:color w:val="auto"/>
                <w:sz w:val="26"/>
                <w:szCs w:val="26"/>
                <w:lang w:val="en-US" w:eastAsia="zh-CN"/>
              </w:rPr>
              <w:t>均质：</w:t>
            </w:r>
            <w:r>
              <w:rPr>
                <w:rFonts w:hint="eastAsia" w:ascii="Times New Roman" w:hAnsi="Times New Roman" w:eastAsia="宋体" w:cs="Times New Roman"/>
                <w:color w:val="auto"/>
                <w:sz w:val="26"/>
                <w:szCs w:val="26"/>
                <w:lang w:val="en-US" w:eastAsia="zh-CN"/>
              </w:rPr>
              <w:t>对铝合金铸锭进行加热均质，达到改善成品表面质量及力学性能。该生产线利用一台</w:t>
            </w:r>
            <w:r>
              <w:rPr>
                <w:rFonts w:hint="default" w:ascii="Times New Roman" w:hAnsi="Times New Roman" w:eastAsia="宋体" w:cs="Times New Roman"/>
                <w:color w:val="auto"/>
                <w:sz w:val="26"/>
                <w:szCs w:val="26"/>
                <w:lang w:val="en-US" w:eastAsia="zh-CN"/>
              </w:rPr>
              <w:t>50t</w:t>
            </w:r>
            <w:r>
              <w:rPr>
                <w:rFonts w:hint="eastAsia" w:ascii="Times New Roman" w:hAnsi="Times New Roman" w:eastAsia="宋体" w:cs="Times New Roman"/>
                <w:color w:val="auto"/>
                <w:sz w:val="26"/>
                <w:szCs w:val="26"/>
                <w:lang w:val="en-US" w:eastAsia="zh-CN"/>
              </w:rPr>
              <w:t>均质炉，采用天然气直接加热的形式进行加热。</w:t>
            </w:r>
          </w:p>
          <w:p w14:paraId="0DF3EC14">
            <w:pPr>
              <w:spacing w:line="460" w:lineRule="exact"/>
              <w:ind w:firstLine="522" w:firstLineChars="200"/>
              <w:rPr>
                <w:rFonts w:hint="eastAsia"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b/>
                <w:bCs/>
                <w:color w:val="auto"/>
                <w:sz w:val="26"/>
                <w:szCs w:val="26"/>
              </w:rPr>
              <w:t>锯切、剥皮</w:t>
            </w:r>
            <w:r>
              <w:rPr>
                <w:rFonts w:hint="eastAsia" w:ascii="Times New Roman" w:hAnsi="Times New Roman" w:eastAsia="宋体" w:cs="Times New Roman"/>
                <w:b/>
                <w:bCs/>
                <w:color w:val="auto"/>
                <w:sz w:val="26"/>
                <w:szCs w:val="26"/>
                <w:lang w:eastAsia="zh-CN"/>
              </w:rPr>
              <w:t>：</w:t>
            </w:r>
            <w:r>
              <w:rPr>
                <w:rFonts w:hint="eastAsia" w:ascii="Times New Roman" w:hAnsi="Times New Roman" w:eastAsia="宋体" w:cs="Times New Roman"/>
                <w:color w:val="auto"/>
                <w:sz w:val="26"/>
                <w:szCs w:val="26"/>
              </w:rPr>
              <w:t>采</w:t>
            </w:r>
            <w:r>
              <w:rPr>
                <w:rFonts w:hint="eastAsia" w:ascii="Times New Roman" w:hAnsi="Times New Roman" w:eastAsia="宋体" w:cs="Times New Roman"/>
                <w:color w:val="auto"/>
                <w:sz w:val="26"/>
                <w:szCs w:val="26"/>
                <w:lang w:val="en-US" w:eastAsia="zh-CN"/>
              </w:rPr>
              <w:t>用</w:t>
            </w:r>
            <w:r>
              <w:rPr>
                <w:rFonts w:hint="default" w:ascii="Times New Roman" w:hAnsi="Times New Roman" w:eastAsia="宋体" w:cs="Times New Roman"/>
                <w:color w:val="auto"/>
                <w:sz w:val="26"/>
                <w:szCs w:val="26"/>
                <w:lang w:val="en-US" w:eastAsia="zh-CN"/>
              </w:rPr>
              <w:t>铝棒锯切车皮生产</w:t>
            </w:r>
            <w:r>
              <w:rPr>
                <w:rFonts w:hint="eastAsia" w:ascii="Times New Roman" w:hAnsi="Times New Roman" w:eastAsia="宋体" w:cs="Times New Roman"/>
                <w:color w:val="auto"/>
                <w:sz w:val="26"/>
                <w:szCs w:val="26"/>
                <w:lang w:val="en-US" w:eastAsia="zh-CN"/>
              </w:rPr>
              <w:t>系统对铝棒、扁锭</w:t>
            </w:r>
            <w:r>
              <w:rPr>
                <w:rFonts w:hint="eastAsia" w:ascii="Times New Roman" w:hAnsi="Times New Roman" w:eastAsia="宋体" w:cs="Times New Roman"/>
                <w:color w:val="auto"/>
                <w:sz w:val="26"/>
                <w:szCs w:val="26"/>
              </w:rPr>
              <w:t>进行处理，达到客户所需的尺寸要求</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成品暂存入库</w:t>
            </w:r>
            <w:r>
              <w:rPr>
                <w:rFonts w:hint="eastAsia" w:ascii="Times New Roman" w:hAnsi="Times New Roman" w:eastAsia="宋体" w:cs="Times New Roman"/>
                <w:color w:val="auto"/>
                <w:sz w:val="26"/>
                <w:szCs w:val="26"/>
              </w:rPr>
              <w:t>。</w:t>
            </w:r>
            <w:r>
              <w:rPr>
                <w:rFonts w:hint="eastAsia" w:ascii="Times New Roman" w:hAnsi="Times New Roman" w:eastAsia="宋体" w:cs="Times New Roman"/>
                <w:color w:val="auto"/>
                <w:sz w:val="26"/>
                <w:szCs w:val="26"/>
                <w:lang w:val="en-US" w:eastAsia="zh-CN"/>
              </w:rPr>
              <w:t>该过程中产生一定量的废</w:t>
            </w:r>
            <w:r>
              <w:rPr>
                <w:rFonts w:hint="eastAsia" w:ascii="Times New Roman" w:hAnsi="Times New Roman" w:eastAsia="宋体" w:cs="Times New Roman"/>
                <w:color w:val="auto"/>
                <w:sz w:val="26"/>
                <w:szCs w:val="26"/>
              </w:rPr>
              <w:t>铝</w:t>
            </w:r>
            <w:r>
              <w:rPr>
                <w:rFonts w:hint="eastAsia" w:ascii="Times New Roman" w:hAnsi="Times New Roman" w:eastAsia="宋体" w:cs="Times New Roman"/>
                <w:color w:val="auto"/>
                <w:sz w:val="26"/>
                <w:szCs w:val="26"/>
                <w:lang w:val="en-US" w:eastAsia="zh-CN"/>
              </w:rPr>
              <w:t>料及废铝屑，锯切及车皮工序使用切削液，</w:t>
            </w:r>
            <w:r>
              <w:rPr>
                <w:rFonts w:hint="eastAsia" w:ascii="Times New Roman" w:hAnsi="Times New Roman" w:eastAsia="宋体" w:cs="Times New Roman"/>
                <w:color w:val="auto"/>
                <w:sz w:val="26"/>
                <w:szCs w:val="26"/>
                <w:highlight w:val="none"/>
                <w:lang w:val="en-US" w:eastAsia="zh-CN"/>
              </w:rPr>
              <w:t>切削液循环使用产生，在使用期间产生极少量挥发性有机物。</w:t>
            </w:r>
          </w:p>
          <w:p w14:paraId="008F8A49">
            <w:pPr>
              <w:spacing w:line="460" w:lineRule="exact"/>
              <w:ind w:firstLine="520" w:firstLineChars="200"/>
              <w:rPr>
                <w:rFonts w:hint="eastAsia"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具体工艺流程如下：首先针对铝棒进行齐头锯切，切除铝棒前端尾端因铸造产生的缩孔、夹渣等不良部分去除，为后续工序做准备。车皮主要作用为去除铝棒表面的氧化层、偏析层、杂质和轻微缺陷，获得光洁、尺寸精确的棒坯。安装在刀盘上的硬质合金刀具向旋转的铝棒径向进给，刀具沿铝棒轴向匀速移动，将整个表面一层薄薄的材料（通常1-2mm）连续切削下来，形成螺旋状的铝屑。最后采用定尺锯切将经过车皮处理的长铝棒，按照挤压工序要求的定尺长度锯切成段。</w:t>
            </w:r>
          </w:p>
          <w:p w14:paraId="65FCFC3A">
            <w:pPr>
              <w:keepNext w:val="0"/>
              <w:keepLines w:val="0"/>
              <w:pageBreakBefore w:val="0"/>
              <w:widowControl w:val="0"/>
              <w:kinsoku/>
              <w:wordWrap/>
              <w:overflowPunct/>
              <w:topLinePunct w:val="0"/>
              <w:autoSpaceDE w:val="0"/>
              <w:autoSpaceDN w:val="0"/>
              <w:bidi w:val="0"/>
              <w:adjustRightInd w:val="0"/>
              <w:spacing w:line="460" w:lineRule="exact"/>
              <w:ind w:firstLine="520" w:firstLineChars="200"/>
              <w:textAlignment w:val="auto"/>
              <w:rPr>
                <w:rFonts w:hint="default" w:ascii="Times New Roman" w:hAnsi="Times New Roman" w:eastAsia="宋体" w:cs="Times New Roman"/>
                <w:color w:val="auto"/>
                <w:kern w:val="2"/>
                <w:sz w:val="26"/>
                <w:szCs w:val="26"/>
                <w:highlight w:val="none"/>
                <w:lang w:val="en-US" w:eastAsia="zh-CN" w:bidi="ar-SA"/>
              </w:rPr>
            </w:pPr>
            <w:r>
              <w:rPr>
                <w:rFonts w:hint="eastAsia" w:ascii="Times New Roman" w:hAnsi="Times New Roman" w:eastAsia="宋体" w:cs="Times New Roman"/>
                <w:color w:val="auto"/>
                <w:sz w:val="26"/>
                <w:szCs w:val="26"/>
                <w:highlight w:val="none"/>
                <w:lang w:val="en-US" w:eastAsia="zh-CN"/>
              </w:rPr>
              <w:t>该环节废料产生量较大，约占半成品量30%，主要为齐头锯切产生的去头去尾料以及车皮产生的铝屑（去头去尾料占绝大量）。由于车皮刀具需采用切削液进行润滑、冷却，产生的铝屑易沾染废切削液，作为危险废物处置。去头去尾料由于对切口平整程度无要求，锯切期间可不使用切削液，未沾染铝料作为不含油废料。生产期间严控</w:t>
            </w:r>
            <w:r>
              <w:rPr>
                <w:rFonts w:hint="eastAsia" w:ascii="Times New Roman" w:hAnsi="Times New Roman" w:eastAsia="宋体" w:cs="Times New Roman"/>
                <w:color w:val="auto"/>
                <w:kern w:val="2"/>
                <w:sz w:val="26"/>
                <w:szCs w:val="26"/>
                <w:highlight w:val="none"/>
                <w:lang w:val="en-US" w:eastAsia="zh-CN" w:bidi="ar-SA"/>
              </w:rPr>
              <w:t>回炉废料管理，禁止将含油废料回炉重熔。</w:t>
            </w:r>
          </w:p>
          <w:p w14:paraId="6EE21439">
            <w:pPr>
              <w:spacing w:line="460" w:lineRule="exact"/>
              <w:ind w:firstLine="520"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lang w:val="en-US" w:eastAsia="zh-CN"/>
              </w:rPr>
              <w:t>根据实际工程经验，不含油的废铝料约25%回炉重熔，其余不含油废铝料作一般固废处置</w:t>
            </w:r>
            <w:r>
              <w:rPr>
                <w:rFonts w:hint="eastAsia" w:ascii="Times New Roman" w:hAnsi="Times New Roman" w:eastAsia="宋体" w:cs="Times New Roman"/>
                <w:color w:val="auto"/>
                <w:sz w:val="26"/>
                <w:szCs w:val="26"/>
              </w:rPr>
              <w:t>。</w:t>
            </w:r>
          </w:p>
          <w:p w14:paraId="7E93A798">
            <w:pPr>
              <w:keepNext w:val="0"/>
              <w:keepLines w:val="0"/>
              <w:pageBreakBefore w:val="0"/>
              <w:widowControl w:val="0"/>
              <w:kinsoku/>
              <w:wordWrap/>
              <w:overflowPunct/>
              <w:topLinePunct w:val="0"/>
              <w:autoSpaceDE w:val="0"/>
              <w:autoSpaceDN w:val="0"/>
              <w:bidi w:val="0"/>
              <w:adjustRightInd w:val="0"/>
              <w:spacing w:line="460" w:lineRule="exact"/>
              <w:ind w:firstLine="520" w:firstLineChars="200"/>
              <w:textAlignment w:val="auto"/>
              <w:rPr>
                <w:rFonts w:hint="default" w:ascii="Times New Roman" w:hAnsi="Times New Roman" w:eastAsia="宋体" w:cs="Times New Roman"/>
                <w:color w:val="auto"/>
                <w:kern w:val="2"/>
                <w:sz w:val="26"/>
                <w:szCs w:val="26"/>
                <w:highlight w:val="none"/>
                <w:lang w:val="en-US" w:eastAsia="zh-CN" w:bidi="ar-SA"/>
              </w:rPr>
            </w:pPr>
            <w:r>
              <w:rPr>
                <w:rFonts w:hint="eastAsia" w:ascii="Times New Roman" w:hAnsi="Times New Roman" w:eastAsia="宋体" w:cs="Times New Roman"/>
                <w:color w:val="auto"/>
                <w:kern w:val="2"/>
                <w:sz w:val="26"/>
                <w:szCs w:val="26"/>
                <w:highlight w:val="none"/>
                <w:lang w:val="en-US" w:eastAsia="zh-CN" w:bidi="ar-SA"/>
              </w:rPr>
              <w:t>上述熔炼期间产生熔炼废气、</w:t>
            </w:r>
            <w:r>
              <w:rPr>
                <w:rFonts w:hint="eastAsia" w:ascii="Times New Roman" w:hAnsi="Times New Roman" w:eastAsia="宋体" w:cs="Times New Roman"/>
                <w:color w:val="auto"/>
                <w:sz w:val="26"/>
                <w:szCs w:val="26"/>
                <w:lang w:val="en-US" w:eastAsia="zh-CN"/>
              </w:rPr>
              <w:t>铸造</w:t>
            </w:r>
            <w:r>
              <w:rPr>
                <w:rFonts w:hint="eastAsia" w:ascii="Times New Roman" w:hAnsi="Times New Roman" w:eastAsia="宋体" w:cs="Times New Roman"/>
                <w:color w:val="auto"/>
                <w:kern w:val="2"/>
                <w:sz w:val="26"/>
                <w:szCs w:val="26"/>
                <w:highlight w:val="none"/>
                <w:lang w:val="en-US" w:eastAsia="zh-CN" w:bidi="ar-SA"/>
              </w:rPr>
              <w:t>废气、均质废气及机加工废气，扒渣期间、在线过滤产生铝灰渣（即一次铝灰），铸造期间产生漏料</w:t>
            </w:r>
            <w:r>
              <w:rPr>
                <w:rFonts w:hint="eastAsia" w:ascii="Times New Roman" w:hAnsi="Times New Roman" w:eastAsia="宋体" w:cs="Times New Roman"/>
                <w:color w:val="auto"/>
                <w:sz w:val="26"/>
                <w:szCs w:val="26"/>
                <w:lang w:val="en-US" w:eastAsia="zh-CN"/>
              </w:rPr>
              <w:t>（进行回炉重熔），</w:t>
            </w:r>
            <w:r>
              <w:rPr>
                <w:rFonts w:hint="eastAsia" w:ascii="Times New Roman" w:hAnsi="Times New Roman" w:eastAsia="宋体" w:cs="Times New Roman"/>
                <w:color w:val="auto"/>
                <w:kern w:val="2"/>
                <w:sz w:val="26"/>
                <w:szCs w:val="26"/>
                <w:highlight w:val="none"/>
                <w:lang w:val="en-US" w:eastAsia="zh-CN" w:bidi="ar-SA"/>
              </w:rPr>
              <w:t>机加工产生废铝料铝屑（其中不含油的进行回炉重熔），废弃含油抹布。</w:t>
            </w:r>
          </w:p>
          <w:p w14:paraId="7BBB78E7">
            <w:pPr>
              <w:keepNext w:val="0"/>
              <w:keepLines w:val="0"/>
              <w:pageBreakBefore w:val="0"/>
              <w:widowControl w:val="0"/>
              <w:kinsoku/>
              <w:wordWrap/>
              <w:overflowPunct/>
              <w:topLinePunct w:val="0"/>
              <w:autoSpaceDE w:val="0"/>
              <w:autoSpaceDN w:val="0"/>
              <w:bidi w:val="0"/>
              <w:adjustRightInd w:val="0"/>
              <w:spacing w:line="460" w:lineRule="exact"/>
              <w:ind w:firstLine="520" w:firstLineChars="200"/>
              <w:textAlignment w:val="auto"/>
              <w:rPr>
                <w:rFonts w:hint="default" w:ascii="Times New Roman" w:hAnsi="Times New Roman" w:eastAsia="宋体" w:cs="Times New Roman"/>
                <w:color w:val="auto"/>
                <w:kern w:val="2"/>
                <w:sz w:val="26"/>
                <w:szCs w:val="26"/>
                <w:highlight w:val="none"/>
                <w:lang w:val="en-US" w:eastAsia="zh-CN" w:bidi="ar-SA"/>
              </w:rPr>
            </w:pPr>
            <w:r>
              <w:rPr>
                <w:rFonts w:hint="eastAsia" w:ascii="Times New Roman" w:hAnsi="Times New Roman" w:eastAsia="宋体" w:cs="Times New Roman"/>
                <w:color w:val="auto"/>
                <w:kern w:val="2"/>
                <w:sz w:val="26"/>
                <w:szCs w:val="26"/>
                <w:highlight w:val="none"/>
                <w:lang w:val="en-US" w:eastAsia="zh-CN" w:bidi="ar-SA"/>
              </w:rPr>
              <w:fldChar w:fldCharType="begin"/>
            </w:r>
            <w:r>
              <w:rPr>
                <w:rFonts w:hint="eastAsia" w:ascii="Times New Roman" w:hAnsi="Times New Roman" w:eastAsia="宋体" w:cs="Times New Roman"/>
                <w:color w:val="auto"/>
                <w:kern w:val="2"/>
                <w:sz w:val="26"/>
                <w:szCs w:val="26"/>
                <w:highlight w:val="none"/>
                <w:lang w:val="en-US" w:eastAsia="zh-CN" w:bidi="ar-SA"/>
              </w:rPr>
              <w:instrText xml:space="preserve"> = 3 \* GB3 \* MERGEFORMAT </w:instrText>
            </w:r>
            <w:r>
              <w:rPr>
                <w:rFonts w:hint="eastAsia" w:ascii="Times New Roman" w:hAnsi="Times New Roman" w:eastAsia="宋体" w:cs="Times New Roman"/>
                <w:color w:val="auto"/>
                <w:kern w:val="2"/>
                <w:sz w:val="26"/>
                <w:szCs w:val="26"/>
                <w:highlight w:val="none"/>
                <w:lang w:val="en-US" w:eastAsia="zh-CN" w:bidi="ar-SA"/>
              </w:rPr>
              <w:fldChar w:fldCharType="separate"/>
            </w:r>
            <w:r>
              <w:rPr>
                <w:color w:val="auto"/>
                <w:sz w:val="26"/>
                <w:szCs w:val="26"/>
              </w:rPr>
              <w:t>③</w:t>
            </w:r>
            <w:r>
              <w:rPr>
                <w:rFonts w:hint="eastAsia" w:ascii="Times New Roman" w:hAnsi="Times New Roman" w:eastAsia="宋体" w:cs="Times New Roman"/>
                <w:color w:val="auto"/>
                <w:kern w:val="2"/>
                <w:sz w:val="26"/>
                <w:szCs w:val="26"/>
                <w:highlight w:val="none"/>
                <w:lang w:val="en-US" w:eastAsia="zh-CN" w:bidi="ar-SA"/>
              </w:rPr>
              <w:fldChar w:fldCharType="end"/>
            </w:r>
            <w:r>
              <w:rPr>
                <w:rFonts w:hint="eastAsia" w:ascii="Times New Roman" w:hAnsi="Times New Roman" w:eastAsia="宋体" w:cs="Times New Roman"/>
                <w:color w:val="auto"/>
                <w:sz w:val="26"/>
                <w:szCs w:val="26"/>
                <w:lang w:val="en-US" w:eastAsia="zh-CN"/>
              </w:rPr>
              <w:t>铝合金液</w:t>
            </w:r>
          </w:p>
          <w:p w14:paraId="79CCDAE0">
            <w:pPr>
              <w:keepNext w:val="0"/>
              <w:keepLines w:val="0"/>
              <w:pageBreakBefore w:val="0"/>
              <w:widowControl w:val="0"/>
              <w:kinsoku/>
              <w:wordWrap/>
              <w:overflowPunct/>
              <w:topLinePunct w:val="0"/>
              <w:autoSpaceDE w:val="0"/>
              <w:autoSpaceDN w:val="0"/>
              <w:bidi w:val="0"/>
              <w:adjustRightInd w:val="0"/>
              <w:spacing w:line="460" w:lineRule="exact"/>
              <w:ind w:firstLine="522" w:firstLineChars="200"/>
              <w:textAlignment w:val="auto"/>
              <w:rPr>
                <w:rFonts w:hint="eastAsia" w:ascii="Times New Roman" w:hAnsi="Times New Roman" w:eastAsia="宋体" w:cs="Times New Roman"/>
                <w:color w:val="auto"/>
                <w:kern w:val="2"/>
                <w:sz w:val="26"/>
                <w:szCs w:val="26"/>
                <w:highlight w:val="none"/>
                <w:lang w:val="en-US" w:eastAsia="zh-CN" w:bidi="ar-SA"/>
              </w:rPr>
            </w:pPr>
            <w:r>
              <w:rPr>
                <w:rFonts w:hint="eastAsia" w:ascii="Times New Roman" w:hAnsi="Times New Roman" w:eastAsia="宋体" w:cs="Times New Roman"/>
                <w:b/>
                <w:bCs/>
                <w:color w:val="auto"/>
                <w:kern w:val="2"/>
                <w:sz w:val="26"/>
                <w:szCs w:val="26"/>
                <w:highlight w:val="none"/>
                <w:lang w:val="en-US" w:eastAsia="zh-CN" w:bidi="ar-SA"/>
              </w:rPr>
              <w:t>配料：</w:t>
            </w:r>
            <w:r>
              <w:rPr>
                <w:rFonts w:hint="eastAsia" w:ascii="Times New Roman" w:hAnsi="Times New Roman" w:eastAsia="宋体" w:cs="Times New Roman"/>
                <w:color w:val="auto"/>
                <w:kern w:val="2"/>
                <w:sz w:val="26"/>
                <w:szCs w:val="26"/>
                <w:highlight w:val="none"/>
                <w:lang w:val="en-US" w:eastAsia="zh-CN" w:bidi="ar-SA"/>
              </w:rPr>
              <w:t xml:space="preserve">根据客户所需产品牌号制定配料比例，将纯铝锭、纯铝液利用叉车将前述物料装入60t熔炼炉。 </w:t>
            </w:r>
          </w:p>
          <w:p w14:paraId="4035C01D">
            <w:pPr>
              <w:keepNext w:val="0"/>
              <w:keepLines w:val="0"/>
              <w:pageBreakBefore w:val="0"/>
              <w:widowControl w:val="0"/>
              <w:kinsoku/>
              <w:wordWrap/>
              <w:overflowPunct/>
              <w:topLinePunct w:val="0"/>
              <w:autoSpaceDE w:val="0"/>
              <w:autoSpaceDN w:val="0"/>
              <w:bidi w:val="0"/>
              <w:adjustRightInd w:val="0"/>
              <w:spacing w:line="460" w:lineRule="exact"/>
              <w:ind w:firstLine="522" w:firstLineChars="200"/>
              <w:textAlignment w:val="auto"/>
              <w:rPr>
                <w:rFonts w:hint="eastAsia" w:ascii="Times New Roman" w:hAnsi="Times New Roman" w:eastAsia="宋体" w:cs="Times New Roman"/>
                <w:color w:val="auto"/>
                <w:sz w:val="26"/>
                <w:szCs w:val="26"/>
              </w:rPr>
            </w:pPr>
            <w:r>
              <w:rPr>
                <w:rFonts w:hint="eastAsia" w:ascii="Times New Roman" w:hAnsi="Times New Roman" w:eastAsia="宋体" w:cs="Times New Roman"/>
                <w:b/>
                <w:bCs/>
                <w:color w:val="auto"/>
                <w:kern w:val="2"/>
                <w:sz w:val="26"/>
                <w:szCs w:val="26"/>
                <w:highlight w:val="none"/>
                <w:lang w:val="en-US" w:eastAsia="zh-CN" w:bidi="ar-SA"/>
              </w:rPr>
              <w:t>熔炼：</w:t>
            </w:r>
            <w:r>
              <w:rPr>
                <w:rFonts w:hint="eastAsia" w:ascii="Times New Roman" w:hAnsi="Times New Roman" w:eastAsia="宋体" w:cs="Times New Roman"/>
                <w:color w:val="auto"/>
                <w:kern w:val="2"/>
                <w:sz w:val="26"/>
                <w:szCs w:val="26"/>
                <w:highlight w:val="none"/>
                <w:lang w:val="en-US" w:eastAsia="zh-CN" w:bidi="ar-SA"/>
              </w:rPr>
              <w:t>该生产线采用蓄热式高效熔炼炉，铝液熔化后</w:t>
            </w:r>
            <w:r>
              <w:rPr>
                <w:rFonts w:hint="eastAsia" w:ascii="Times New Roman" w:hAnsi="Times New Roman" w:eastAsia="宋体" w:cs="Times New Roman"/>
                <w:color w:val="auto"/>
                <w:sz w:val="26"/>
                <w:szCs w:val="26"/>
                <w:lang w:val="en-US" w:eastAsia="zh-CN"/>
              </w:rPr>
              <w:t>采用</w:t>
            </w:r>
            <w:r>
              <w:rPr>
                <w:rFonts w:hint="eastAsia" w:ascii="Times New Roman" w:hAnsi="Times New Roman" w:eastAsia="宋体" w:cs="Times New Roman"/>
                <w:color w:val="auto"/>
                <w:sz w:val="26"/>
                <w:szCs w:val="26"/>
              </w:rPr>
              <w:t>机械扒渣</w:t>
            </w:r>
            <w:r>
              <w:rPr>
                <w:rFonts w:hint="eastAsia" w:ascii="Times New Roman" w:hAnsi="Times New Roman" w:eastAsia="宋体" w:cs="Times New Roman"/>
                <w:color w:val="auto"/>
                <w:sz w:val="26"/>
                <w:szCs w:val="26"/>
                <w:lang w:val="en-US" w:eastAsia="zh-CN"/>
              </w:rPr>
              <w:t>去除</w:t>
            </w:r>
            <w:r>
              <w:rPr>
                <w:rFonts w:hint="eastAsia" w:ascii="Times New Roman" w:hAnsi="Times New Roman" w:eastAsia="宋体" w:cs="Times New Roman"/>
                <w:color w:val="auto"/>
                <w:sz w:val="26"/>
                <w:szCs w:val="26"/>
              </w:rPr>
              <w:t>熔体表面的浮渣</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并按配料比例装入单质金属</w:t>
            </w:r>
            <w:r>
              <w:rPr>
                <w:rFonts w:hint="eastAsia" w:ascii="Times New Roman" w:hAnsi="Times New Roman" w:eastAsia="宋体" w:cs="Times New Roman"/>
                <w:color w:val="auto"/>
                <w:sz w:val="26"/>
                <w:szCs w:val="26"/>
              </w:rPr>
              <w:t>料</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rPr>
              <w:t>合金元素</w:t>
            </w:r>
            <w:r>
              <w:rPr>
                <w:rFonts w:hint="eastAsia" w:ascii="Times New Roman" w:hAnsi="Times New Roman" w:eastAsia="宋体" w:cs="Times New Roman"/>
                <w:color w:val="auto"/>
                <w:sz w:val="26"/>
                <w:szCs w:val="26"/>
                <w:lang w:val="en-US" w:eastAsia="zh-CN"/>
              </w:rPr>
              <w:t>硅、铁、铜、锰、镁）</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并重复熔化-搅拌-扒渣工序，</w:t>
            </w:r>
            <w:r>
              <w:rPr>
                <w:rFonts w:hint="eastAsia" w:ascii="Times New Roman" w:hAnsi="Times New Roman" w:eastAsia="宋体" w:cs="Times New Roman"/>
                <w:color w:val="auto"/>
                <w:sz w:val="26"/>
                <w:szCs w:val="26"/>
              </w:rPr>
              <w:t>同时</w:t>
            </w:r>
            <w:r>
              <w:rPr>
                <w:rFonts w:hint="eastAsia" w:ascii="Times New Roman" w:hAnsi="Times New Roman" w:eastAsia="宋体" w:cs="Times New Roman"/>
                <w:color w:val="auto"/>
                <w:sz w:val="26"/>
                <w:szCs w:val="26"/>
                <w:lang w:val="en-US" w:eastAsia="zh-CN"/>
              </w:rPr>
              <w:t>针对多批次铝液采取抽样</w:t>
            </w:r>
            <w:r>
              <w:rPr>
                <w:rFonts w:hint="eastAsia" w:ascii="Times New Roman" w:hAnsi="Times New Roman" w:eastAsia="宋体" w:cs="Times New Roman"/>
                <w:color w:val="auto"/>
                <w:sz w:val="26"/>
                <w:szCs w:val="26"/>
              </w:rPr>
              <w:t>提取</w:t>
            </w:r>
            <w:r>
              <w:rPr>
                <w:rFonts w:hint="eastAsia" w:ascii="Times New Roman" w:hAnsi="Times New Roman" w:eastAsia="宋体" w:cs="Times New Roman"/>
                <w:color w:val="auto"/>
                <w:sz w:val="26"/>
                <w:szCs w:val="26"/>
                <w:lang w:val="en-US" w:eastAsia="zh-CN"/>
              </w:rPr>
              <w:t>方式</w:t>
            </w:r>
            <w:r>
              <w:rPr>
                <w:rFonts w:hint="eastAsia" w:ascii="Times New Roman" w:hAnsi="Times New Roman" w:eastAsia="宋体" w:cs="Times New Roman"/>
                <w:color w:val="auto"/>
                <w:sz w:val="26"/>
                <w:szCs w:val="26"/>
              </w:rPr>
              <w:t>，</w:t>
            </w:r>
            <w:r>
              <w:rPr>
                <w:rFonts w:hint="eastAsia" w:ascii="Times New Roman" w:hAnsi="Times New Roman" w:eastAsia="宋体" w:cs="Times New Roman"/>
                <w:color w:val="auto"/>
                <w:sz w:val="26"/>
                <w:szCs w:val="26"/>
                <w:lang w:val="en-US" w:eastAsia="zh-CN"/>
              </w:rPr>
              <w:t>并委托西南铝集团实验室</w:t>
            </w:r>
            <w:r>
              <w:rPr>
                <w:rFonts w:hint="eastAsia" w:ascii="Times New Roman" w:hAnsi="Times New Roman" w:eastAsia="宋体" w:cs="Times New Roman"/>
                <w:color w:val="auto"/>
                <w:sz w:val="26"/>
                <w:szCs w:val="26"/>
              </w:rPr>
              <w:t>进行成分分析</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西南铝集团实验室距离本项目较近，满足生产时效性</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rPr>
              <w:t>当分析结果</w:t>
            </w:r>
            <w:r>
              <w:rPr>
                <w:rFonts w:hint="eastAsia" w:ascii="Times New Roman" w:hAnsi="Times New Roman" w:eastAsia="宋体" w:cs="Times New Roman"/>
                <w:color w:val="auto"/>
                <w:sz w:val="26"/>
                <w:szCs w:val="26"/>
                <w:lang w:val="en-US" w:eastAsia="zh-CN"/>
              </w:rPr>
              <w:t>与</w:t>
            </w:r>
            <w:r>
              <w:rPr>
                <w:rFonts w:hint="eastAsia" w:ascii="Times New Roman" w:hAnsi="Times New Roman" w:eastAsia="宋体" w:cs="Times New Roman"/>
                <w:color w:val="auto"/>
                <w:sz w:val="26"/>
                <w:szCs w:val="26"/>
              </w:rPr>
              <w:t>合金标准或成分要求不相符时应调整成分，通过冲淡或补料调整</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直至合格</w:t>
            </w:r>
            <w:r>
              <w:rPr>
                <w:rFonts w:hint="eastAsia" w:ascii="Times New Roman" w:hAnsi="Times New Roman" w:eastAsia="宋体" w:cs="Times New Roman"/>
                <w:color w:val="auto"/>
                <w:sz w:val="26"/>
                <w:szCs w:val="26"/>
              </w:rPr>
              <w:t>。</w:t>
            </w:r>
          </w:p>
          <w:p w14:paraId="49D7E7D6">
            <w:pPr>
              <w:spacing w:line="460" w:lineRule="exact"/>
              <w:ind w:firstLine="520" w:firstLineChars="200"/>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该生产线</w:t>
            </w:r>
            <w:r>
              <w:rPr>
                <w:rFonts w:hint="eastAsia" w:ascii="Times New Roman" w:hAnsi="Times New Roman" w:eastAsia="宋体" w:cs="Times New Roman"/>
                <w:color w:val="auto"/>
                <w:sz w:val="26"/>
                <w:szCs w:val="26"/>
              </w:rPr>
              <w:t>熔池温度约750℃</w:t>
            </w:r>
            <w:r>
              <w:rPr>
                <w:rFonts w:hint="eastAsia" w:ascii="Times New Roman" w:hAnsi="Times New Roman" w:eastAsia="宋体" w:cs="Times New Roman"/>
                <w:color w:val="auto"/>
                <w:sz w:val="26"/>
                <w:szCs w:val="26"/>
                <w:lang w:val="en-US" w:eastAsia="zh-CN"/>
              </w:rPr>
              <w:t>~1080</w:t>
            </w:r>
            <w:r>
              <w:rPr>
                <w:rFonts w:hint="eastAsia" w:ascii="Times New Roman" w:hAnsi="Times New Roman" w:eastAsia="宋体" w:cs="Times New Roman"/>
                <w:color w:val="auto"/>
                <w:sz w:val="26"/>
                <w:szCs w:val="26"/>
              </w:rPr>
              <w:t>℃，</w:t>
            </w:r>
            <w:r>
              <w:rPr>
                <w:rFonts w:hint="eastAsia" w:ascii="Times New Roman" w:hAnsi="Times New Roman" w:eastAsia="宋体" w:cs="Times New Roman"/>
                <w:color w:val="auto"/>
                <w:sz w:val="26"/>
                <w:szCs w:val="26"/>
                <w:lang w:val="en-US" w:eastAsia="zh-CN"/>
              </w:rPr>
              <w:t>单批次</w:t>
            </w:r>
            <w:r>
              <w:rPr>
                <w:rFonts w:hint="eastAsia" w:ascii="Times New Roman" w:hAnsi="Times New Roman" w:eastAsia="宋体" w:cs="Times New Roman"/>
                <w:color w:val="auto"/>
                <w:sz w:val="26"/>
                <w:szCs w:val="26"/>
              </w:rPr>
              <w:t>熔炼工序时长约</w:t>
            </w:r>
            <w:r>
              <w:rPr>
                <w:rFonts w:hint="eastAsia" w:ascii="Times New Roman" w:hAnsi="Times New Roman" w:eastAsia="宋体" w:cs="Times New Roman"/>
                <w:color w:val="auto"/>
                <w:sz w:val="26"/>
                <w:szCs w:val="26"/>
                <w:lang w:val="en-US" w:eastAsia="zh-CN"/>
              </w:rPr>
              <w:t>4</w:t>
            </w:r>
            <w:r>
              <w:rPr>
                <w:rFonts w:hint="eastAsia" w:ascii="Times New Roman" w:hAnsi="Times New Roman" w:eastAsia="宋体" w:cs="Times New Roman"/>
                <w:color w:val="auto"/>
                <w:sz w:val="26"/>
                <w:szCs w:val="26"/>
              </w:rPr>
              <w:t>h</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rPr>
              <w:t>炉料按批次添加，</w:t>
            </w:r>
            <w:r>
              <w:rPr>
                <w:rFonts w:hint="eastAsia" w:ascii="Times New Roman" w:hAnsi="Times New Roman" w:eastAsia="宋体" w:cs="Times New Roman"/>
                <w:color w:val="auto"/>
                <w:sz w:val="26"/>
                <w:szCs w:val="26"/>
                <w:lang w:val="en-US" w:eastAsia="zh-CN"/>
              </w:rPr>
              <w:t>每天3批次，单批次</w:t>
            </w:r>
            <w:r>
              <w:rPr>
                <w:rFonts w:hint="eastAsia" w:ascii="Times New Roman" w:hAnsi="Times New Roman" w:eastAsia="宋体" w:cs="Times New Roman"/>
                <w:color w:val="auto"/>
                <w:sz w:val="26"/>
                <w:szCs w:val="26"/>
              </w:rPr>
              <w:t>物料添</w:t>
            </w:r>
            <w:r>
              <w:rPr>
                <w:rFonts w:hint="eastAsia" w:ascii="Times New Roman" w:hAnsi="Times New Roman" w:eastAsia="宋体" w:cs="Times New Roman"/>
                <w:color w:val="auto"/>
                <w:sz w:val="26"/>
                <w:szCs w:val="26"/>
                <w:highlight w:val="none"/>
              </w:rPr>
              <w:t>加量为</w:t>
            </w:r>
            <w:r>
              <w:rPr>
                <w:rFonts w:hint="eastAsia" w:ascii="Times New Roman" w:hAnsi="Times New Roman" w:eastAsia="宋体" w:cs="Times New Roman"/>
                <w:color w:val="auto"/>
                <w:sz w:val="26"/>
                <w:szCs w:val="26"/>
                <w:highlight w:val="none"/>
                <w:lang w:val="en-US" w:eastAsia="zh-CN"/>
              </w:rPr>
              <w:t>60</w:t>
            </w:r>
            <w:r>
              <w:rPr>
                <w:rFonts w:hint="eastAsia" w:ascii="Times New Roman" w:hAnsi="Times New Roman" w:eastAsia="宋体" w:cs="Times New Roman"/>
                <w:color w:val="auto"/>
                <w:sz w:val="26"/>
                <w:szCs w:val="26"/>
                <w:highlight w:val="none"/>
              </w:rPr>
              <w:t>t</w:t>
            </w:r>
            <w:r>
              <w:rPr>
                <w:rFonts w:hint="eastAsia" w:ascii="Times New Roman" w:hAnsi="Times New Roman" w:eastAsia="宋体" w:cs="Times New Roman"/>
                <w:color w:val="auto"/>
                <w:sz w:val="26"/>
                <w:szCs w:val="26"/>
                <w:highlight w:val="none"/>
                <w:lang w:val="en-US" w:eastAsia="zh-CN"/>
              </w:rPr>
              <w:t>左右</w:t>
            </w:r>
            <w:r>
              <w:rPr>
                <w:rFonts w:hint="eastAsia" w:ascii="Times New Roman" w:hAnsi="Times New Roman" w:eastAsia="宋体" w:cs="Times New Roman"/>
                <w:color w:val="auto"/>
                <w:sz w:val="26"/>
                <w:szCs w:val="26"/>
                <w:highlight w:val="none"/>
                <w:lang w:eastAsia="zh-CN"/>
              </w:rPr>
              <w:t>；</w:t>
            </w:r>
            <w:r>
              <w:rPr>
                <w:rFonts w:hint="eastAsia" w:ascii="Times New Roman" w:hAnsi="Times New Roman" w:eastAsia="宋体" w:cs="Times New Roman"/>
                <w:color w:val="auto"/>
                <w:sz w:val="26"/>
                <w:szCs w:val="26"/>
                <w:highlight w:val="none"/>
              </w:rPr>
              <w:t>熔体</w:t>
            </w:r>
            <w:r>
              <w:rPr>
                <w:rFonts w:hint="eastAsia" w:ascii="Times New Roman" w:hAnsi="Times New Roman" w:eastAsia="宋体" w:cs="Times New Roman"/>
                <w:color w:val="auto"/>
                <w:sz w:val="26"/>
                <w:szCs w:val="26"/>
                <w:lang w:val="en-US" w:eastAsia="zh-CN"/>
              </w:rPr>
              <w:t>加料、扒渣、取样分析过程需要开启炉门，每批次熔炼过程需开启炉门5次，每次开启时间5~15min，每批次熔炼过程开启炉门时长约50min，则熔炼阶段炉门开启时长共150min/d（335d/a，折合约837.5h/a），炉门开启时天然气停止燃烧。</w:t>
            </w:r>
          </w:p>
          <w:p w14:paraId="2EE7BFB5">
            <w:pPr>
              <w:spacing w:line="460" w:lineRule="exact"/>
              <w:ind w:firstLine="522" w:firstLineChars="200"/>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b/>
                <w:bCs/>
                <w:color w:val="auto"/>
                <w:sz w:val="26"/>
                <w:szCs w:val="26"/>
                <w:lang w:val="en-US" w:eastAsia="zh-CN"/>
              </w:rPr>
              <w:t>精炼：</w:t>
            </w:r>
            <w:r>
              <w:rPr>
                <w:rFonts w:hint="eastAsia" w:ascii="Times New Roman" w:hAnsi="Times New Roman" w:eastAsia="宋体" w:cs="Times New Roman"/>
                <w:color w:val="auto"/>
                <w:sz w:val="26"/>
                <w:szCs w:val="26"/>
                <w:lang w:val="en-US" w:eastAsia="zh-CN"/>
              </w:rPr>
              <w:t>由于铝水产品对含钙要求较高，因此在精炼前添加除钙剂。精炼保温阶段需向熔炼炉内投加精炼剂，并通入氮气/氩气（根据产品质量要求定）作为载气，随后通过机械方式扒除熔体表面的浮渣，保持静置10～20min。该生产线精炼温度约700℃~740℃，单批次精炼工序时长约2h（含铝液放汤时间），添加辅料、扒渣、取样分析过程需要开启炉门，每批次精炼过程需开启炉门2次，每次开启时间约10min，每批次精炼过程炉门开启时长约20min，每天精炼3批次，则精炼阶段炉门开启时长共60min/d（335d/a，折合335h/a）。炉门开启时天然气停止燃烧。</w:t>
            </w:r>
          </w:p>
          <w:p w14:paraId="6E46FBFE">
            <w:pPr>
              <w:spacing w:line="460" w:lineRule="exact"/>
              <w:ind w:firstLine="522" w:firstLineChars="200"/>
              <w:rPr>
                <w:rFonts w:hint="eastAsia" w:ascii="Times New Roman" w:hAnsi="Times New Roman" w:eastAsia="宋体" w:cs="Times New Roman"/>
                <w:color w:val="auto"/>
                <w:sz w:val="26"/>
                <w:szCs w:val="26"/>
              </w:rPr>
            </w:pPr>
            <w:r>
              <w:rPr>
                <w:rFonts w:hint="eastAsia" w:ascii="Times New Roman" w:hAnsi="Times New Roman" w:eastAsia="宋体" w:cs="Times New Roman"/>
                <w:b/>
                <w:bCs/>
                <w:color w:val="auto"/>
                <w:sz w:val="26"/>
                <w:szCs w:val="26"/>
                <w:lang w:val="en-US" w:eastAsia="zh-CN"/>
              </w:rPr>
              <w:t>在线过滤：</w:t>
            </w:r>
            <w:r>
              <w:rPr>
                <w:rFonts w:hint="eastAsia" w:ascii="Times New Roman" w:hAnsi="Times New Roman" w:eastAsia="宋体" w:cs="Times New Roman"/>
                <w:color w:val="auto"/>
                <w:sz w:val="26"/>
                <w:szCs w:val="26"/>
              </w:rPr>
              <w:t>熔体进入陶瓷板过滤工序，陶瓷板过滤可进一步对熔体进行物理过滤</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过滤后铝水暂存于铝水包，铝水包具有保温作用，可短时暂存后外售于集团公司</w:t>
            </w:r>
            <w:r>
              <w:rPr>
                <w:rFonts w:hint="eastAsia" w:ascii="Times New Roman" w:hAnsi="Times New Roman" w:eastAsia="宋体" w:cs="Times New Roman"/>
                <w:color w:val="auto"/>
                <w:sz w:val="26"/>
                <w:szCs w:val="26"/>
              </w:rPr>
              <w:t>。</w:t>
            </w:r>
          </w:p>
          <w:p w14:paraId="77426B92">
            <w:pPr>
              <w:spacing w:line="460" w:lineRule="exact"/>
              <w:ind w:firstLine="522" w:firstLineChars="200"/>
              <w:rPr>
                <w:rFonts w:hint="eastAsia" w:ascii="Times New Roman" w:hAnsi="Times New Roman" w:eastAsia="宋体" w:cs="Times New Roman"/>
                <w:color w:val="auto"/>
                <w:kern w:val="2"/>
                <w:sz w:val="26"/>
                <w:szCs w:val="26"/>
                <w:highlight w:val="none"/>
                <w:lang w:val="en-US" w:eastAsia="zh-CN" w:bidi="ar-SA"/>
              </w:rPr>
            </w:pPr>
            <w:r>
              <w:rPr>
                <w:rFonts w:hint="eastAsia" w:ascii="Times New Roman" w:hAnsi="Times New Roman" w:eastAsia="宋体" w:cs="Times New Roman"/>
                <w:b/>
                <w:bCs/>
                <w:color w:val="auto"/>
                <w:kern w:val="2"/>
                <w:sz w:val="26"/>
                <w:szCs w:val="26"/>
                <w:highlight w:val="none"/>
                <w:lang w:val="en-US" w:eastAsia="zh-CN" w:bidi="ar-SA"/>
              </w:rPr>
              <w:t>铝液入包：</w:t>
            </w:r>
            <w:r>
              <w:rPr>
                <w:rFonts w:hint="eastAsia" w:ascii="Times New Roman" w:hAnsi="Times New Roman" w:eastAsia="宋体" w:cs="Times New Roman"/>
                <w:color w:val="auto"/>
                <w:kern w:val="2"/>
                <w:sz w:val="26"/>
                <w:szCs w:val="26"/>
                <w:highlight w:val="none"/>
                <w:lang w:val="en-US" w:eastAsia="zh-CN" w:bidi="ar-SA"/>
              </w:rPr>
              <w:t>60t熔炼炉产品根据客户需要，以铝液形式进行外售。铝液入包前，对铝包进行烘烤90分钟以上，铝包自带天然气烧嘴，温度控制在700～790℃，经精炼过滤后的铝液随即对铝液进行装包。</w:t>
            </w:r>
          </w:p>
          <w:p w14:paraId="3127355A">
            <w:pPr>
              <w:spacing w:line="460" w:lineRule="exact"/>
              <w:ind w:firstLine="520" w:firstLineChars="200"/>
              <w:rPr>
                <w:rFonts w:hint="eastAsia" w:ascii="Times New Roman" w:hAnsi="Times New Roman" w:eastAsia="宋体" w:cs="Times New Roman"/>
                <w:color w:val="auto"/>
                <w:kern w:val="2"/>
                <w:sz w:val="26"/>
                <w:szCs w:val="26"/>
                <w:highlight w:val="none"/>
                <w:lang w:val="en-US" w:eastAsia="zh-CN" w:bidi="ar-SA"/>
              </w:rPr>
            </w:pPr>
            <w:r>
              <w:rPr>
                <w:rFonts w:hint="eastAsia" w:ascii="Times New Roman" w:hAnsi="Times New Roman" w:eastAsia="宋体" w:cs="Times New Roman"/>
                <w:color w:val="auto"/>
                <w:kern w:val="2"/>
                <w:sz w:val="26"/>
                <w:szCs w:val="26"/>
                <w:highlight w:val="none"/>
                <w:lang w:val="en-US" w:eastAsia="zh-CN" w:bidi="ar-SA"/>
              </w:rPr>
              <w:t>上述熔炼期间产生熔炼废气，烤包废气，扒渣期间、在线过滤产生铝灰渣（即一次铝灰）。</w:t>
            </w:r>
          </w:p>
          <w:p w14:paraId="5F348150">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（4）铝灰处理</w:t>
            </w:r>
          </w:p>
          <w:p w14:paraId="58C2ED64">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铝回收装置即灰渣分离系统为一体式密闭设备，扒渣除杂产生的热铝渣装入炒灰锅（转运容器），用叉车倒进铝回收装置中，经高速搅拌分离得到的较纯铝液返回熔炼炉作为原料利用。剩余铝灰渣（即一次铝灰）经过灰槽自动流进冷灰桶（采用冷却水间接降温冷却）冷却后进行筛灰，分离出铝块（回炉熔炼）及二次铝灰（危废处置）。</w:t>
            </w:r>
          </w:p>
          <w:p w14:paraId="68002F35">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铝灰处理工作原理主要是利用铝液与灰渣的密度差，并通过搅拌创造铝液液滴聚集、沉降分离的条件，最大限度地回收铝灰渣中蕴含的液态金属铝，是铝加工行业中相当成熟的工艺。</w:t>
            </w:r>
          </w:p>
          <w:p w14:paraId="2E08D463">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熔炼炉中扒渣扒出的铝灰渣在仍处于高温状态下倒入炒灰机（倾斜的、可旋转的圆筒形锅体内），锅体内部装有带有多组叶片的中心轴。当设备启动时，锅体缓慢旋转，同时中心轴上的叶片开始对热灰渣进行缓慢而充分地搅拌和翻转。搅拌过程能打破氧化铝灰渣对细小铝液珠的包裹。在不断的搅拌和翻滚中，细小的铝液珠相互碰撞、合并，聚集成更大的铝液滴。由于金属铝的密度远大于氧化铝灰渣的密度，因此在搅拌创造出的流动性下，较大的铝液滴由于自重会沉降到锅体的底部。炒灰机的锅体底部设有出铝口（通常由一个塞子或阀门堵住）。当铝液在底部积聚到一定量时，操作人员打开出铝口后，高纯度的液态铝就会因重力流出，被收集到下方的铝锭模具，经冷却成型后可直接回用。每炉铝灰渣产生后立即进行炒灰，回收的铝料回同炉再熔。</w:t>
            </w:r>
          </w:p>
          <w:p w14:paraId="533C6195">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铝回收装置为一体式密闭设备，回收工艺流程为“炒灰-冷灰-筛选”，在设备顶部、进料和出料口等部位配置集尘（吸气罩）设施，具有自动化程度高，铝液回收率高、作业环境好等优点。</w:t>
            </w:r>
          </w:p>
          <w:p w14:paraId="5A84060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b w:val="0"/>
                <w:bCs w:val="0"/>
                <w:color w:val="auto"/>
                <w:sz w:val="26"/>
                <w:szCs w:val="26"/>
                <w:highlight w:val="none"/>
                <w:lang w:val="en-US" w:eastAsia="zh-CN"/>
              </w:rPr>
            </w:pPr>
          </w:p>
          <w:p w14:paraId="516B0AE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object>
                <v:shape id="_x0000_i1029" o:spt="75" type="#_x0000_t75" style="height:322.55pt;width:326.3pt;" o:ole="t" filled="f" o:preferrelative="t" stroked="f" coordsize="21600,21600">
                  <v:path/>
                  <v:fill on="f" focussize="0,0"/>
                  <v:stroke on="f"/>
                  <v:imagedata r:id="rId19" cropbottom="2884f" o:title=""/>
                  <o:lock v:ext="edit" aspectratio="f"/>
                  <w10:wrap type="none"/>
                  <w10:anchorlock/>
                </v:shape>
                <o:OLEObject Type="Embed" ProgID="Visio.Drawing.15" ShapeID="_x0000_i1029" DrawAspect="Content" ObjectID="_1468075732" r:id="rId24">
                  <o:LockedField>false</o:LockedField>
                </o:OLEObject>
              </w:object>
            </w:r>
          </w:p>
          <w:p w14:paraId="2DFDDB59">
            <w:pPr>
              <w:keepNext w:val="0"/>
              <w:keepLines w:val="0"/>
              <w:pageBreakBefore w:val="0"/>
              <w:widowControl/>
              <w:kinsoku/>
              <w:wordWrap/>
              <w:overflowPunct/>
              <w:topLinePunct w:val="0"/>
              <w:autoSpaceDE/>
              <w:autoSpaceDN/>
              <w:bidi w:val="0"/>
              <w:adjustRightInd/>
              <w:snapToGrid/>
              <w:spacing w:line="460" w:lineRule="exact"/>
              <w:ind w:firstLine="0" w:firstLineChars="0"/>
              <w:jc w:val="center"/>
              <w:textAlignment w:val="auto"/>
              <w:rPr>
                <w:rFonts w:hint="eastAsia" w:ascii="Times New Roman" w:hAnsi="Times New Roman" w:eastAsia="宋体" w:cs="Times New Roman"/>
                <w:b/>
                <w:bCs/>
                <w:color w:val="auto"/>
                <w:sz w:val="26"/>
                <w:szCs w:val="26"/>
                <w:highlight w:val="none"/>
                <w:u w:val="single"/>
                <w:lang w:val="zh-CN" w:eastAsia="zh-CN"/>
              </w:rPr>
            </w:pPr>
            <w:r>
              <w:rPr>
                <w:rFonts w:hint="eastAsia" w:ascii="Times New Roman" w:hAnsi="Times New Roman" w:eastAsia="宋体" w:cs="Times New Roman"/>
                <w:b/>
                <w:bCs/>
                <w:color w:val="auto"/>
                <w:sz w:val="26"/>
                <w:szCs w:val="26"/>
                <w:highlight w:val="none"/>
                <w:u w:val="single"/>
                <w:lang w:val="zh-CN" w:eastAsia="zh-CN"/>
              </w:rPr>
              <w:t>图2.1</w:t>
            </w:r>
            <w:r>
              <w:rPr>
                <w:rFonts w:hint="eastAsia" w:ascii="Times New Roman" w:hAnsi="Times New Roman" w:eastAsia="宋体" w:cs="Times New Roman"/>
                <w:b/>
                <w:bCs/>
                <w:color w:val="auto"/>
                <w:sz w:val="26"/>
                <w:szCs w:val="26"/>
                <w:highlight w:val="none"/>
                <w:u w:val="single"/>
                <w:lang w:val="en-US" w:eastAsia="zh-CN"/>
              </w:rPr>
              <w:t>5</w:t>
            </w:r>
            <w:r>
              <w:rPr>
                <w:rFonts w:hint="eastAsia" w:ascii="Times New Roman" w:hAnsi="Times New Roman" w:eastAsia="宋体" w:cs="Times New Roman"/>
                <w:b/>
                <w:bCs/>
                <w:color w:val="auto"/>
                <w:sz w:val="26"/>
                <w:szCs w:val="26"/>
                <w:highlight w:val="none"/>
                <w:u w:val="single"/>
                <w:lang w:val="zh-CN" w:eastAsia="zh-CN"/>
              </w:rPr>
              <w:t>-</w:t>
            </w:r>
            <w:r>
              <w:rPr>
                <w:rFonts w:hint="eastAsia" w:ascii="Times New Roman" w:hAnsi="Times New Roman" w:eastAsia="宋体" w:cs="Times New Roman"/>
                <w:b/>
                <w:bCs/>
                <w:color w:val="auto"/>
                <w:sz w:val="26"/>
                <w:szCs w:val="26"/>
                <w:highlight w:val="none"/>
                <w:u w:val="single"/>
                <w:lang w:val="en-US" w:eastAsia="zh-CN"/>
              </w:rPr>
              <w:t>3</w:t>
            </w:r>
            <w:r>
              <w:rPr>
                <w:rFonts w:hint="eastAsia" w:ascii="Times New Roman" w:hAnsi="Times New Roman" w:eastAsia="宋体" w:cs="Times New Roman"/>
                <w:b/>
                <w:bCs/>
                <w:color w:val="auto"/>
                <w:sz w:val="26"/>
                <w:szCs w:val="26"/>
                <w:highlight w:val="none"/>
                <w:u w:val="single"/>
                <w:lang w:val="zh-CN" w:eastAsia="zh-CN"/>
              </w:rPr>
              <w:t xml:space="preserve">  铝灰回收处理生产工艺流程及产排污环节图</w:t>
            </w:r>
          </w:p>
          <w:p w14:paraId="6EBA5194">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工艺流程简述：</w:t>
            </w:r>
          </w:p>
          <w:p w14:paraId="6B64CE61">
            <w:pPr>
              <w:keepNext w:val="0"/>
              <w:keepLines w:val="0"/>
              <w:pageBreakBefore w:val="0"/>
              <w:widowControl w:val="0"/>
              <w:kinsoku/>
              <w:wordWrap/>
              <w:overflowPunct/>
              <w:topLinePunct w:val="0"/>
              <w:autoSpaceDE w:val="0"/>
              <w:autoSpaceDN w:val="0"/>
              <w:bidi w:val="0"/>
              <w:adjustRightInd w:val="0"/>
              <w:snapToGrid/>
              <w:spacing w:line="460" w:lineRule="exact"/>
              <w:ind w:firstLine="522"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bCs/>
                <w:color w:val="auto"/>
                <w:sz w:val="26"/>
                <w:szCs w:val="26"/>
                <w:highlight w:val="none"/>
                <w:lang w:val="en-US" w:eastAsia="zh-CN"/>
              </w:rPr>
              <w:t>装锅转运：</w:t>
            </w:r>
            <w:r>
              <w:rPr>
                <w:rFonts w:hint="eastAsia" w:ascii="Times New Roman" w:hAnsi="Times New Roman" w:eastAsia="宋体" w:cs="Times New Roman"/>
                <w:b w:val="0"/>
                <w:bCs w:val="0"/>
                <w:color w:val="auto"/>
                <w:sz w:val="26"/>
                <w:szCs w:val="26"/>
                <w:highlight w:val="none"/>
                <w:lang w:val="en-US" w:eastAsia="zh-CN"/>
              </w:rPr>
              <w:t>将扒渣除杂工序产生的铝灰渣（即一次铝灰）装入炒灰锅。</w:t>
            </w:r>
          </w:p>
          <w:p w14:paraId="712B2546">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主要产污环节为设备运行噪声。</w:t>
            </w:r>
          </w:p>
          <w:p w14:paraId="3752DEF9">
            <w:pPr>
              <w:keepNext w:val="0"/>
              <w:keepLines w:val="0"/>
              <w:pageBreakBefore w:val="0"/>
              <w:widowControl w:val="0"/>
              <w:kinsoku/>
              <w:wordWrap/>
              <w:overflowPunct/>
              <w:topLinePunct w:val="0"/>
              <w:autoSpaceDE w:val="0"/>
              <w:autoSpaceDN w:val="0"/>
              <w:bidi w:val="0"/>
              <w:adjustRightInd w:val="0"/>
              <w:snapToGrid/>
              <w:spacing w:line="460" w:lineRule="exact"/>
              <w:ind w:firstLine="522"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bCs/>
                <w:color w:val="auto"/>
                <w:sz w:val="26"/>
                <w:szCs w:val="26"/>
                <w:highlight w:val="none"/>
                <w:lang w:val="en-US" w:eastAsia="zh-CN"/>
              </w:rPr>
              <w:t>搅拌分离：</w:t>
            </w:r>
            <w:r>
              <w:rPr>
                <w:rFonts w:hint="eastAsia" w:ascii="Times New Roman" w:hAnsi="Times New Roman" w:eastAsia="宋体" w:cs="Times New Roman"/>
                <w:b w:val="0"/>
                <w:bCs w:val="0"/>
                <w:color w:val="auto"/>
                <w:sz w:val="26"/>
                <w:szCs w:val="26"/>
                <w:highlight w:val="none"/>
                <w:lang w:val="en-US" w:eastAsia="zh-CN"/>
              </w:rPr>
              <w:t>打渣和除杂工序产生的铝渣送至铝回收装置（炒灰机）进一步处理。对炒灰锅里的铝渣用叉车倒进铝回收装置（炒灰机）中，利用铝渣自身热能并进行高速搅拌，搅拌过程中温度保持在800℃左右，加入1%的除渣剂（精炼剂），将铝渣中铝液富集在一起，铝液通过分离器液体出口流至铝水包（转运容器），送回熔炼炉进行处理。</w:t>
            </w:r>
          </w:p>
          <w:p w14:paraId="2A4F2889">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主要产污环节为炒灰过程产生的铝回收装置废气及设备运行噪声。</w:t>
            </w:r>
          </w:p>
          <w:p w14:paraId="2A5A8558">
            <w:pPr>
              <w:keepNext w:val="0"/>
              <w:keepLines w:val="0"/>
              <w:pageBreakBefore w:val="0"/>
              <w:widowControl w:val="0"/>
              <w:kinsoku/>
              <w:wordWrap/>
              <w:overflowPunct/>
              <w:topLinePunct w:val="0"/>
              <w:autoSpaceDE w:val="0"/>
              <w:autoSpaceDN w:val="0"/>
              <w:bidi w:val="0"/>
              <w:adjustRightInd w:val="0"/>
              <w:snapToGrid/>
              <w:spacing w:line="460" w:lineRule="exact"/>
              <w:ind w:firstLine="522"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bCs/>
                <w:color w:val="auto"/>
                <w:sz w:val="26"/>
                <w:szCs w:val="26"/>
                <w:highlight w:val="none"/>
                <w:lang w:val="en-US" w:eastAsia="zh-CN"/>
              </w:rPr>
              <w:t>冷却：</w:t>
            </w:r>
            <w:r>
              <w:rPr>
                <w:rFonts w:hint="eastAsia" w:ascii="Times New Roman" w:hAnsi="Times New Roman" w:eastAsia="宋体" w:cs="Times New Roman"/>
                <w:b w:val="0"/>
                <w:bCs w:val="0"/>
                <w:color w:val="auto"/>
                <w:sz w:val="26"/>
                <w:szCs w:val="26"/>
                <w:highlight w:val="none"/>
                <w:lang w:val="en-US" w:eastAsia="zh-CN"/>
              </w:rPr>
              <w:t>经高速搅拌分离出铝液返回熔炼炉回用作为原料，铝灰渣则进入冷灰桶工段冷却，冷灰桶采用喷淋式循环水间接冷却降温。将铝灰渣中的铝液冷却降温成块。</w:t>
            </w:r>
          </w:p>
          <w:p w14:paraId="2EFE2344">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主要产污环节为设备运行噪声。</w:t>
            </w:r>
          </w:p>
          <w:p w14:paraId="761B14C9">
            <w:pPr>
              <w:keepNext w:val="0"/>
              <w:keepLines w:val="0"/>
              <w:pageBreakBefore w:val="0"/>
              <w:widowControl w:val="0"/>
              <w:kinsoku/>
              <w:wordWrap/>
              <w:overflowPunct/>
              <w:topLinePunct w:val="0"/>
              <w:autoSpaceDE w:val="0"/>
              <w:autoSpaceDN w:val="0"/>
              <w:bidi w:val="0"/>
              <w:adjustRightInd w:val="0"/>
              <w:snapToGrid/>
              <w:spacing w:line="460" w:lineRule="exact"/>
              <w:ind w:firstLine="522"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bCs/>
                <w:color w:val="auto"/>
                <w:sz w:val="26"/>
                <w:szCs w:val="26"/>
                <w:highlight w:val="none"/>
                <w:lang w:val="en-US" w:eastAsia="zh-CN"/>
              </w:rPr>
              <w:t>筛分：</w:t>
            </w:r>
            <w:r>
              <w:rPr>
                <w:rFonts w:hint="eastAsia" w:ascii="Times New Roman" w:hAnsi="Times New Roman" w:eastAsia="宋体" w:cs="Times New Roman"/>
                <w:b w:val="0"/>
                <w:bCs w:val="0"/>
                <w:color w:val="auto"/>
                <w:sz w:val="26"/>
                <w:szCs w:val="26"/>
                <w:highlight w:val="none"/>
                <w:lang w:val="en-US" w:eastAsia="zh-CN"/>
              </w:rPr>
              <w:t>由于冷灰桶出来的铝灰渣中仍含有10%-20%的铝，经冷灰后的铝灰渣通过筛选区，筛分出不同粒度的铝灰渣，其中大颗粒铝灰渣返回熔炼炉回收金属铝，小颗粒的灰渣则采用袋装收集后交由有资质单位处置。</w:t>
            </w:r>
          </w:p>
          <w:p w14:paraId="6E57DC19">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主要产污环节为出料过程产生的铝回收装置废气、设备运行噪声及二次铝灰。</w:t>
            </w:r>
          </w:p>
          <w:p w14:paraId="22DDDF1C">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eastAsia" w:ascii="Times New Roman" w:hAnsi="Times New Roman" w:eastAsia="宋体" w:cs="Times New Roman"/>
                <w:b w:val="0"/>
                <w:bCs w:val="0"/>
                <w:color w:val="auto"/>
                <w:sz w:val="26"/>
                <w:szCs w:val="26"/>
                <w:highlight w:val="none"/>
                <w:lang w:val="en-US" w:eastAsia="zh-CN"/>
              </w:rPr>
            </w:pPr>
            <w:r>
              <w:rPr>
                <w:rFonts w:hint="eastAsia" w:ascii="Times New Roman" w:hAnsi="Times New Roman" w:eastAsia="宋体" w:cs="Times New Roman"/>
                <w:b w:val="0"/>
                <w:bCs w:val="0"/>
                <w:color w:val="auto"/>
                <w:sz w:val="26"/>
                <w:szCs w:val="26"/>
                <w:highlight w:val="none"/>
                <w:lang w:val="en-US" w:eastAsia="zh-CN"/>
              </w:rPr>
              <w:t>由于炒灰作业无外界热源，完全依靠铝灰渣（即一次铝灰）自身氧化热量进行，故扒渣后产生的铝灰渣需立即进行处理，同时为不影响产品质量，每批次回收铝料对应回炉同牌号生产熔炼炉。</w:t>
            </w:r>
          </w:p>
          <w:p w14:paraId="2213C606">
            <w:pPr>
              <w:spacing w:line="460" w:lineRule="exact"/>
              <w:rPr>
                <w:rFonts w:hint="default" w:ascii="Times New Roman" w:hAnsi="Times New Roman" w:eastAsia="宋体" w:cs="Times New Roman"/>
                <w:b/>
                <w:color w:val="auto"/>
                <w:sz w:val="26"/>
                <w:szCs w:val="26"/>
                <w:lang w:val="en-US" w:eastAsia="zh-CN"/>
              </w:rPr>
            </w:pPr>
            <w:r>
              <w:rPr>
                <w:rFonts w:hint="eastAsia" w:ascii="Times New Roman" w:hAnsi="Times New Roman" w:eastAsia="宋体" w:cs="Times New Roman"/>
                <w:b/>
                <w:color w:val="auto"/>
                <w:sz w:val="26"/>
                <w:szCs w:val="26"/>
                <w:lang w:val="en-US" w:eastAsia="zh-CN"/>
              </w:rPr>
              <w:t>2.15.2产污环节统计</w:t>
            </w:r>
          </w:p>
          <w:p w14:paraId="7F2A8C35">
            <w:pPr>
              <w:keepNext w:val="0"/>
              <w:keepLines w:val="0"/>
              <w:pageBreakBefore w:val="0"/>
              <w:widowControl w:val="0"/>
              <w:kinsoku/>
              <w:wordWrap/>
              <w:overflowPunct/>
              <w:topLinePunct w:val="0"/>
              <w:autoSpaceDE w:val="0"/>
              <w:autoSpaceDN w:val="0"/>
              <w:bidi w:val="0"/>
              <w:adjustRightInd w:val="0"/>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现有</w:t>
            </w:r>
            <w:r>
              <w:rPr>
                <w:rFonts w:hint="default" w:ascii="Times New Roman" w:hAnsi="Times New Roman" w:eastAsia="宋体" w:cs="Times New Roman"/>
                <w:color w:val="auto"/>
                <w:sz w:val="26"/>
                <w:szCs w:val="26"/>
                <w:lang w:val="en-US" w:eastAsia="zh-CN"/>
              </w:rPr>
              <w:t>项目主要</w:t>
            </w:r>
            <w:r>
              <w:rPr>
                <w:rFonts w:hint="eastAsia" w:ascii="Times New Roman" w:hAnsi="Times New Roman" w:eastAsia="宋体" w:cs="Times New Roman"/>
                <w:color w:val="auto"/>
                <w:sz w:val="26"/>
                <w:szCs w:val="26"/>
                <w:lang w:val="en-US" w:eastAsia="zh-CN"/>
              </w:rPr>
              <w:t>产排污</w:t>
            </w:r>
            <w:r>
              <w:rPr>
                <w:rFonts w:hint="default" w:ascii="Times New Roman" w:hAnsi="Times New Roman" w:eastAsia="宋体" w:cs="Times New Roman"/>
                <w:color w:val="auto"/>
                <w:sz w:val="26"/>
                <w:szCs w:val="26"/>
                <w:lang w:val="en-US" w:eastAsia="zh-CN"/>
              </w:rPr>
              <w:t>见</w:t>
            </w:r>
            <w:r>
              <w:rPr>
                <w:rFonts w:hint="eastAsia" w:ascii="Times New Roman" w:hAnsi="Times New Roman" w:eastAsia="宋体" w:cs="Times New Roman"/>
                <w:color w:val="auto"/>
                <w:sz w:val="26"/>
                <w:szCs w:val="26"/>
                <w:lang w:val="en-US" w:eastAsia="zh-CN"/>
              </w:rPr>
              <w:t>下表</w:t>
            </w:r>
            <w:r>
              <w:rPr>
                <w:rFonts w:hint="default" w:ascii="Times New Roman" w:hAnsi="Times New Roman" w:eastAsia="宋体" w:cs="Times New Roman"/>
                <w:color w:val="auto"/>
                <w:sz w:val="26"/>
                <w:szCs w:val="26"/>
                <w:lang w:val="en-US" w:eastAsia="zh-CN"/>
              </w:rPr>
              <w:t>。</w:t>
            </w:r>
          </w:p>
          <w:p w14:paraId="2715129A">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hint="default" w:ascii="Times New Roman" w:hAnsi="Times New Roman" w:eastAsia="宋体" w:cs="Times New Roman"/>
                <w:b/>
                <w:bCs/>
                <w:color w:val="auto"/>
                <w:sz w:val="26"/>
                <w:szCs w:val="26"/>
                <w:lang w:val="en-US" w:eastAsia="zh-CN"/>
              </w:rPr>
            </w:pPr>
            <w:r>
              <w:rPr>
                <w:rFonts w:hint="default" w:ascii="Times New Roman" w:hAnsi="Times New Roman" w:eastAsia="宋体" w:cs="Times New Roman"/>
                <w:b/>
                <w:bCs/>
                <w:color w:val="auto"/>
                <w:sz w:val="26"/>
                <w:szCs w:val="26"/>
                <w:lang w:val="en-US" w:eastAsia="zh-CN"/>
              </w:rPr>
              <w:t>表</w:t>
            </w:r>
            <w:r>
              <w:rPr>
                <w:rFonts w:hint="eastAsia" w:ascii="Times New Roman" w:hAnsi="Times New Roman" w:eastAsia="宋体" w:cs="Times New Roman"/>
                <w:b/>
                <w:bCs/>
                <w:color w:val="auto"/>
                <w:sz w:val="26"/>
                <w:szCs w:val="26"/>
                <w:lang w:val="en-US" w:eastAsia="zh-CN"/>
              </w:rPr>
              <w:t>2.15-1</w:t>
            </w:r>
            <w:r>
              <w:rPr>
                <w:rFonts w:hint="default" w:ascii="Times New Roman" w:hAnsi="Times New Roman" w:eastAsia="宋体" w:cs="Times New Roman"/>
                <w:b/>
                <w:bCs/>
                <w:color w:val="auto"/>
                <w:sz w:val="26"/>
                <w:szCs w:val="26"/>
                <w:lang w:val="en-US" w:eastAsia="zh-CN"/>
              </w:rPr>
              <w:t xml:space="preserve">  </w:t>
            </w:r>
            <w:r>
              <w:rPr>
                <w:rFonts w:hint="eastAsia" w:ascii="Times New Roman" w:hAnsi="Times New Roman" w:eastAsia="宋体" w:cs="Times New Roman"/>
                <w:b/>
                <w:bCs/>
                <w:color w:val="auto"/>
                <w:sz w:val="26"/>
                <w:szCs w:val="26"/>
                <w:lang w:val="en-US" w:eastAsia="zh-CN"/>
              </w:rPr>
              <w:t>现有项目</w:t>
            </w:r>
            <w:r>
              <w:rPr>
                <w:rFonts w:hint="default" w:ascii="Times New Roman" w:hAnsi="Times New Roman" w:eastAsia="宋体" w:cs="Times New Roman"/>
                <w:b/>
                <w:bCs/>
                <w:color w:val="auto"/>
                <w:sz w:val="26"/>
                <w:szCs w:val="26"/>
                <w:lang w:val="en-US" w:eastAsia="zh-CN"/>
              </w:rPr>
              <w:t>主要污染工序一览表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4"/>
              <w:gridCol w:w="630"/>
              <w:gridCol w:w="1237"/>
              <w:gridCol w:w="1818"/>
              <w:gridCol w:w="501"/>
              <w:gridCol w:w="2980"/>
            </w:tblGrid>
            <w:tr w14:paraId="0A943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tcBorders>
                    <w:tl2br w:val="nil"/>
                    <w:tr2bl w:val="nil"/>
                  </w:tcBorders>
                  <w:noWrap w:val="0"/>
                  <w:vAlign w:val="center"/>
                </w:tcPr>
                <w:p w14:paraId="15CE446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时段</w:t>
                  </w:r>
                </w:p>
              </w:tc>
              <w:tc>
                <w:tcPr>
                  <w:tcW w:w="630" w:type="dxa"/>
                  <w:tcBorders>
                    <w:tl2br w:val="nil"/>
                    <w:tr2bl w:val="nil"/>
                  </w:tcBorders>
                  <w:noWrap w:val="0"/>
                  <w:vAlign w:val="center"/>
                </w:tcPr>
                <w:p w14:paraId="072E6CD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污染因子</w:t>
                  </w:r>
                </w:p>
              </w:tc>
              <w:tc>
                <w:tcPr>
                  <w:tcW w:w="1237" w:type="dxa"/>
                  <w:tcBorders>
                    <w:tl2br w:val="nil"/>
                    <w:tr2bl w:val="nil"/>
                  </w:tcBorders>
                  <w:noWrap w:val="0"/>
                  <w:vAlign w:val="center"/>
                </w:tcPr>
                <w:p w14:paraId="08AD616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名称</w:t>
                  </w:r>
                </w:p>
              </w:tc>
              <w:tc>
                <w:tcPr>
                  <w:tcW w:w="1818" w:type="dxa"/>
                  <w:tcBorders>
                    <w:tl2br w:val="nil"/>
                    <w:tr2bl w:val="nil"/>
                  </w:tcBorders>
                  <w:noWrap w:val="0"/>
                  <w:vAlign w:val="center"/>
                </w:tcPr>
                <w:p w14:paraId="4CC01D4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污染物种类</w:t>
                  </w:r>
                </w:p>
              </w:tc>
              <w:tc>
                <w:tcPr>
                  <w:tcW w:w="501" w:type="dxa"/>
                  <w:tcBorders>
                    <w:tl2br w:val="nil"/>
                    <w:tr2bl w:val="nil"/>
                  </w:tcBorders>
                  <w:noWrap w:val="0"/>
                  <w:vAlign w:val="center"/>
                </w:tcPr>
                <w:p w14:paraId="1F8558C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产生</w:t>
                  </w:r>
                </w:p>
                <w:p w14:paraId="18D331B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方式</w:t>
                  </w:r>
                </w:p>
              </w:tc>
              <w:tc>
                <w:tcPr>
                  <w:tcW w:w="2980" w:type="dxa"/>
                  <w:tcBorders>
                    <w:tl2br w:val="nil"/>
                    <w:tr2bl w:val="nil"/>
                  </w:tcBorders>
                  <w:noWrap w:val="0"/>
                  <w:vAlign w:val="center"/>
                </w:tcPr>
                <w:p w14:paraId="5C5A733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排放方式</w:t>
                  </w:r>
                </w:p>
              </w:tc>
            </w:tr>
            <w:tr w14:paraId="668AA4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restart"/>
                  <w:tcBorders>
                    <w:tl2br w:val="nil"/>
                    <w:tr2bl w:val="nil"/>
                  </w:tcBorders>
                  <w:noWrap w:val="0"/>
                  <w:vAlign w:val="center"/>
                </w:tcPr>
                <w:p w14:paraId="4FB58DD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营运期</w:t>
                  </w:r>
                </w:p>
              </w:tc>
              <w:tc>
                <w:tcPr>
                  <w:tcW w:w="630" w:type="dxa"/>
                  <w:vMerge w:val="restart"/>
                  <w:tcBorders>
                    <w:tl2br w:val="nil"/>
                    <w:tr2bl w:val="nil"/>
                  </w:tcBorders>
                  <w:noWrap w:val="0"/>
                  <w:vAlign w:val="center"/>
                </w:tcPr>
                <w:p w14:paraId="75792E3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废气</w:t>
                  </w:r>
                </w:p>
              </w:tc>
              <w:tc>
                <w:tcPr>
                  <w:tcW w:w="1237" w:type="dxa"/>
                  <w:tcBorders>
                    <w:tl2br w:val="nil"/>
                    <w:tr2bl w:val="nil"/>
                  </w:tcBorders>
                  <w:noWrap w:val="0"/>
                  <w:vAlign w:val="center"/>
                </w:tcPr>
                <w:p w14:paraId="4D7B5D3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熔炼废气</w:t>
                  </w:r>
                </w:p>
              </w:tc>
              <w:tc>
                <w:tcPr>
                  <w:tcW w:w="1818" w:type="dxa"/>
                  <w:tcBorders>
                    <w:tl2br w:val="nil"/>
                    <w:tr2bl w:val="nil"/>
                  </w:tcBorders>
                  <w:noWrap w:val="0"/>
                  <w:vAlign w:val="center"/>
                </w:tcPr>
                <w:p w14:paraId="53FE99D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zh-CN" w:eastAsia="zh-CN" w:bidi="ar-SA"/>
                    </w:rPr>
                    <w:t>SO</w:t>
                  </w:r>
                  <w:r>
                    <w:rPr>
                      <w:rFonts w:hint="default" w:ascii="Times New Roman" w:hAnsi="Times New Roman" w:eastAsia="宋体" w:cs="Times New Roman"/>
                      <w:i w:val="0"/>
                      <w:color w:val="auto"/>
                      <w:kern w:val="2"/>
                      <w:sz w:val="22"/>
                      <w:szCs w:val="22"/>
                      <w:u w:val="none"/>
                      <w:vertAlign w:val="subscript"/>
                      <w:lang w:val="zh-CN" w:eastAsia="zh-CN" w:bidi="ar-SA"/>
                    </w:rPr>
                    <w:t>2</w:t>
                  </w:r>
                  <w:r>
                    <w:rPr>
                      <w:rFonts w:hint="default" w:ascii="Times New Roman" w:hAnsi="Times New Roman" w:eastAsia="宋体" w:cs="Times New Roman"/>
                      <w:i w:val="0"/>
                      <w:color w:val="auto"/>
                      <w:kern w:val="2"/>
                      <w:sz w:val="22"/>
                      <w:szCs w:val="22"/>
                      <w:u w:val="none"/>
                      <w:lang w:val="zh-CN" w:eastAsia="zh-CN" w:bidi="ar-SA"/>
                    </w:rPr>
                    <w:t>、NOx、</w:t>
                  </w:r>
                  <w:r>
                    <w:rPr>
                      <w:rFonts w:hint="default" w:ascii="Times New Roman" w:hAnsi="Times New Roman" w:eastAsia="宋体" w:cs="Times New Roman"/>
                      <w:i w:val="0"/>
                      <w:color w:val="auto"/>
                      <w:kern w:val="2"/>
                      <w:sz w:val="22"/>
                      <w:szCs w:val="22"/>
                      <w:u w:val="none"/>
                      <w:lang w:val="en-US" w:eastAsia="zh-CN" w:bidi="ar-SA"/>
                    </w:rPr>
                    <w:t>颗粒物、氯化氢、氟化物</w:t>
                  </w:r>
                </w:p>
              </w:tc>
              <w:tc>
                <w:tcPr>
                  <w:tcW w:w="501" w:type="dxa"/>
                  <w:tcBorders>
                    <w:tl2br w:val="nil"/>
                    <w:tr2bl w:val="nil"/>
                  </w:tcBorders>
                  <w:noWrap w:val="0"/>
                  <w:vAlign w:val="center"/>
                </w:tcPr>
                <w:p w14:paraId="45FC160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连续</w:t>
                  </w:r>
                </w:p>
              </w:tc>
              <w:tc>
                <w:tcPr>
                  <w:tcW w:w="2980" w:type="dxa"/>
                  <w:tcBorders>
                    <w:tl2br w:val="nil"/>
                    <w:tr2bl w:val="nil"/>
                  </w:tcBorders>
                  <w:noWrap w:val="0"/>
                  <w:vAlign w:val="center"/>
                </w:tcPr>
                <w:p w14:paraId="628D637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有组织</w:t>
                  </w:r>
                </w:p>
              </w:tc>
            </w:tr>
            <w:tr w14:paraId="2508C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continue"/>
                  <w:tcBorders>
                    <w:tl2br w:val="nil"/>
                    <w:tr2bl w:val="nil"/>
                  </w:tcBorders>
                  <w:noWrap w:val="0"/>
                  <w:vAlign w:val="center"/>
                </w:tcPr>
                <w:p w14:paraId="460EA6F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30" w:type="dxa"/>
                  <w:vMerge w:val="continue"/>
                  <w:tcBorders>
                    <w:tl2br w:val="nil"/>
                    <w:tr2bl w:val="nil"/>
                  </w:tcBorders>
                  <w:noWrap w:val="0"/>
                  <w:vAlign w:val="center"/>
                </w:tcPr>
                <w:p w14:paraId="3FA0AA5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1237" w:type="dxa"/>
                  <w:tcBorders>
                    <w:tl2br w:val="nil"/>
                    <w:tr2bl w:val="nil"/>
                  </w:tcBorders>
                  <w:noWrap w:val="0"/>
                  <w:vAlign w:val="center"/>
                </w:tcPr>
                <w:p w14:paraId="1664613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color w:val="auto"/>
                      <w:sz w:val="22"/>
                      <w:szCs w:val="22"/>
                      <w:lang w:val="en-US" w:eastAsia="zh-CN"/>
                    </w:rPr>
                    <w:t>铸造</w:t>
                  </w:r>
                  <w:r>
                    <w:rPr>
                      <w:rFonts w:hint="default" w:ascii="Times New Roman" w:hAnsi="Times New Roman" w:eastAsia="宋体" w:cs="Times New Roman"/>
                      <w:color w:val="auto"/>
                      <w:kern w:val="2"/>
                      <w:sz w:val="22"/>
                      <w:szCs w:val="22"/>
                      <w:highlight w:val="none"/>
                      <w:lang w:val="en-US" w:eastAsia="zh-CN" w:bidi="ar-SA"/>
                    </w:rPr>
                    <w:t>废气</w:t>
                  </w:r>
                </w:p>
              </w:tc>
              <w:tc>
                <w:tcPr>
                  <w:tcW w:w="1818" w:type="dxa"/>
                  <w:tcBorders>
                    <w:tl2br w:val="nil"/>
                    <w:tr2bl w:val="nil"/>
                  </w:tcBorders>
                  <w:noWrap w:val="0"/>
                  <w:vAlign w:val="center"/>
                </w:tcPr>
                <w:p w14:paraId="6EF49EF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zh-CN" w:eastAsia="zh-CN" w:bidi="ar-SA"/>
                    </w:rPr>
                  </w:pPr>
                  <w:r>
                    <w:rPr>
                      <w:rFonts w:hint="default" w:ascii="Times New Roman" w:hAnsi="Times New Roman" w:eastAsia="宋体" w:cs="Times New Roman"/>
                      <w:i w:val="0"/>
                      <w:color w:val="auto"/>
                      <w:kern w:val="2"/>
                      <w:sz w:val="22"/>
                      <w:szCs w:val="22"/>
                      <w:u w:val="none"/>
                      <w:lang w:val="en-US" w:eastAsia="zh-CN" w:bidi="ar-SA"/>
                    </w:rPr>
                    <w:t>颗粒物</w:t>
                  </w:r>
                </w:p>
              </w:tc>
              <w:tc>
                <w:tcPr>
                  <w:tcW w:w="501" w:type="dxa"/>
                  <w:tcBorders>
                    <w:tl2br w:val="nil"/>
                    <w:tr2bl w:val="nil"/>
                  </w:tcBorders>
                  <w:noWrap w:val="0"/>
                  <w:vAlign w:val="center"/>
                </w:tcPr>
                <w:p w14:paraId="1614564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间断</w:t>
                  </w:r>
                </w:p>
              </w:tc>
              <w:tc>
                <w:tcPr>
                  <w:tcW w:w="2980" w:type="dxa"/>
                  <w:tcBorders>
                    <w:tl2br w:val="nil"/>
                    <w:tr2bl w:val="nil"/>
                  </w:tcBorders>
                  <w:noWrap w:val="0"/>
                  <w:vAlign w:val="center"/>
                </w:tcPr>
                <w:p w14:paraId="66BE16C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无组织</w:t>
                  </w:r>
                </w:p>
              </w:tc>
            </w:tr>
            <w:tr w14:paraId="05D40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continue"/>
                  <w:tcBorders>
                    <w:tl2br w:val="nil"/>
                    <w:tr2bl w:val="nil"/>
                  </w:tcBorders>
                  <w:noWrap w:val="0"/>
                  <w:vAlign w:val="center"/>
                </w:tcPr>
                <w:p w14:paraId="5A6C724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30" w:type="dxa"/>
                  <w:vMerge w:val="continue"/>
                  <w:tcBorders>
                    <w:tl2br w:val="nil"/>
                    <w:tr2bl w:val="nil"/>
                  </w:tcBorders>
                  <w:noWrap w:val="0"/>
                  <w:vAlign w:val="center"/>
                </w:tcPr>
                <w:p w14:paraId="63F95A8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1237" w:type="dxa"/>
                  <w:tcBorders>
                    <w:tl2br w:val="nil"/>
                    <w:tr2bl w:val="nil"/>
                  </w:tcBorders>
                  <w:noWrap w:val="0"/>
                  <w:vAlign w:val="center"/>
                </w:tcPr>
                <w:p w14:paraId="211871C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color w:val="auto"/>
                      <w:sz w:val="22"/>
                      <w:szCs w:val="22"/>
                      <w:lang w:val="en-US" w:eastAsia="zh-CN"/>
                    </w:rPr>
                    <w:t>烤包废气</w:t>
                  </w:r>
                </w:p>
              </w:tc>
              <w:tc>
                <w:tcPr>
                  <w:tcW w:w="1818" w:type="dxa"/>
                  <w:tcBorders>
                    <w:tl2br w:val="nil"/>
                    <w:tr2bl w:val="nil"/>
                  </w:tcBorders>
                  <w:noWrap w:val="0"/>
                  <w:vAlign w:val="center"/>
                </w:tcPr>
                <w:p w14:paraId="6558DAE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zh-CN" w:eastAsia="zh-CN" w:bidi="ar-SA"/>
                    </w:rPr>
                  </w:pPr>
                  <w:r>
                    <w:rPr>
                      <w:rFonts w:hint="default" w:ascii="Times New Roman" w:hAnsi="Times New Roman" w:eastAsia="宋体" w:cs="Times New Roman"/>
                      <w:i w:val="0"/>
                      <w:color w:val="auto"/>
                      <w:kern w:val="2"/>
                      <w:sz w:val="22"/>
                      <w:szCs w:val="22"/>
                      <w:u w:val="none"/>
                      <w:lang w:val="en-US" w:eastAsia="zh-CN" w:bidi="ar-SA"/>
                    </w:rPr>
                    <w:t>SO</w:t>
                  </w:r>
                  <w:r>
                    <w:rPr>
                      <w:rFonts w:hint="default" w:ascii="Times New Roman" w:hAnsi="Times New Roman" w:eastAsia="宋体" w:cs="Times New Roman"/>
                      <w:i w:val="0"/>
                      <w:color w:val="auto"/>
                      <w:kern w:val="2"/>
                      <w:sz w:val="22"/>
                      <w:szCs w:val="22"/>
                      <w:u w:val="none"/>
                      <w:vertAlign w:val="subscript"/>
                      <w:lang w:val="en-US" w:eastAsia="zh-CN" w:bidi="ar-SA"/>
                    </w:rPr>
                    <w:t>2</w:t>
                  </w:r>
                  <w:r>
                    <w:rPr>
                      <w:rFonts w:hint="default" w:ascii="Times New Roman" w:hAnsi="Times New Roman" w:eastAsia="宋体" w:cs="Times New Roman"/>
                      <w:i w:val="0"/>
                      <w:color w:val="auto"/>
                      <w:kern w:val="2"/>
                      <w:sz w:val="22"/>
                      <w:szCs w:val="22"/>
                      <w:u w:val="none"/>
                      <w:lang w:val="en-US" w:eastAsia="zh-CN" w:bidi="ar-SA"/>
                    </w:rPr>
                    <w:t>、NOx、颗粒物</w:t>
                  </w:r>
                </w:p>
              </w:tc>
              <w:tc>
                <w:tcPr>
                  <w:tcW w:w="501" w:type="dxa"/>
                  <w:tcBorders>
                    <w:tl2br w:val="nil"/>
                    <w:tr2bl w:val="nil"/>
                  </w:tcBorders>
                  <w:noWrap w:val="0"/>
                  <w:vAlign w:val="center"/>
                </w:tcPr>
                <w:p w14:paraId="347D69D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间断</w:t>
                  </w:r>
                </w:p>
              </w:tc>
              <w:tc>
                <w:tcPr>
                  <w:tcW w:w="2980" w:type="dxa"/>
                  <w:tcBorders>
                    <w:tl2br w:val="nil"/>
                    <w:tr2bl w:val="nil"/>
                  </w:tcBorders>
                  <w:noWrap w:val="0"/>
                  <w:vAlign w:val="center"/>
                </w:tcPr>
                <w:p w14:paraId="532B552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无组织</w:t>
                  </w:r>
                </w:p>
              </w:tc>
            </w:tr>
            <w:tr w14:paraId="00A7D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continue"/>
                  <w:tcBorders>
                    <w:tl2br w:val="nil"/>
                    <w:tr2bl w:val="nil"/>
                  </w:tcBorders>
                  <w:noWrap w:val="0"/>
                  <w:vAlign w:val="center"/>
                </w:tcPr>
                <w:p w14:paraId="1192123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30" w:type="dxa"/>
                  <w:vMerge w:val="continue"/>
                  <w:tcBorders>
                    <w:tl2br w:val="nil"/>
                    <w:tr2bl w:val="nil"/>
                  </w:tcBorders>
                  <w:noWrap w:val="0"/>
                  <w:vAlign w:val="center"/>
                </w:tcPr>
                <w:p w14:paraId="3F830E3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1237" w:type="dxa"/>
                  <w:tcBorders>
                    <w:tl2br w:val="nil"/>
                    <w:tr2bl w:val="nil"/>
                  </w:tcBorders>
                  <w:noWrap w:val="0"/>
                  <w:vAlign w:val="center"/>
                </w:tcPr>
                <w:p w14:paraId="10D59F6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均质废气</w:t>
                  </w:r>
                </w:p>
              </w:tc>
              <w:tc>
                <w:tcPr>
                  <w:tcW w:w="1818" w:type="dxa"/>
                  <w:tcBorders>
                    <w:tl2br w:val="nil"/>
                    <w:tr2bl w:val="nil"/>
                  </w:tcBorders>
                  <w:noWrap w:val="0"/>
                  <w:vAlign w:val="center"/>
                </w:tcPr>
                <w:p w14:paraId="7CD32F2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zh-CN" w:eastAsia="zh-CN" w:bidi="ar-SA"/>
                    </w:rPr>
                  </w:pPr>
                  <w:r>
                    <w:rPr>
                      <w:rFonts w:hint="default" w:ascii="Times New Roman" w:hAnsi="Times New Roman" w:eastAsia="宋体" w:cs="Times New Roman"/>
                      <w:i w:val="0"/>
                      <w:color w:val="auto"/>
                      <w:kern w:val="2"/>
                      <w:sz w:val="22"/>
                      <w:szCs w:val="22"/>
                      <w:u w:val="none"/>
                      <w:lang w:val="zh-CN" w:eastAsia="zh-CN" w:bidi="ar-SA"/>
                    </w:rPr>
                    <w:t>SO</w:t>
                  </w:r>
                  <w:r>
                    <w:rPr>
                      <w:rFonts w:hint="default" w:ascii="Times New Roman" w:hAnsi="Times New Roman" w:eastAsia="宋体" w:cs="Times New Roman"/>
                      <w:i w:val="0"/>
                      <w:color w:val="auto"/>
                      <w:kern w:val="2"/>
                      <w:sz w:val="22"/>
                      <w:szCs w:val="22"/>
                      <w:u w:val="none"/>
                      <w:vertAlign w:val="subscript"/>
                      <w:lang w:val="zh-CN" w:eastAsia="zh-CN" w:bidi="ar-SA"/>
                    </w:rPr>
                    <w:t>2</w:t>
                  </w:r>
                  <w:r>
                    <w:rPr>
                      <w:rFonts w:hint="default" w:ascii="Times New Roman" w:hAnsi="Times New Roman" w:eastAsia="宋体" w:cs="Times New Roman"/>
                      <w:i w:val="0"/>
                      <w:color w:val="auto"/>
                      <w:kern w:val="2"/>
                      <w:sz w:val="22"/>
                      <w:szCs w:val="22"/>
                      <w:u w:val="none"/>
                      <w:lang w:val="zh-CN" w:eastAsia="zh-CN" w:bidi="ar-SA"/>
                    </w:rPr>
                    <w:t>、NOx、</w:t>
                  </w:r>
                  <w:r>
                    <w:rPr>
                      <w:rFonts w:hint="default" w:ascii="Times New Roman" w:hAnsi="Times New Roman" w:eastAsia="宋体" w:cs="Times New Roman"/>
                      <w:i w:val="0"/>
                      <w:color w:val="auto"/>
                      <w:kern w:val="2"/>
                      <w:sz w:val="22"/>
                      <w:szCs w:val="22"/>
                      <w:u w:val="none"/>
                      <w:lang w:val="en-US" w:eastAsia="zh-CN" w:bidi="ar-SA"/>
                    </w:rPr>
                    <w:t>颗粒物、</w:t>
                  </w:r>
                </w:p>
              </w:tc>
              <w:tc>
                <w:tcPr>
                  <w:tcW w:w="501" w:type="dxa"/>
                  <w:tcBorders>
                    <w:tl2br w:val="nil"/>
                    <w:tr2bl w:val="nil"/>
                  </w:tcBorders>
                  <w:noWrap w:val="0"/>
                  <w:vAlign w:val="center"/>
                </w:tcPr>
                <w:p w14:paraId="7A461C8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连续</w:t>
                  </w:r>
                </w:p>
              </w:tc>
              <w:tc>
                <w:tcPr>
                  <w:tcW w:w="2980" w:type="dxa"/>
                  <w:tcBorders>
                    <w:tl2br w:val="nil"/>
                    <w:tr2bl w:val="nil"/>
                  </w:tcBorders>
                  <w:noWrap w:val="0"/>
                  <w:vAlign w:val="center"/>
                </w:tcPr>
                <w:p w14:paraId="198CC59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有组织</w:t>
                  </w:r>
                </w:p>
              </w:tc>
            </w:tr>
            <w:tr w14:paraId="6F5041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continue"/>
                  <w:tcBorders>
                    <w:tl2br w:val="nil"/>
                    <w:tr2bl w:val="nil"/>
                  </w:tcBorders>
                  <w:noWrap w:val="0"/>
                  <w:vAlign w:val="center"/>
                </w:tcPr>
                <w:p w14:paraId="385E5FF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30" w:type="dxa"/>
                  <w:vMerge w:val="continue"/>
                  <w:tcBorders>
                    <w:tl2br w:val="nil"/>
                    <w:tr2bl w:val="nil"/>
                  </w:tcBorders>
                  <w:noWrap w:val="0"/>
                  <w:vAlign w:val="center"/>
                </w:tcPr>
                <w:p w14:paraId="18825DC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1237" w:type="dxa"/>
                  <w:tcBorders>
                    <w:tl2br w:val="nil"/>
                    <w:tr2bl w:val="nil"/>
                  </w:tcBorders>
                  <w:noWrap w:val="0"/>
                  <w:vAlign w:val="center"/>
                </w:tcPr>
                <w:p w14:paraId="7867434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机加工废气</w:t>
                  </w:r>
                </w:p>
              </w:tc>
              <w:tc>
                <w:tcPr>
                  <w:tcW w:w="1818" w:type="dxa"/>
                  <w:tcBorders>
                    <w:tl2br w:val="nil"/>
                    <w:tr2bl w:val="nil"/>
                  </w:tcBorders>
                  <w:noWrap w:val="0"/>
                  <w:vAlign w:val="center"/>
                </w:tcPr>
                <w:p w14:paraId="555BBFD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zh-CN" w:eastAsia="zh-CN" w:bidi="ar-SA"/>
                    </w:rPr>
                  </w:pPr>
                  <w:r>
                    <w:rPr>
                      <w:rFonts w:hint="default" w:ascii="Times New Roman" w:hAnsi="Times New Roman" w:eastAsia="宋体" w:cs="Times New Roman"/>
                      <w:i w:val="0"/>
                      <w:color w:val="auto"/>
                      <w:kern w:val="2"/>
                      <w:sz w:val="22"/>
                      <w:szCs w:val="22"/>
                      <w:u w:val="none"/>
                      <w:lang w:val="en-US" w:eastAsia="zh-CN" w:bidi="ar-SA"/>
                    </w:rPr>
                    <w:t>非甲烷总烃</w:t>
                  </w:r>
                </w:p>
              </w:tc>
              <w:tc>
                <w:tcPr>
                  <w:tcW w:w="501" w:type="dxa"/>
                  <w:tcBorders>
                    <w:tl2br w:val="nil"/>
                    <w:tr2bl w:val="nil"/>
                  </w:tcBorders>
                  <w:noWrap w:val="0"/>
                  <w:vAlign w:val="center"/>
                </w:tcPr>
                <w:p w14:paraId="2643BFE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间断</w:t>
                  </w:r>
                </w:p>
              </w:tc>
              <w:tc>
                <w:tcPr>
                  <w:tcW w:w="2980" w:type="dxa"/>
                  <w:tcBorders>
                    <w:tl2br w:val="nil"/>
                    <w:tr2bl w:val="nil"/>
                  </w:tcBorders>
                  <w:noWrap w:val="0"/>
                  <w:vAlign w:val="center"/>
                </w:tcPr>
                <w:p w14:paraId="6595040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无组织</w:t>
                  </w:r>
                </w:p>
              </w:tc>
            </w:tr>
            <w:tr w14:paraId="7285D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continue"/>
                  <w:tcBorders>
                    <w:tl2br w:val="nil"/>
                    <w:tr2bl w:val="nil"/>
                  </w:tcBorders>
                  <w:noWrap w:val="0"/>
                  <w:vAlign w:val="center"/>
                </w:tcPr>
                <w:p w14:paraId="5D02391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30" w:type="dxa"/>
                  <w:vMerge w:val="continue"/>
                  <w:tcBorders>
                    <w:tl2br w:val="nil"/>
                    <w:tr2bl w:val="nil"/>
                  </w:tcBorders>
                  <w:noWrap w:val="0"/>
                  <w:vAlign w:val="center"/>
                </w:tcPr>
                <w:p w14:paraId="4D9A3B4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1237" w:type="dxa"/>
                  <w:tcBorders>
                    <w:tl2br w:val="nil"/>
                    <w:tr2bl w:val="nil"/>
                  </w:tcBorders>
                  <w:noWrap w:val="0"/>
                  <w:vAlign w:val="center"/>
                </w:tcPr>
                <w:p w14:paraId="3914645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转运废气</w:t>
                  </w:r>
                </w:p>
              </w:tc>
              <w:tc>
                <w:tcPr>
                  <w:tcW w:w="1818" w:type="dxa"/>
                  <w:tcBorders>
                    <w:tl2br w:val="nil"/>
                    <w:tr2bl w:val="nil"/>
                  </w:tcBorders>
                  <w:noWrap w:val="0"/>
                  <w:vAlign w:val="center"/>
                </w:tcPr>
                <w:p w14:paraId="12062BC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zh-CN" w:eastAsia="zh-CN" w:bidi="ar-SA"/>
                    </w:rPr>
                  </w:pPr>
                  <w:r>
                    <w:rPr>
                      <w:rFonts w:hint="default" w:ascii="Times New Roman" w:hAnsi="Times New Roman" w:eastAsia="宋体" w:cs="Times New Roman"/>
                      <w:i w:val="0"/>
                      <w:color w:val="auto"/>
                      <w:kern w:val="2"/>
                      <w:sz w:val="22"/>
                      <w:szCs w:val="22"/>
                      <w:u w:val="none"/>
                      <w:lang w:val="en-US" w:eastAsia="zh-CN" w:bidi="ar-SA"/>
                    </w:rPr>
                    <w:t>颗粒物</w:t>
                  </w:r>
                </w:p>
              </w:tc>
              <w:tc>
                <w:tcPr>
                  <w:tcW w:w="501" w:type="dxa"/>
                  <w:tcBorders>
                    <w:tl2br w:val="nil"/>
                    <w:tr2bl w:val="nil"/>
                  </w:tcBorders>
                  <w:noWrap w:val="0"/>
                  <w:vAlign w:val="center"/>
                </w:tcPr>
                <w:p w14:paraId="54914C2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间断</w:t>
                  </w:r>
                </w:p>
              </w:tc>
              <w:tc>
                <w:tcPr>
                  <w:tcW w:w="2980" w:type="dxa"/>
                  <w:tcBorders>
                    <w:tl2br w:val="nil"/>
                    <w:tr2bl w:val="nil"/>
                  </w:tcBorders>
                  <w:noWrap w:val="0"/>
                  <w:vAlign w:val="center"/>
                </w:tcPr>
                <w:p w14:paraId="47D7762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无组织</w:t>
                  </w:r>
                </w:p>
              </w:tc>
            </w:tr>
            <w:tr w14:paraId="3BBDD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continue"/>
                  <w:tcBorders>
                    <w:tl2br w:val="nil"/>
                    <w:tr2bl w:val="nil"/>
                  </w:tcBorders>
                  <w:noWrap w:val="0"/>
                  <w:vAlign w:val="center"/>
                </w:tcPr>
                <w:p w14:paraId="5888A67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30" w:type="dxa"/>
                  <w:vMerge w:val="continue"/>
                  <w:tcBorders>
                    <w:tl2br w:val="nil"/>
                    <w:tr2bl w:val="nil"/>
                  </w:tcBorders>
                  <w:noWrap w:val="0"/>
                  <w:vAlign w:val="center"/>
                </w:tcPr>
                <w:p w14:paraId="1A24D52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1237" w:type="dxa"/>
                  <w:tcBorders>
                    <w:tl2br w:val="nil"/>
                    <w:tr2bl w:val="nil"/>
                  </w:tcBorders>
                  <w:noWrap w:val="0"/>
                  <w:vAlign w:val="center"/>
                </w:tcPr>
                <w:p w14:paraId="4ADD979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铝回收装置废气</w:t>
                  </w:r>
                </w:p>
              </w:tc>
              <w:tc>
                <w:tcPr>
                  <w:tcW w:w="1818" w:type="dxa"/>
                  <w:tcBorders>
                    <w:tl2br w:val="nil"/>
                    <w:tr2bl w:val="nil"/>
                  </w:tcBorders>
                  <w:noWrap w:val="0"/>
                  <w:vAlign w:val="center"/>
                </w:tcPr>
                <w:p w14:paraId="4F74087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颗粒物、氟化物、氯化氢</w:t>
                  </w:r>
                </w:p>
              </w:tc>
              <w:tc>
                <w:tcPr>
                  <w:tcW w:w="501" w:type="dxa"/>
                  <w:tcBorders>
                    <w:tl2br w:val="nil"/>
                    <w:tr2bl w:val="nil"/>
                  </w:tcBorders>
                  <w:noWrap w:val="0"/>
                  <w:vAlign w:val="center"/>
                </w:tcPr>
                <w:p w14:paraId="621808A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连续</w:t>
                  </w:r>
                </w:p>
              </w:tc>
              <w:tc>
                <w:tcPr>
                  <w:tcW w:w="2980" w:type="dxa"/>
                  <w:tcBorders>
                    <w:tl2br w:val="nil"/>
                    <w:tr2bl w:val="nil"/>
                  </w:tcBorders>
                  <w:noWrap w:val="0"/>
                  <w:vAlign w:val="center"/>
                </w:tcPr>
                <w:p w14:paraId="5C614A6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有组织</w:t>
                  </w:r>
                </w:p>
              </w:tc>
            </w:tr>
            <w:tr w14:paraId="67343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continue"/>
                  <w:tcBorders>
                    <w:tl2br w:val="nil"/>
                    <w:tr2bl w:val="nil"/>
                  </w:tcBorders>
                  <w:noWrap w:val="0"/>
                  <w:vAlign w:val="center"/>
                </w:tcPr>
                <w:p w14:paraId="5199C24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30" w:type="dxa"/>
                  <w:tcBorders>
                    <w:tl2br w:val="nil"/>
                    <w:tr2bl w:val="nil"/>
                  </w:tcBorders>
                  <w:noWrap w:val="0"/>
                  <w:vAlign w:val="center"/>
                </w:tcPr>
                <w:p w14:paraId="642EC63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废水</w:t>
                  </w:r>
                </w:p>
              </w:tc>
              <w:tc>
                <w:tcPr>
                  <w:tcW w:w="1237" w:type="dxa"/>
                  <w:tcBorders>
                    <w:tl2br w:val="nil"/>
                    <w:tr2bl w:val="nil"/>
                  </w:tcBorders>
                  <w:noWrap w:val="0"/>
                  <w:vAlign w:val="center"/>
                </w:tcPr>
                <w:p w14:paraId="0972E41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生活污水</w:t>
                  </w:r>
                </w:p>
              </w:tc>
              <w:tc>
                <w:tcPr>
                  <w:tcW w:w="1818" w:type="dxa"/>
                  <w:tcBorders>
                    <w:tl2br w:val="nil"/>
                    <w:tr2bl w:val="nil"/>
                  </w:tcBorders>
                  <w:noWrap w:val="0"/>
                  <w:vAlign w:val="center"/>
                </w:tcPr>
                <w:p w14:paraId="0660E94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COD、BOD</w:t>
                  </w:r>
                  <w:r>
                    <w:rPr>
                      <w:rFonts w:hint="default" w:ascii="Times New Roman" w:hAnsi="Times New Roman" w:eastAsia="宋体" w:cs="Times New Roman"/>
                      <w:i w:val="0"/>
                      <w:color w:val="auto"/>
                      <w:sz w:val="22"/>
                      <w:szCs w:val="22"/>
                      <w:u w:val="none"/>
                      <w:vertAlign w:val="subscript"/>
                      <w:lang w:val="en-US" w:eastAsia="zh-CN"/>
                    </w:rPr>
                    <w:t>5</w:t>
                  </w:r>
                  <w:r>
                    <w:rPr>
                      <w:rFonts w:hint="default" w:ascii="Times New Roman" w:hAnsi="Times New Roman" w:eastAsia="宋体" w:cs="Times New Roman"/>
                      <w:i w:val="0"/>
                      <w:color w:val="auto"/>
                      <w:sz w:val="22"/>
                      <w:szCs w:val="22"/>
                      <w:u w:val="none"/>
                      <w:lang w:val="en-US" w:eastAsia="zh-CN"/>
                    </w:rPr>
                    <w:t>、SS、氨氮</w:t>
                  </w:r>
                </w:p>
              </w:tc>
              <w:tc>
                <w:tcPr>
                  <w:tcW w:w="501" w:type="dxa"/>
                  <w:tcBorders>
                    <w:tl2br w:val="nil"/>
                    <w:tr2bl w:val="nil"/>
                  </w:tcBorders>
                  <w:noWrap w:val="0"/>
                  <w:vAlign w:val="center"/>
                </w:tcPr>
                <w:p w14:paraId="7ED6AC4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间断</w:t>
                  </w:r>
                </w:p>
              </w:tc>
              <w:tc>
                <w:tcPr>
                  <w:tcW w:w="2980" w:type="dxa"/>
                  <w:tcBorders>
                    <w:tl2br w:val="nil"/>
                    <w:tr2bl w:val="nil"/>
                  </w:tcBorders>
                  <w:noWrap w:val="0"/>
                  <w:vAlign w:val="center"/>
                </w:tcPr>
                <w:p w14:paraId="25E1F6D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经厂区生化池处理后，排放至市政污水管网，最终经</w:t>
                  </w:r>
                  <w:r>
                    <w:rPr>
                      <w:rFonts w:hint="default" w:ascii="Times New Roman" w:hAnsi="Times New Roman" w:eastAsia="宋体" w:cs="Times New Roman"/>
                      <w:bCs/>
                      <w:color w:val="auto"/>
                      <w:sz w:val="22"/>
                      <w:szCs w:val="22"/>
                      <w:lang w:eastAsia="zh-CN"/>
                    </w:rPr>
                    <w:t>西彭城镇污水处理厂</w:t>
                  </w:r>
                  <w:r>
                    <w:rPr>
                      <w:rFonts w:hint="default" w:ascii="Times New Roman" w:hAnsi="Times New Roman" w:eastAsia="宋体" w:cs="Times New Roman"/>
                      <w:bCs/>
                      <w:color w:val="auto"/>
                      <w:sz w:val="22"/>
                      <w:szCs w:val="22"/>
                    </w:rPr>
                    <w:t>处理后</w:t>
                  </w:r>
                  <w:r>
                    <w:rPr>
                      <w:rFonts w:hint="default" w:ascii="Times New Roman" w:hAnsi="Times New Roman" w:eastAsia="宋体" w:cs="Times New Roman"/>
                      <w:i w:val="0"/>
                      <w:color w:val="auto"/>
                      <w:sz w:val="22"/>
                      <w:szCs w:val="22"/>
                      <w:u w:val="none"/>
                      <w:lang w:val="en-US" w:eastAsia="zh-CN"/>
                    </w:rPr>
                    <w:t>排放</w:t>
                  </w:r>
                </w:p>
              </w:tc>
            </w:tr>
            <w:tr w14:paraId="1966F5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continue"/>
                  <w:tcBorders>
                    <w:tl2br w:val="nil"/>
                    <w:tr2bl w:val="nil"/>
                  </w:tcBorders>
                  <w:noWrap w:val="0"/>
                  <w:vAlign w:val="center"/>
                </w:tcPr>
                <w:p w14:paraId="303AE19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30" w:type="dxa"/>
                  <w:tcBorders>
                    <w:tl2br w:val="nil"/>
                    <w:tr2bl w:val="nil"/>
                  </w:tcBorders>
                  <w:noWrap w:val="0"/>
                  <w:vAlign w:val="center"/>
                </w:tcPr>
                <w:p w14:paraId="48EC6D1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噪声</w:t>
                  </w:r>
                </w:p>
              </w:tc>
              <w:tc>
                <w:tcPr>
                  <w:tcW w:w="1237" w:type="dxa"/>
                  <w:tcBorders>
                    <w:tl2br w:val="nil"/>
                    <w:tr2bl w:val="nil"/>
                  </w:tcBorders>
                  <w:noWrap w:val="0"/>
                  <w:vAlign w:val="center"/>
                </w:tcPr>
                <w:p w14:paraId="134325B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机械设备</w:t>
                  </w:r>
                </w:p>
              </w:tc>
              <w:tc>
                <w:tcPr>
                  <w:tcW w:w="1818" w:type="dxa"/>
                  <w:tcBorders>
                    <w:tl2br w:val="nil"/>
                    <w:tr2bl w:val="nil"/>
                  </w:tcBorders>
                  <w:noWrap w:val="0"/>
                  <w:vAlign w:val="center"/>
                </w:tcPr>
                <w:p w14:paraId="3276002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机械噪声</w:t>
                  </w:r>
                </w:p>
              </w:tc>
              <w:tc>
                <w:tcPr>
                  <w:tcW w:w="501" w:type="dxa"/>
                  <w:tcBorders>
                    <w:tl2br w:val="nil"/>
                    <w:tr2bl w:val="nil"/>
                  </w:tcBorders>
                  <w:noWrap w:val="0"/>
                  <w:vAlign w:val="center"/>
                </w:tcPr>
                <w:p w14:paraId="2203513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连续</w:t>
                  </w:r>
                </w:p>
              </w:tc>
              <w:tc>
                <w:tcPr>
                  <w:tcW w:w="2980" w:type="dxa"/>
                  <w:tcBorders>
                    <w:tl2br w:val="nil"/>
                    <w:tr2bl w:val="nil"/>
                  </w:tcBorders>
                  <w:noWrap w:val="0"/>
                  <w:vAlign w:val="center"/>
                </w:tcPr>
                <w:p w14:paraId="335065A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w:t>
                  </w:r>
                </w:p>
              </w:tc>
            </w:tr>
            <w:tr w14:paraId="61925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continue"/>
                  <w:tcBorders>
                    <w:tl2br w:val="nil"/>
                    <w:tr2bl w:val="nil"/>
                  </w:tcBorders>
                  <w:noWrap w:val="0"/>
                  <w:vAlign w:val="center"/>
                </w:tcPr>
                <w:p w14:paraId="195774B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30" w:type="dxa"/>
                  <w:vMerge w:val="restart"/>
                  <w:tcBorders>
                    <w:tl2br w:val="nil"/>
                    <w:tr2bl w:val="nil"/>
                  </w:tcBorders>
                  <w:noWrap w:val="0"/>
                  <w:vAlign w:val="center"/>
                </w:tcPr>
                <w:p w14:paraId="5A3CE48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固体废物</w:t>
                  </w:r>
                </w:p>
              </w:tc>
              <w:tc>
                <w:tcPr>
                  <w:tcW w:w="1237" w:type="dxa"/>
                  <w:tcBorders>
                    <w:tl2br w:val="nil"/>
                    <w:tr2bl w:val="nil"/>
                  </w:tcBorders>
                  <w:noWrap w:val="0"/>
                  <w:vAlign w:val="center"/>
                </w:tcPr>
                <w:p w14:paraId="2BE9211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铝灰渣</w:t>
                  </w:r>
                </w:p>
              </w:tc>
              <w:tc>
                <w:tcPr>
                  <w:tcW w:w="1818" w:type="dxa"/>
                  <w:tcBorders>
                    <w:tl2br w:val="nil"/>
                    <w:tr2bl w:val="nil"/>
                  </w:tcBorders>
                  <w:noWrap w:val="0"/>
                  <w:vAlign w:val="center"/>
                </w:tcPr>
                <w:p w14:paraId="3D3DAF5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w:t>
                  </w:r>
                </w:p>
              </w:tc>
              <w:tc>
                <w:tcPr>
                  <w:tcW w:w="501" w:type="dxa"/>
                  <w:tcBorders>
                    <w:tl2br w:val="nil"/>
                    <w:tr2bl w:val="nil"/>
                  </w:tcBorders>
                  <w:noWrap w:val="0"/>
                  <w:vAlign w:val="center"/>
                </w:tcPr>
                <w:p w14:paraId="355E756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2980" w:type="dxa"/>
                  <w:tcBorders>
                    <w:tl2br w:val="nil"/>
                    <w:tr2bl w:val="nil"/>
                  </w:tcBorders>
                  <w:noWrap w:val="0"/>
                  <w:vAlign w:val="center"/>
                </w:tcPr>
                <w:p w14:paraId="7C4655A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kern w:val="2"/>
                      <w:sz w:val="22"/>
                      <w:szCs w:val="22"/>
                      <w:u w:val="none"/>
                      <w:lang w:val="en-US" w:eastAsia="zh-CN" w:bidi="ar-SA"/>
                    </w:rPr>
                    <w:t>铝合金系统产品生产线产生的铝灰渣进入铝回收装置回收利用；其余铝灰渣作危废处置</w:t>
                  </w:r>
                </w:p>
              </w:tc>
            </w:tr>
            <w:tr w14:paraId="157EA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continue"/>
                  <w:tcBorders>
                    <w:tl2br w:val="nil"/>
                    <w:tr2bl w:val="nil"/>
                  </w:tcBorders>
                  <w:noWrap w:val="0"/>
                  <w:vAlign w:val="center"/>
                </w:tcPr>
                <w:p w14:paraId="0F438E6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30" w:type="dxa"/>
                  <w:vMerge w:val="continue"/>
                  <w:tcBorders>
                    <w:tl2br w:val="nil"/>
                    <w:tr2bl w:val="nil"/>
                  </w:tcBorders>
                  <w:noWrap w:val="0"/>
                  <w:vAlign w:val="center"/>
                </w:tcPr>
                <w:p w14:paraId="7E762E5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1237" w:type="dxa"/>
                  <w:tcBorders>
                    <w:tl2br w:val="nil"/>
                    <w:tr2bl w:val="nil"/>
                  </w:tcBorders>
                  <w:noWrap w:val="0"/>
                  <w:vAlign w:val="center"/>
                </w:tcPr>
                <w:p w14:paraId="6483801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铸造漏料</w:t>
                  </w:r>
                </w:p>
              </w:tc>
              <w:tc>
                <w:tcPr>
                  <w:tcW w:w="1818" w:type="dxa"/>
                  <w:tcBorders>
                    <w:tl2br w:val="nil"/>
                    <w:tr2bl w:val="nil"/>
                  </w:tcBorders>
                  <w:noWrap w:val="0"/>
                  <w:vAlign w:val="center"/>
                </w:tcPr>
                <w:p w14:paraId="5774778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w:t>
                  </w:r>
                </w:p>
              </w:tc>
              <w:tc>
                <w:tcPr>
                  <w:tcW w:w="501" w:type="dxa"/>
                  <w:tcBorders>
                    <w:tl2br w:val="nil"/>
                    <w:tr2bl w:val="nil"/>
                  </w:tcBorders>
                  <w:noWrap w:val="0"/>
                  <w:vAlign w:val="center"/>
                </w:tcPr>
                <w:p w14:paraId="6FA9EF5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2980" w:type="dxa"/>
                  <w:tcBorders>
                    <w:tl2br w:val="nil"/>
                    <w:tr2bl w:val="nil"/>
                  </w:tcBorders>
                  <w:noWrap w:val="0"/>
                  <w:vAlign w:val="center"/>
                </w:tcPr>
                <w:p w14:paraId="44D3A7C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进行回炉重熔，不外排</w:t>
                  </w:r>
                </w:p>
              </w:tc>
            </w:tr>
            <w:tr w14:paraId="6364C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continue"/>
                  <w:tcBorders>
                    <w:tl2br w:val="nil"/>
                    <w:tr2bl w:val="nil"/>
                  </w:tcBorders>
                  <w:noWrap w:val="0"/>
                  <w:vAlign w:val="center"/>
                </w:tcPr>
                <w:p w14:paraId="38B36F3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30" w:type="dxa"/>
                  <w:vMerge w:val="continue"/>
                  <w:tcBorders>
                    <w:tl2br w:val="nil"/>
                    <w:tr2bl w:val="nil"/>
                  </w:tcBorders>
                  <w:noWrap w:val="0"/>
                  <w:vAlign w:val="center"/>
                </w:tcPr>
                <w:p w14:paraId="0A4F6EC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1237" w:type="dxa"/>
                  <w:tcBorders>
                    <w:tl2br w:val="nil"/>
                    <w:tr2bl w:val="nil"/>
                  </w:tcBorders>
                  <w:noWrap w:val="0"/>
                  <w:vAlign w:val="center"/>
                </w:tcPr>
                <w:p w14:paraId="6E85D89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含油废铝料铝屑</w:t>
                  </w:r>
                </w:p>
              </w:tc>
              <w:tc>
                <w:tcPr>
                  <w:tcW w:w="1818" w:type="dxa"/>
                  <w:tcBorders>
                    <w:tl2br w:val="nil"/>
                    <w:tr2bl w:val="nil"/>
                  </w:tcBorders>
                  <w:noWrap w:val="0"/>
                  <w:vAlign w:val="center"/>
                </w:tcPr>
                <w:p w14:paraId="00ACD4D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w:t>
                  </w:r>
                </w:p>
              </w:tc>
              <w:tc>
                <w:tcPr>
                  <w:tcW w:w="501" w:type="dxa"/>
                  <w:tcBorders>
                    <w:tl2br w:val="nil"/>
                    <w:tr2bl w:val="nil"/>
                  </w:tcBorders>
                  <w:noWrap w:val="0"/>
                  <w:vAlign w:val="center"/>
                </w:tcPr>
                <w:p w14:paraId="2191A6D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2980" w:type="dxa"/>
                  <w:tcBorders>
                    <w:tl2br w:val="nil"/>
                    <w:tr2bl w:val="nil"/>
                  </w:tcBorders>
                  <w:noWrap w:val="0"/>
                  <w:vAlign w:val="center"/>
                </w:tcPr>
                <w:p w14:paraId="43F4C76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委托危废资质单位处置</w:t>
                  </w:r>
                  <w:r>
                    <w:rPr>
                      <w:rFonts w:hint="default" w:ascii="Times New Roman" w:hAnsi="Times New Roman" w:eastAsia="宋体" w:cs="Times New Roman"/>
                      <w:i w:val="0"/>
                      <w:color w:val="auto"/>
                      <w:sz w:val="22"/>
                      <w:szCs w:val="22"/>
                      <w:u w:val="none"/>
                      <w:lang w:val="en-US" w:eastAsia="zh-CN"/>
                    </w:rPr>
                    <w:t>，不外排</w:t>
                  </w:r>
                </w:p>
              </w:tc>
            </w:tr>
            <w:tr w14:paraId="37199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continue"/>
                  <w:tcBorders>
                    <w:tl2br w:val="nil"/>
                    <w:tr2bl w:val="nil"/>
                  </w:tcBorders>
                  <w:noWrap w:val="0"/>
                  <w:vAlign w:val="center"/>
                </w:tcPr>
                <w:p w14:paraId="6B516F4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30" w:type="dxa"/>
                  <w:vMerge w:val="continue"/>
                  <w:tcBorders>
                    <w:tl2br w:val="nil"/>
                    <w:tr2bl w:val="nil"/>
                  </w:tcBorders>
                  <w:noWrap w:val="0"/>
                  <w:vAlign w:val="center"/>
                </w:tcPr>
                <w:p w14:paraId="05E9026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1237" w:type="dxa"/>
                  <w:tcBorders>
                    <w:tl2br w:val="nil"/>
                    <w:tr2bl w:val="nil"/>
                  </w:tcBorders>
                  <w:noWrap w:val="0"/>
                  <w:vAlign w:val="center"/>
                </w:tcPr>
                <w:p w14:paraId="31E7F47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不含油废铝料铝屑</w:t>
                  </w:r>
                </w:p>
              </w:tc>
              <w:tc>
                <w:tcPr>
                  <w:tcW w:w="1818" w:type="dxa"/>
                  <w:tcBorders>
                    <w:tl2br w:val="nil"/>
                    <w:tr2bl w:val="nil"/>
                  </w:tcBorders>
                  <w:noWrap w:val="0"/>
                  <w:vAlign w:val="center"/>
                </w:tcPr>
                <w:p w14:paraId="5834D9E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w:t>
                  </w:r>
                </w:p>
              </w:tc>
              <w:tc>
                <w:tcPr>
                  <w:tcW w:w="501" w:type="dxa"/>
                  <w:tcBorders>
                    <w:tl2br w:val="nil"/>
                    <w:tr2bl w:val="nil"/>
                  </w:tcBorders>
                  <w:noWrap w:val="0"/>
                  <w:vAlign w:val="center"/>
                </w:tcPr>
                <w:p w14:paraId="3F3D037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2980" w:type="dxa"/>
                  <w:tcBorders>
                    <w:tl2br w:val="nil"/>
                    <w:tr2bl w:val="nil"/>
                  </w:tcBorders>
                  <w:noWrap w:val="0"/>
                  <w:vAlign w:val="center"/>
                </w:tcPr>
                <w:p w14:paraId="4ED8A02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eastAsia" w:ascii="Times New Roman" w:hAnsi="Times New Roman" w:eastAsia="宋体" w:cs="Times New Roman"/>
                      <w:i w:val="0"/>
                      <w:color w:val="auto"/>
                      <w:sz w:val="22"/>
                      <w:szCs w:val="22"/>
                      <w:u w:val="none"/>
                      <w:lang w:val="en-US" w:eastAsia="zh-CN"/>
                    </w:rPr>
                    <w:t>部分</w:t>
                  </w:r>
                  <w:r>
                    <w:rPr>
                      <w:rFonts w:hint="default" w:ascii="Times New Roman" w:hAnsi="Times New Roman" w:eastAsia="宋体" w:cs="Times New Roman"/>
                      <w:i w:val="0"/>
                      <w:color w:val="auto"/>
                      <w:sz w:val="22"/>
                      <w:szCs w:val="22"/>
                      <w:u w:val="none"/>
                      <w:lang w:val="en-US" w:eastAsia="zh-CN"/>
                    </w:rPr>
                    <w:t>进行回炉重熔，不外排</w:t>
                  </w:r>
                </w:p>
              </w:tc>
            </w:tr>
            <w:tr w14:paraId="1058B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continue"/>
                  <w:tcBorders>
                    <w:tl2br w:val="nil"/>
                    <w:tr2bl w:val="nil"/>
                  </w:tcBorders>
                  <w:noWrap w:val="0"/>
                  <w:vAlign w:val="center"/>
                </w:tcPr>
                <w:p w14:paraId="6249303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30" w:type="dxa"/>
                  <w:vMerge w:val="continue"/>
                  <w:tcBorders>
                    <w:tl2br w:val="nil"/>
                    <w:tr2bl w:val="nil"/>
                  </w:tcBorders>
                  <w:noWrap w:val="0"/>
                  <w:vAlign w:val="center"/>
                </w:tcPr>
                <w:p w14:paraId="49B0F92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1237" w:type="dxa"/>
                  <w:tcBorders>
                    <w:tl2br w:val="nil"/>
                    <w:tr2bl w:val="nil"/>
                  </w:tcBorders>
                  <w:noWrap w:val="0"/>
                  <w:vAlign w:val="center"/>
                </w:tcPr>
                <w:p w14:paraId="5083725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二次铝灰</w:t>
                  </w:r>
                </w:p>
              </w:tc>
              <w:tc>
                <w:tcPr>
                  <w:tcW w:w="1818" w:type="dxa"/>
                  <w:tcBorders>
                    <w:tl2br w:val="nil"/>
                    <w:tr2bl w:val="nil"/>
                  </w:tcBorders>
                  <w:noWrap w:val="0"/>
                  <w:vAlign w:val="center"/>
                </w:tcPr>
                <w:p w14:paraId="24275F0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w:t>
                  </w:r>
                </w:p>
              </w:tc>
              <w:tc>
                <w:tcPr>
                  <w:tcW w:w="501" w:type="dxa"/>
                  <w:tcBorders>
                    <w:tl2br w:val="nil"/>
                    <w:tr2bl w:val="nil"/>
                  </w:tcBorders>
                  <w:noWrap w:val="0"/>
                  <w:vAlign w:val="center"/>
                </w:tcPr>
                <w:p w14:paraId="29CF603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2980" w:type="dxa"/>
                  <w:tcBorders>
                    <w:tl2br w:val="nil"/>
                    <w:tr2bl w:val="nil"/>
                  </w:tcBorders>
                  <w:noWrap w:val="0"/>
                  <w:vAlign w:val="center"/>
                </w:tcPr>
                <w:p w14:paraId="465AB1D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委托危废资质单位处置，不外排</w:t>
                  </w:r>
                </w:p>
              </w:tc>
            </w:tr>
            <w:tr w14:paraId="1F6D5B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continue"/>
                  <w:tcBorders>
                    <w:tl2br w:val="nil"/>
                    <w:tr2bl w:val="nil"/>
                  </w:tcBorders>
                  <w:noWrap w:val="0"/>
                  <w:vAlign w:val="center"/>
                </w:tcPr>
                <w:p w14:paraId="537EA15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30" w:type="dxa"/>
                  <w:vMerge w:val="continue"/>
                  <w:tcBorders>
                    <w:tl2br w:val="nil"/>
                    <w:tr2bl w:val="nil"/>
                  </w:tcBorders>
                  <w:noWrap w:val="0"/>
                  <w:vAlign w:val="center"/>
                </w:tcPr>
                <w:p w14:paraId="526054A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1237" w:type="dxa"/>
                  <w:tcBorders>
                    <w:tl2br w:val="nil"/>
                    <w:tr2bl w:val="nil"/>
                  </w:tcBorders>
                  <w:noWrap w:val="0"/>
                  <w:vAlign w:val="center"/>
                </w:tcPr>
                <w:p w14:paraId="125BEB5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除尘系统除尘灰</w:t>
                  </w:r>
                </w:p>
              </w:tc>
              <w:tc>
                <w:tcPr>
                  <w:tcW w:w="1818" w:type="dxa"/>
                  <w:tcBorders>
                    <w:tl2br w:val="nil"/>
                    <w:tr2bl w:val="nil"/>
                  </w:tcBorders>
                  <w:noWrap w:val="0"/>
                  <w:vAlign w:val="center"/>
                </w:tcPr>
                <w:p w14:paraId="05698F2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w:t>
                  </w:r>
                </w:p>
              </w:tc>
              <w:tc>
                <w:tcPr>
                  <w:tcW w:w="501" w:type="dxa"/>
                  <w:tcBorders>
                    <w:tl2br w:val="nil"/>
                    <w:tr2bl w:val="nil"/>
                  </w:tcBorders>
                  <w:noWrap w:val="0"/>
                  <w:vAlign w:val="center"/>
                </w:tcPr>
                <w:p w14:paraId="36CA415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2980" w:type="dxa"/>
                  <w:tcBorders>
                    <w:tl2br w:val="nil"/>
                    <w:tr2bl w:val="nil"/>
                  </w:tcBorders>
                  <w:noWrap w:val="0"/>
                  <w:vAlign w:val="center"/>
                </w:tcPr>
                <w:p w14:paraId="6B8E2D8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委托危废资质单位处置</w:t>
                  </w:r>
                  <w:r>
                    <w:rPr>
                      <w:rFonts w:hint="default" w:ascii="Times New Roman" w:hAnsi="Times New Roman" w:eastAsia="宋体" w:cs="Times New Roman"/>
                      <w:i w:val="0"/>
                      <w:color w:val="auto"/>
                      <w:sz w:val="22"/>
                      <w:szCs w:val="22"/>
                      <w:u w:val="none"/>
                      <w:lang w:val="en-US" w:eastAsia="zh-CN"/>
                    </w:rPr>
                    <w:t>，不外排</w:t>
                  </w:r>
                </w:p>
              </w:tc>
            </w:tr>
            <w:tr w14:paraId="6D7E4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continue"/>
                  <w:tcBorders>
                    <w:tl2br w:val="nil"/>
                    <w:tr2bl w:val="nil"/>
                  </w:tcBorders>
                  <w:noWrap w:val="0"/>
                  <w:vAlign w:val="center"/>
                </w:tcPr>
                <w:p w14:paraId="604251A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30" w:type="dxa"/>
                  <w:vMerge w:val="continue"/>
                  <w:tcBorders>
                    <w:tl2br w:val="nil"/>
                    <w:tr2bl w:val="nil"/>
                  </w:tcBorders>
                  <w:noWrap w:val="0"/>
                  <w:vAlign w:val="center"/>
                </w:tcPr>
                <w:p w14:paraId="4C59642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1237" w:type="dxa"/>
                  <w:tcBorders>
                    <w:tl2br w:val="nil"/>
                    <w:tr2bl w:val="nil"/>
                  </w:tcBorders>
                  <w:noWrap w:val="0"/>
                  <w:vAlign w:val="center"/>
                </w:tcPr>
                <w:p w14:paraId="57914E2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废耐火材料</w:t>
                  </w:r>
                </w:p>
              </w:tc>
              <w:tc>
                <w:tcPr>
                  <w:tcW w:w="1818" w:type="dxa"/>
                  <w:tcBorders>
                    <w:tl2br w:val="nil"/>
                    <w:tr2bl w:val="nil"/>
                  </w:tcBorders>
                  <w:noWrap w:val="0"/>
                  <w:vAlign w:val="center"/>
                </w:tcPr>
                <w:p w14:paraId="7033539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w:t>
                  </w:r>
                </w:p>
              </w:tc>
              <w:tc>
                <w:tcPr>
                  <w:tcW w:w="501" w:type="dxa"/>
                  <w:tcBorders>
                    <w:tl2br w:val="nil"/>
                    <w:tr2bl w:val="nil"/>
                  </w:tcBorders>
                  <w:noWrap w:val="0"/>
                  <w:vAlign w:val="center"/>
                </w:tcPr>
                <w:p w14:paraId="6275AF3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2980" w:type="dxa"/>
                  <w:vMerge w:val="restart"/>
                  <w:tcBorders>
                    <w:tl2br w:val="nil"/>
                    <w:tr2bl w:val="nil"/>
                  </w:tcBorders>
                  <w:noWrap w:val="0"/>
                  <w:vAlign w:val="center"/>
                </w:tcPr>
                <w:p w14:paraId="3D1F83C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交由资源公司回收利用</w:t>
                  </w:r>
                </w:p>
              </w:tc>
            </w:tr>
            <w:tr w14:paraId="374E2E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continue"/>
                  <w:tcBorders>
                    <w:tl2br w:val="nil"/>
                    <w:tr2bl w:val="nil"/>
                  </w:tcBorders>
                  <w:noWrap w:val="0"/>
                  <w:vAlign w:val="center"/>
                </w:tcPr>
                <w:p w14:paraId="257E23B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30" w:type="dxa"/>
                  <w:vMerge w:val="continue"/>
                  <w:tcBorders>
                    <w:tl2br w:val="nil"/>
                    <w:tr2bl w:val="nil"/>
                  </w:tcBorders>
                  <w:noWrap w:val="0"/>
                  <w:vAlign w:val="center"/>
                </w:tcPr>
                <w:p w14:paraId="7E5AFD6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1237" w:type="dxa"/>
                  <w:tcBorders>
                    <w:tl2br w:val="nil"/>
                    <w:tr2bl w:val="nil"/>
                  </w:tcBorders>
                  <w:noWrap w:val="0"/>
                  <w:vAlign w:val="center"/>
                </w:tcPr>
                <w:p w14:paraId="62EC9C2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报废陶瓷过滤板</w:t>
                  </w:r>
                </w:p>
              </w:tc>
              <w:tc>
                <w:tcPr>
                  <w:tcW w:w="1818" w:type="dxa"/>
                  <w:tcBorders>
                    <w:tl2br w:val="nil"/>
                    <w:tr2bl w:val="nil"/>
                  </w:tcBorders>
                  <w:noWrap w:val="0"/>
                  <w:vAlign w:val="center"/>
                </w:tcPr>
                <w:p w14:paraId="2DE9F41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w:t>
                  </w:r>
                </w:p>
              </w:tc>
              <w:tc>
                <w:tcPr>
                  <w:tcW w:w="501" w:type="dxa"/>
                  <w:tcBorders>
                    <w:tl2br w:val="nil"/>
                    <w:tr2bl w:val="nil"/>
                  </w:tcBorders>
                  <w:noWrap w:val="0"/>
                  <w:vAlign w:val="center"/>
                </w:tcPr>
                <w:p w14:paraId="047F16A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2980" w:type="dxa"/>
                  <w:vMerge w:val="continue"/>
                  <w:tcBorders>
                    <w:tl2br w:val="nil"/>
                    <w:tr2bl w:val="nil"/>
                  </w:tcBorders>
                  <w:noWrap w:val="0"/>
                  <w:vAlign w:val="center"/>
                </w:tcPr>
                <w:p w14:paraId="3027514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r>
            <w:tr w14:paraId="74281C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continue"/>
                  <w:tcBorders>
                    <w:tl2br w:val="nil"/>
                    <w:tr2bl w:val="nil"/>
                  </w:tcBorders>
                  <w:noWrap w:val="0"/>
                  <w:vAlign w:val="center"/>
                </w:tcPr>
                <w:p w14:paraId="763A9AF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30" w:type="dxa"/>
                  <w:vMerge w:val="continue"/>
                  <w:tcBorders>
                    <w:tl2br w:val="nil"/>
                    <w:tr2bl w:val="nil"/>
                  </w:tcBorders>
                  <w:noWrap w:val="0"/>
                  <w:vAlign w:val="center"/>
                </w:tcPr>
                <w:p w14:paraId="3705B85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1237" w:type="dxa"/>
                  <w:tcBorders>
                    <w:tl2br w:val="nil"/>
                    <w:tr2bl w:val="nil"/>
                  </w:tcBorders>
                  <w:noWrap w:val="0"/>
                  <w:vAlign w:val="center"/>
                </w:tcPr>
                <w:p w14:paraId="332B652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废液压油</w:t>
                  </w:r>
                </w:p>
              </w:tc>
              <w:tc>
                <w:tcPr>
                  <w:tcW w:w="1818" w:type="dxa"/>
                  <w:tcBorders>
                    <w:tl2br w:val="nil"/>
                    <w:tr2bl w:val="nil"/>
                  </w:tcBorders>
                  <w:noWrap w:val="0"/>
                  <w:vAlign w:val="center"/>
                </w:tcPr>
                <w:p w14:paraId="5B28D01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w:t>
                  </w:r>
                </w:p>
              </w:tc>
              <w:tc>
                <w:tcPr>
                  <w:tcW w:w="501" w:type="dxa"/>
                  <w:tcBorders>
                    <w:tl2br w:val="nil"/>
                    <w:tr2bl w:val="nil"/>
                  </w:tcBorders>
                  <w:noWrap w:val="0"/>
                  <w:vAlign w:val="center"/>
                </w:tcPr>
                <w:p w14:paraId="535CE62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2980" w:type="dxa"/>
                  <w:vMerge w:val="restart"/>
                  <w:tcBorders>
                    <w:tl2br w:val="nil"/>
                    <w:tr2bl w:val="nil"/>
                  </w:tcBorders>
                  <w:noWrap w:val="0"/>
                  <w:vAlign w:val="center"/>
                </w:tcPr>
                <w:p w14:paraId="6DC9DED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委托危废资质单位处置</w:t>
                  </w:r>
                  <w:r>
                    <w:rPr>
                      <w:rFonts w:hint="default" w:ascii="Times New Roman" w:hAnsi="Times New Roman" w:eastAsia="宋体" w:cs="Times New Roman"/>
                      <w:i w:val="0"/>
                      <w:color w:val="auto"/>
                      <w:sz w:val="22"/>
                      <w:szCs w:val="22"/>
                      <w:u w:val="none"/>
                      <w:lang w:val="en-US" w:eastAsia="zh-CN"/>
                    </w:rPr>
                    <w:t>，不外排</w:t>
                  </w:r>
                </w:p>
              </w:tc>
            </w:tr>
            <w:tr w14:paraId="5BF570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continue"/>
                  <w:tcBorders>
                    <w:tl2br w:val="nil"/>
                    <w:tr2bl w:val="nil"/>
                  </w:tcBorders>
                  <w:noWrap w:val="0"/>
                  <w:vAlign w:val="center"/>
                </w:tcPr>
                <w:p w14:paraId="1FEE41F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30" w:type="dxa"/>
                  <w:vMerge w:val="continue"/>
                  <w:tcBorders>
                    <w:tl2br w:val="nil"/>
                    <w:tr2bl w:val="nil"/>
                  </w:tcBorders>
                  <w:noWrap w:val="0"/>
                  <w:vAlign w:val="center"/>
                </w:tcPr>
                <w:p w14:paraId="43C7B1B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1237" w:type="dxa"/>
                  <w:tcBorders>
                    <w:tl2br w:val="nil"/>
                    <w:tr2bl w:val="nil"/>
                  </w:tcBorders>
                  <w:noWrap w:val="0"/>
                  <w:vAlign w:val="center"/>
                </w:tcPr>
                <w:p w14:paraId="5037ECE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废弃含油抹布、劳保用品</w:t>
                  </w:r>
                </w:p>
              </w:tc>
              <w:tc>
                <w:tcPr>
                  <w:tcW w:w="1818" w:type="dxa"/>
                  <w:tcBorders>
                    <w:tl2br w:val="nil"/>
                    <w:tr2bl w:val="nil"/>
                  </w:tcBorders>
                  <w:noWrap w:val="0"/>
                  <w:vAlign w:val="center"/>
                </w:tcPr>
                <w:p w14:paraId="18B9FC9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w:t>
                  </w:r>
                </w:p>
              </w:tc>
              <w:tc>
                <w:tcPr>
                  <w:tcW w:w="501" w:type="dxa"/>
                  <w:tcBorders>
                    <w:tl2br w:val="nil"/>
                    <w:tr2bl w:val="nil"/>
                  </w:tcBorders>
                  <w:noWrap w:val="0"/>
                  <w:vAlign w:val="center"/>
                </w:tcPr>
                <w:p w14:paraId="51436C7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2980" w:type="dxa"/>
                  <w:vMerge w:val="continue"/>
                  <w:tcBorders>
                    <w:tl2br w:val="nil"/>
                    <w:tr2bl w:val="nil"/>
                  </w:tcBorders>
                  <w:noWrap w:val="0"/>
                  <w:vAlign w:val="center"/>
                </w:tcPr>
                <w:p w14:paraId="60680CC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r>
            <w:tr w14:paraId="5BABD1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continue"/>
                  <w:tcBorders>
                    <w:tl2br w:val="nil"/>
                    <w:tr2bl w:val="nil"/>
                  </w:tcBorders>
                  <w:noWrap w:val="0"/>
                  <w:vAlign w:val="center"/>
                </w:tcPr>
                <w:p w14:paraId="0C55164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30" w:type="dxa"/>
                  <w:vMerge w:val="continue"/>
                  <w:tcBorders>
                    <w:tl2br w:val="nil"/>
                    <w:tr2bl w:val="nil"/>
                  </w:tcBorders>
                  <w:noWrap w:val="0"/>
                  <w:vAlign w:val="center"/>
                </w:tcPr>
                <w:p w14:paraId="1BC6E9D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1237" w:type="dxa"/>
                  <w:tcBorders>
                    <w:tl2br w:val="nil"/>
                    <w:tr2bl w:val="nil"/>
                  </w:tcBorders>
                  <w:noWrap w:val="0"/>
                  <w:vAlign w:val="center"/>
                </w:tcPr>
                <w:p w14:paraId="3F2A83C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空压机含油废液</w:t>
                  </w:r>
                </w:p>
              </w:tc>
              <w:tc>
                <w:tcPr>
                  <w:tcW w:w="1818" w:type="dxa"/>
                  <w:tcBorders>
                    <w:tl2br w:val="nil"/>
                    <w:tr2bl w:val="nil"/>
                  </w:tcBorders>
                  <w:noWrap w:val="0"/>
                  <w:vAlign w:val="center"/>
                </w:tcPr>
                <w:p w14:paraId="6521BE3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w:t>
                  </w:r>
                </w:p>
              </w:tc>
              <w:tc>
                <w:tcPr>
                  <w:tcW w:w="501" w:type="dxa"/>
                  <w:tcBorders>
                    <w:tl2br w:val="nil"/>
                    <w:tr2bl w:val="nil"/>
                  </w:tcBorders>
                  <w:noWrap w:val="0"/>
                  <w:vAlign w:val="center"/>
                </w:tcPr>
                <w:p w14:paraId="1C8EFF0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2980" w:type="dxa"/>
                  <w:vMerge w:val="continue"/>
                  <w:tcBorders>
                    <w:tl2br w:val="nil"/>
                    <w:tr2bl w:val="nil"/>
                  </w:tcBorders>
                  <w:noWrap w:val="0"/>
                  <w:vAlign w:val="center"/>
                </w:tcPr>
                <w:p w14:paraId="2516B57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r>
            <w:tr w14:paraId="0ED30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continue"/>
                  <w:tcBorders>
                    <w:tl2br w:val="nil"/>
                    <w:tr2bl w:val="nil"/>
                  </w:tcBorders>
                  <w:noWrap w:val="0"/>
                  <w:vAlign w:val="center"/>
                </w:tcPr>
                <w:p w14:paraId="2DCC50B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30" w:type="dxa"/>
                  <w:vMerge w:val="continue"/>
                  <w:tcBorders>
                    <w:tl2br w:val="nil"/>
                    <w:tr2bl w:val="nil"/>
                  </w:tcBorders>
                  <w:noWrap w:val="0"/>
                  <w:vAlign w:val="center"/>
                </w:tcPr>
                <w:p w14:paraId="00660E1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1237" w:type="dxa"/>
                  <w:tcBorders>
                    <w:tl2br w:val="nil"/>
                    <w:tr2bl w:val="nil"/>
                  </w:tcBorders>
                  <w:noWrap w:val="0"/>
                  <w:vAlign w:val="center"/>
                </w:tcPr>
                <w:p w14:paraId="20B626D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废油桶</w:t>
                  </w:r>
                </w:p>
              </w:tc>
              <w:tc>
                <w:tcPr>
                  <w:tcW w:w="1818" w:type="dxa"/>
                  <w:tcBorders>
                    <w:tl2br w:val="nil"/>
                    <w:tr2bl w:val="nil"/>
                  </w:tcBorders>
                  <w:noWrap w:val="0"/>
                  <w:vAlign w:val="center"/>
                </w:tcPr>
                <w:p w14:paraId="4099CA8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w:t>
                  </w:r>
                </w:p>
              </w:tc>
              <w:tc>
                <w:tcPr>
                  <w:tcW w:w="501" w:type="dxa"/>
                  <w:tcBorders>
                    <w:tl2br w:val="nil"/>
                    <w:tr2bl w:val="nil"/>
                  </w:tcBorders>
                  <w:noWrap w:val="0"/>
                  <w:vAlign w:val="center"/>
                </w:tcPr>
                <w:p w14:paraId="4719455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2980" w:type="dxa"/>
                  <w:vMerge w:val="continue"/>
                  <w:tcBorders>
                    <w:tl2br w:val="nil"/>
                    <w:tr2bl w:val="nil"/>
                  </w:tcBorders>
                  <w:noWrap w:val="0"/>
                  <w:vAlign w:val="center"/>
                </w:tcPr>
                <w:p w14:paraId="5F38E98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r>
            <w:tr w14:paraId="769CF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4" w:type="dxa"/>
                  <w:vMerge w:val="continue"/>
                  <w:tcBorders>
                    <w:tl2br w:val="nil"/>
                    <w:tr2bl w:val="nil"/>
                  </w:tcBorders>
                  <w:noWrap w:val="0"/>
                  <w:vAlign w:val="center"/>
                </w:tcPr>
                <w:p w14:paraId="6A087A9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630" w:type="dxa"/>
                  <w:vMerge w:val="continue"/>
                  <w:tcBorders>
                    <w:tl2br w:val="nil"/>
                    <w:tr2bl w:val="nil"/>
                  </w:tcBorders>
                  <w:noWrap w:val="0"/>
                  <w:vAlign w:val="center"/>
                </w:tcPr>
                <w:p w14:paraId="27805AE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p>
              </w:tc>
              <w:tc>
                <w:tcPr>
                  <w:tcW w:w="1237" w:type="dxa"/>
                  <w:tcBorders>
                    <w:tl2br w:val="nil"/>
                    <w:tr2bl w:val="nil"/>
                  </w:tcBorders>
                  <w:noWrap w:val="0"/>
                  <w:vAlign w:val="center"/>
                </w:tcPr>
                <w:p w14:paraId="04D064D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sz w:val="22"/>
                      <w:szCs w:val="22"/>
                      <w:u w:val="none"/>
                      <w:lang w:val="en-US" w:eastAsia="zh-CN"/>
                    </w:rPr>
                    <w:t>生活垃圾</w:t>
                  </w:r>
                </w:p>
              </w:tc>
              <w:tc>
                <w:tcPr>
                  <w:tcW w:w="1818" w:type="dxa"/>
                  <w:tcBorders>
                    <w:tl2br w:val="nil"/>
                    <w:tr2bl w:val="nil"/>
                  </w:tcBorders>
                  <w:noWrap w:val="0"/>
                  <w:vAlign w:val="center"/>
                </w:tcPr>
                <w:p w14:paraId="5223F09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w:t>
                  </w:r>
                </w:p>
              </w:tc>
              <w:tc>
                <w:tcPr>
                  <w:tcW w:w="501" w:type="dxa"/>
                  <w:tcBorders>
                    <w:tl2br w:val="nil"/>
                    <w:tr2bl w:val="nil"/>
                  </w:tcBorders>
                  <w:noWrap w:val="0"/>
                  <w:vAlign w:val="center"/>
                </w:tcPr>
                <w:p w14:paraId="5BB8D78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sz w:val="22"/>
                      <w:szCs w:val="22"/>
                      <w:u w:val="none"/>
                      <w:lang w:val="en-US" w:eastAsia="zh-CN"/>
                    </w:rPr>
                  </w:pPr>
                  <w:r>
                    <w:rPr>
                      <w:rFonts w:hint="default" w:ascii="Times New Roman" w:hAnsi="Times New Roman" w:eastAsia="宋体" w:cs="Times New Roman"/>
                      <w:i w:val="0"/>
                      <w:color w:val="auto"/>
                      <w:sz w:val="22"/>
                      <w:szCs w:val="22"/>
                      <w:u w:val="none"/>
                      <w:lang w:val="en-US" w:eastAsia="zh-CN"/>
                    </w:rPr>
                    <w:t>间断</w:t>
                  </w:r>
                </w:p>
              </w:tc>
              <w:tc>
                <w:tcPr>
                  <w:tcW w:w="2980" w:type="dxa"/>
                  <w:tcBorders>
                    <w:tl2br w:val="nil"/>
                    <w:tr2bl w:val="nil"/>
                  </w:tcBorders>
                  <w:noWrap w:val="0"/>
                  <w:vAlign w:val="center"/>
                </w:tcPr>
                <w:p w14:paraId="2E812A6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imes New Roman"/>
                      <w:i w:val="0"/>
                      <w:color w:val="auto"/>
                      <w:kern w:val="2"/>
                      <w:sz w:val="22"/>
                      <w:szCs w:val="22"/>
                      <w:u w:val="none"/>
                      <w:lang w:val="en-US" w:eastAsia="zh-CN" w:bidi="ar-SA"/>
                    </w:rPr>
                  </w:pPr>
                  <w:r>
                    <w:rPr>
                      <w:rFonts w:hint="default" w:ascii="Times New Roman" w:hAnsi="Times New Roman" w:eastAsia="宋体" w:cs="Times New Roman"/>
                      <w:i w:val="0"/>
                      <w:color w:val="auto"/>
                      <w:kern w:val="2"/>
                      <w:sz w:val="22"/>
                      <w:szCs w:val="22"/>
                      <w:u w:val="none"/>
                      <w:lang w:val="en-US" w:eastAsia="zh-CN" w:bidi="ar-SA"/>
                    </w:rPr>
                    <w:t>交由环卫部门处置</w:t>
                  </w:r>
                </w:p>
              </w:tc>
            </w:tr>
          </w:tbl>
          <w:p w14:paraId="06E40898">
            <w:pPr>
              <w:adjustRightInd w:val="0"/>
              <w:snapToGrid w:val="0"/>
              <w:spacing w:line="460" w:lineRule="exact"/>
              <w:rPr>
                <w:rFonts w:hint="eastAsia" w:ascii="Times New Roman" w:hAnsi="Times New Roman"/>
                <w:b/>
                <w:color w:val="auto"/>
                <w:sz w:val="26"/>
                <w:szCs w:val="26"/>
              </w:rPr>
            </w:pPr>
          </w:p>
          <w:p w14:paraId="50F6DD0B">
            <w:pPr>
              <w:adjustRightInd w:val="0"/>
              <w:snapToGrid w:val="0"/>
              <w:spacing w:line="460" w:lineRule="exact"/>
              <w:rPr>
                <w:rFonts w:ascii="Times New Roman" w:hAnsi="Times New Roman"/>
                <w:b/>
                <w:color w:val="auto"/>
                <w:sz w:val="26"/>
                <w:szCs w:val="26"/>
              </w:rPr>
            </w:pPr>
            <w:r>
              <w:rPr>
                <w:rFonts w:hint="eastAsia" w:ascii="Times New Roman" w:hAnsi="Times New Roman"/>
                <w:b/>
                <w:color w:val="auto"/>
                <w:sz w:val="26"/>
                <w:szCs w:val="26"/>
              </w:rPr>
              <w:t>2.1</w:t>
            </w:r>
            <w:r>
              <w:rPr>
                <w:rFonts w:hint="eastAsia" w:ascii="Times New Roman" w:hAnsi="Times New Roman"/>
                <w:b/>
                <w:color w:val="auto"/>
                <w:sz w:val="26"/>
                <w:szCs w:val="26"/>
                <w:lang w:val="en-US" w:eastAsia="zh-CN"/>
              </w:rPr>
              <w:t>6</w:t>
            </w:r>
            <w:r>
              <w:rPr>
                <w:rFonts w:hint="eastAsia" w:ascii="Times New Roman" w:hAnsi="Times New Roman"/>
                <w:b/>
                <w:color w:val="auto"/>
                <w:sz w:val="26"/>
                <w:szCs w:val="26"/>
              </w:rPr>
              <w:t>现有项目</w:t>
            </w:r>
            <w:r>
              <w:rPr>
                <w:rFonts w:ascii="Times New Roman" w:hAnsi="Times New Roman"/>
                <w:b/>
                <w:color w:val="auto"/>
                <w:sz w:val="26"/>
                <w:szCs w:val="26"/>
              </w:rPr>
              <w:t>污染物排放情况</w:t>
            </w:r>
          </w:p>
          <w:p w14:paraId="7AA1F32F">
            <w:pPr>
              <w:adjustRightInd w:val="0"/>
              <w:snapToGrid w:val="0"/>
              <w:spacing w:line="460" w:lineRule="exact"/>
              <w:ind w:firstLine="520" w:firstLineChars="200"/>
              <w:rPr>
                <w:rFonts w:ascii="Times New Roman" w:hAnsi="Times New Roman"/>
                <w:color w:val="auto"/>
                <w:sz w:val="26"/>
                <w:szCs w:val="26"/>
              </w:rPr>
            </w:pPr>
            <w:r>
              <w:rPr>
                <w:rFonts w:ascii="Times New Roman" w:hAnsi="Times New Roman"/>
                <w:color w:val="auto"/>
                <w:sz w:val="26"/>
                <w:szCs w:val="26"/>
              </w:rPr>
              <w:t>（</w:t>
            </w:r>
            <w:r>
              <w:rPr>
                <w:rFonts w:hint="eastAsia" w:ascii="Times New Roman" w:hAnsi="Times New Roman"/>
                <w:color w:val="auto"/>
                <w:sz w:val="26"/>
                <w:szCs w:val="26"/>
              </w:rPr>
              <w:t>1</w:t>
            </w:r>
            <w:r>
              <w:rPr>
                <w:rFonts w:ascii="Times New Roman" w:hAnsi="Times New Roman"/>
                <w:color w:val="auto"/>
                <w:sz w:val="26"/>
                <w:szCs w:val="26"/>
              </w:rPr>
              <w:t>）废气</w:t>
            </w:r>
          </w:p>
          <w:p w14:paraId="7CA30A25">
            <w:pPr>
              <w:adjustRightInd w:val="0"/>
              <w:snapToGrid w:val="0"/>
              <w:spacing w:line="460" w:lineRule="exact"/>
              <w:ind w:firstLine="520" w:firstLineChars="200"/>
              <w:rPr>
                <w:rFonts w:hint="eastAsia" w:ascii="Times New Roman" w:hAnsi="Times New Roman" w:cs="Calibri"/>
                <w:bCs/>
                <w:color w:val="auto"/>
                <w:sz w:val="26"/>
                <w:szCs w:val="26"/>
                <w:lang w:eastAsia="zh-CN"/>
              </w:rPr>
            </w:pPr>
            <w:r>
              <w:rPr>
                <w:rFonts w:hint="eastAsia" w:ascii="Times New Roman" w:hAnsi="Times New Roman" w:cs="Calibri"/>
                <w:bCs/>
                <w:color w:val="auto"/>
                <w:sz w:val="26"/>
                <w:szCs w:val="26"/>
                <w:lang w:eastAsia="zh-CN"/>
              </w:rPr>
              <w:t>现有项目有组织排放的废气主要有熔炼废气、均质废气和铝回收装置废气。具体排放方式如下。</w:t>
            </w:r>
          </w:p>
          <w:p w14:paraId="08B3D7E5">
            <w:pPr>
              <w:adjustRightInd w:val="0"/>
              <w:snapToGrid w:val="0"/>
              <w:spacing w:line="460" w:lineRule="exact"/>
              <w:ind w:firstLine="520" w:firstLineChars="200"/>
              <w:rPr>
                <w:rFonts w:hint="eastAsia" w:ascii="Times New Roman" w:hAnsi="Times New Roman" w:cs="Calibri"/>
                <w:bCs/>
                <w:color w:val="auto"/>
                <w:sz w:val="26"/>
                <w:szCs w:val="26"/>
                <w:lang w:eastAsia="zh-CN"/>
              </w:rPr>
            </w:pPr>
            <w:r>
              <w:rPr>
                <w:rFonts w:hint="eastAsia" w:ascii="Times New Roman" w:hAnsi="Times New Roman" w:cs="Calibri"/>
                <w:bCs/>
                <w:color w:val="auto"/>
                <w:sz w:val="26"/>
                <w:szCs w:val="26"/>
                <w:lang w:eastAsia="zh-CN"/>
              </w:rPr>
              <w:t>16吨熔炼炉废气</w:t>
            </w:r>
            <w:r>
              <w:rPr>
                <w:rFonts w:hint="eastAsia" w:ascii="Times New Roman" w:hAnsi="Times New Roman" w:cs="Calibri"/>
                <w:bCs/>
                <w:color w:val="auto"/>
                <w:sz w:val="26"/>
                <w:szCs w:val="26"/>
                <w:lang w:val="en-US" w:eastAsia="zh-CN"/>
              </w:rPr>
              <w:t>、</w:t>
            </w:r>
            <w:r>
              <w:rPr>
                <w:rFonts w:hint="eastAsia" w:ascii="Times New Roman" w:hAnsi="Times New Roman" w:cs="Calibri"/>
                <w:bCs/>
                <w:color w:val="auto"/>
                <w:sz w:val="26"/>
                <w:szCs w:val="26"/>
                <w:lang w:eastAsia="zh-CN"/>
              </w:rPr>
              <w:t>2个25吨熔炼炉</w:t>
            </w:r>
            <w:r>
              <w:rPr>
                <w:rFonts w:hint="eastAsia" w:ascii="Times New Roman" w:hAnsi="Times New Roman" w:cs="Calibri"/>
                <w:bCs/>
                <w:color w:val="auto"/>
                <w:sz w:val="26"/>
                <w:szCs w:val="26"/>
                <w:lang w:val="en-US" w:eastAsia="zh-CN"/>
              </w:rPr>
              <w:t>废气和2#35t熔炼炉废气</w:t>
            </w:r>
            <w:r>
              <w:rPr>
                <w:rFonts w:hint="eastAsia" w:ascii="Times New Roman" w:hAnsi="Times New Roman" w:cs="Calibri"/>
                <w:bCs/>
                <w:color w:val="auto"/>
                <w:sz w:val="26"/>
                <w:szCs w:val="26"/>
                <w:lang w:eastAsia="zh-CN"/>
              </w:rPr>
              <w:t>一并收集</w:t>
            </w:r>
            <w:r>
              <w:rPr>
                <w:rFonts w:hint="eastAsia" w:ascii="Times New Roman" w:hAnsi="Times New Roman" w:cs="Calibri"/>
                <w:bCs/>
                <w:color w:val="auto"/>
                <w:sz w:val="26"/>
                <w:szCs w:val="26"/>
                <w:lang w:val="en-US" w:eastAsia="zh-CN"/>
              </w:rPr>
              <w:t>引至1#“旋风+</w:t>
            </w:r>
            <w:r>
              <w:rPr>
                <w:rFonts w:hint="eastAsia" w:ascii="Times New Roman" w:hAnsi="Times New Roman" w:cs="Calibri"/>
                <w:bCs/>
                <w:color w:val="auto"/>
                <w:sz w:val="26"/>
                <w:szCs w:val="26"/>
                <w:lang w:eastAsia="zh-CN"/>
              </w:rPr>
              <w:t>布袋除尘系统</w:t>
            </w:r>
            <w:r>
              <w:rPr>
                <w:rFonts w:hint="eastAsia" w:ascii="Times New Roman" w:hAnsi="Times New Roman" w:cs="Calibri"/>
                <w:bCs/>
                <w:color w:val="auto"/>
                <w:sz w:val="26"/>
                <w:szCs w:val="26"/>
                <w:lang w:val="en-US" w:eastAsia="zh-CN"/>
              </w:rPr>
              <w:t>”</w:t>
            </w:r>
            <w:r>
              <w:rPr>
                <w:rFonts w:hint="eastAsia" w:ascii="Times New Roman" w:hAnsi="Times New Roman" w:cs="Calibri"/>
                <w:bCs/>
                <w:color w:val="auto"/>
                <w:sz w:val="26"/>
                <w:szCs w:val="26"/>
                <w:lang w:eastAsia="zh-CN"/>
              </w:rPr>
              <w:t>处理</w:t>
            </w:r>
            <w:r>
              <w:rPr>
                <w:rFonts w:hint="eastAsia" w:ascii="Times New Roman" w:hAnsi="Times New Roman" w:cs="Calibri"/>
                <w:bCs/>
                <w:color w:val="auto"/>
                <w:sz w:val="26"/>
                <w:szCs w:val="26"/>
                <w:lang w:val="en-US" w:eastAsia="zh-CN"/>
              </w:rPr>
              <w:t>后通过1根21m高排气筒排放</w:t>
            </w:r>
            <w:r>
              <w:rPr>
                <w:rFonts w:hint="eastAsia" w:ascii="Times New Roman" w:hAnsi="Times New Roman" w:cs="Calibri"/>
                <w:bCs/>
                <w:color w:val="auto"/>
                <w:sz w:val="26"/>
                <w:szCs w:val="26"/>
                <w:lang w:eastAsia="zh-CN"/>
              </w:rPr>
              <w:t>（排气筒</w:t>
            </w:r>
            <w:r>
              <w:rPr>
                <w:rFonts w:hint="eastAsia" w:ascii="Times New Roman" w:hAnsi="Times New Roman" w:cs="Calibri"/>
                <w:bCs/>
                <w:color w:val="auto"/>
                <w:sz w:val="26"/>
                <w:szCs w:val="26"/>
                <w:lang w:val="en-US" w:eastAsia="zh-CN"/>
              </w:rPr>
              <w:t>编号</w:t>
            </w:r>
            <w:r>
              <w:rPr>
                <w:rFonts w:hint="eastAsia" w:ascii="Times New Roman" w:hAnsi="Times New Roman" w:cs="Calibri"/>
                <w:bCs/>
                <w:color w:val="auto"/>
                <w:sz w:val="26"/>
                <w:szCs w:val="26"/>
                <w:lang w:eastAsia="zh-CN"/>
              </w:rPr>
              <w:t>DA002），现</w:t>
            </w:r>
            <w:r>
              <w:rPr>
                <w:rFonts w:hint="eastAsia" w:ascii="Times New Roman" w:hAnsi="Times New Roman" w:cs="Calibri"/>
                <w:bCs/>
                <w:color w:val="auto"/>
                <w:sz w:val="26"/>
                <w:szCs w:val="26"/>
                <w:lang w:val="en-US" w:eastAsia="zh-CN"/>
              </w:rPr>
              <w:t>2#35t熔炼炉废气收集系统在建，其余已建</w:t>
            </w:r>
            <w:r>
              <w:rPr>
                <w:rFonts w:hint="eastAsia" w:ascii="Times New Roman" w:hAnsi="Times New Roman" w:cs="Calibri"/>
                <w:bCs/>
                <w:color w:val="auto"/>
                <w:sz w:val="26"/>
                <w:szCs w:val="26"/>
                <w:lang w:eastAsia="zh-CN"/>
              </w:rPr>
              <w:t>；</w:t>
            </w:r>
          </w:p>
          <w:p w14:paraId="6AA64037">
            <w:pPr>
              <w:adjustRightInd w:val="0"/>
              <w:snapToGrid w:val="0"/>
              <w:spacing w:line="460" w:lineRule="exact"/>
              <w:ind w:firstLine="520" w:firstLineChars="200"/>
              <w:rPr>
                <w:rFonts w:hint="eastAsia" w:ascii="Times New Roman" w:hAnsi="Times New Roman" w:cs="Calibri"/>
                <w:bCs/>
                <w:color w:val="auto"/>
                <w:sz w:val="26"/>
                <w:szCs w:val="26"/>
                <w:lang w:val="en-US" w:eastAsia="zh-CN"/>
              </w:rPr>
            </w:pPr>
            <w:r>
              <w:rPr>
                <w:rFonts w:hint="eastAsia" w:ascii="Times New Roman" w:hAnsi="Times New Roman" w:cs="Calibri"/>
                <w:bCs/>
                <w:color w:val="auto"/>
                <w:sz w:val="26"/>
                <w:szCs w:val="26"/>
                <w:lang w:val="en-US" w:eastAsia="zh-CN"/>
              </w:rPr>
              <w:t>1#35t熔炼炉废气和60t熔炼废气经2#“重力沉降+布袋除尘器”处理后，由1根21m高DA001排气筒排放；</w:t>
            </w:r>
          </w:p>
          <w:p w14:paraId="3C331DDE">
            <w:pPr>
              <w:adjustRightInd w:val="0"/>
              <w:snapToGrid w:val="0"/>
              <w:spacing w:line="460" w:lineRule="exact"/>
              <w:ind w:firstLine="520" w:firstLineChars="200"/>
              <w:rPr>
                <w:rFonts w:hint="eastAsia" w:ascii="Times New Roman" w:hAnsi="Times New Roman" w:cs="Calibri"/>
                <w:bCs/>
                <w:color w:val="auto"/>
                <w:sz w:val="26"/>
                <w:szCs w:val="26"/>
                <w:lang w:val="en-US" w:eastAsia="zh-CN"/>
              </w:rPr>
            </w:pPr>
            <w:r>
              <w:rPr>
                <w:rFonts w:hint="eastAsia" w:ascii="Times New Roman" w:hAnsi="Times New Roman" w:cs="Calibri"/>
                <w:bCs/>
                <w:color w:val="auto"/>
                <w:sz w:val="26"/>
                <w:szCs w:val="26"/>
                <w:lang w:val="en-US" w:eastAsia="zh-CN"/>
              </w:rPr>
              <w:t>铝回收装置废气经3#“重力沉降+低压脉冲袋式除尘器”处理后，由1根20m高DA003排气筒排放，铝回收装置暂未建设；</w:t>
            </w:r>
          </w:p>
          <w:p w14:paraId="78C752C7">
            <w:pPr>
              <w:adjustRightInd w:val="0"/>
              <w:snapToGrid w:val="0"/>
              <w:spacing w:line="460" w:lineRule="exact"/>
              <w:ind w:firstLine="520" w:firstLineChars="200"/>
              <w:rPr>
                <w:rFonts w:hint="default" w:ascii="Times New Roman" w:hAnsi="Times New Roman" w:eastAsia="宋体" w:cs="Times New Roman"/>
                <w:bCs/>
                <w:color w:val="auto"/>
                <w:sz w:val="26"/>
                <w:szCs w:val="26"/>
                <w:lang w:val="en-US" w:eastAsia="zh-CN"/>
              </w:rPr>
            </w:pPr>
            <w:r>
              <w:rPr>
                <w:rFonts w:hint="default" w:ascii="Times New Roman" w:hAnsi="Times New Roman" w:eastAsia="宋体" w:cs="Times New Roman"/>
                <w:bCs/>
                <w:color w:val="auto"/>
                <w:sz w:val="26"/>
                <w:szCs w:val="26"/>
                <w:lang w:val="en-US" w:eastAsia="zh-CN"/>
              </w:rPr>
              <w:t>两台均质炉的废气经1根15m高排气筒排放（排气筒编号DA004）。</w:t>
            </w:r>
          </w:p>
          <w:p w14:paraId="57591E09">
            <w:pPr>
              <w:adjustRightInd w:val="0"/>
              <w:snapToGrid w:val="0"/>
              <w:spacing w:line="460" w:lineRule="exact"/>
              <w:ind w:firstLine="520" w:firstLineChars="200"/>
              <w:rPr>
                <w:rFonts w:hint="default" w:ascii="Times New Roman" w:hAnsi="Times New Roman" w:eastAsia="宋体" w:cs="Times New Roman"/>
                <w:bCs/>
                <w:color w:val="auto"/>
                <w:sz w:val="26"/>
                <w:szCs w:val="26"/>
                <w:lang w:val="en-US" w:eastAsia="zh-CN"/>
              </w:rPr>
            </w:pPr>
            <w:r>
              <w:rPr>
                <w:rFonts w:hint="default" w:ascii="Times New Roman" w:hAnsi="Times New Roman" w:eastAsia="宋体" w:cs="Times New Roman"/>
                <w:bCs/>
                <w:color w:val="auto"/>
                <w:sz w:val="26"/>
                <w:szCs w:val="26"/>
                <w:lang w:val="en-US" w:eastAsia="zh-CN"/>
              </w:rPr>
              <w:t>根据企业2025年9月自行监测报告（惠源（检）字</w:t>
            </w:r>
            <w:r>
              <w:rPr>
                <w:rFonts w:hint="eastAsia" w:ascii="Times New Roman" w:hAnsi="Times New Roman" w:eastAsia="宋体" w:cs="Times New Roman"/>
                <w:bCs/>
                <w:color w:val="auto"/>
                <w:sz w:val="26"/>
                <w:szCs w:val="26"/>
                <w:lang w:val="en-US" w:eastAsia="zh-CN"/>
              </w:rPr>
              <w:t>[</w:t>
            </w:r>
            <w:r>
              <w:rPr>
                <w:rFonts w:hint="default" w:ascii="Times New Roman" w:hAnsi="Times New Roman" w:eastAsia="宋体" w:cs="Times New Roman"/>
                <w:bCs/>
                <w:color w:val="auto"/>
                <w:sz w:val="26"/>
                <w:szCs w:val="26"/>
                <w:lang w:val="en-US" w:eastAsia="zh-CN"/>
              </w:rPr>
              <w:t>2025</w:t>
            </w:r>
            <w:r>
              <w:rPr>
                <w:rFonts w:hint="eastAsia" w:ascii="Times New Roman" w:hAnsi="Times New Roman" w:eastAsia="宋体" w:cs="Times New Roman"/>
                <w:bCs/>
                <w:color w:val="auto"/>
                <w:sz w:val="26"/>
                <w:szCs w:val="26"/>
                <w:lang w:val="en-US" w:eastAsia="zh-CN"/>
              </w:rPr>
              <w:t>]</w:t>
            </w:r>
            <w:r>
              <w:rPr>
                <w:rFonts w:hint="default" w:ascii="Times New Roman" w:hAnsi="Times New Roman" w:eastAsia="宋体" w:cs="Times New Roman"/>
                <w:bCs/>
                <w:color w:val="auto"/>
                <w:sz w:val="26"/>
                <w:szCs w:val="26"/>
                <w:lang w:val="en-US" w:eastAsia="zh-CN"/>
              </w:rPr>
              <w:t>第WT1992号），现有项目废气污染物排放情况见下表。</w:t>
            </w:r>
          </w:p>
          <w:p w14:paraId="7BE7D27E">
            <w:pPr>
              <w:adjustRightInd w:val="0"/>
              <w:snapToGrid w:val="0"/>
              <w:spacing w:line="460" w:lineRule="exact"/>
              <w:jc w:val="center"/>
              <w:rPr>
                <w:rFonts w:hint="eastAsia" w:ascii="Times New Roman" w:hAnsi="Times New Roman"/>
                <w:b/>
                <w:bCs w:val="0"/>
                <w:color w:val="auto"/>
                <w:sz w:val="24"/>
                <w:highlight w:val="none"/>
              </w:rPr>
            </w:pPr>
            <w:r>
              <w:rPr>
                <w:rFonts w:hint="eastAsia" w:ascii="Times New Roman" w:hAnsi="Times New Roman"/>
                <w:b/>
                <w:bCs w:val="0"/>
                <w:color w:val="auto"/>
                <w:sz w:val="26"/>
                <w:szCs w:val="26"/>
                <w:highlight w:val="none"/>
              </w:rPr>
              <w:t>表2.1</w:t>
            </w:r>
            <w:r>
              <w:rPr>
                <w:rFonts w:hint="eastAsia" w:ascii="Times New Roman" w:hAnsi="Times New Roman"/>
                <w:b/>
                <w:bCs w:val="0"/>
                <w:color w:val="auto"/>
                <w:sz w:val="26"/>
                <w:szCs w:val="26"/>
                <w:highlight w:val="none"/>
                <w:lang w:val="en-US" w:eastAsia="zh-CN"/>
              </w:rPr>
              <w:t>6</w:t>
            </w:r>
            <w:r>
              <w:rPr>
                <w:rFonts w:hint="eastAsia" w:ascii="Times New Roman" w:hAnsi="Times New Roman"/>
                <w:b/>
                <w:bCs w:val="0"/>
                <w:color w:val="auto"/>
                <w:sz w:val="26"/>
                <w:szCs w:val="26"/>
                <w:highlight w:val="none"/>
              </w:rPr>
              <w:t>-</w:t>
            </w:r>
            <w:r>
              <w:rPr>
                <w:rFonts w:hint="eastAsia" w:ascii="Times New Roman" w:hAnsi="Times New Roman"/>
                <w:b/>
                <w:bCs w:val="0"/>
                <w:color w:val="auto"/>
                <w:sz w:val="26"/>
                <w:szCs w:val="26"/>
                <w:highlight w:val="none"/>
                <w:lang w:val="en-US" w:eastAsia="zh-CN"/>
              </w:rPr>
              <w:t>1</w:t>
            </w:r>
            <w:r>
              <w:rPr>
                <w:rFonts w:hint="eastAsia" w:ascii="Times New Roman" w:hAnsi="Times New Roman"/>
                <w:b/>
                <w:bCs w:val="0"/>
                <w:color w:val="auto"/>
                <w:sz w:val="26"/>
                <w:szCs w:val="26"/>
                <w:highlight w:val="none"/>
              </w:rPr>
              <w:t xml:space="preserve">  现有项目废气</w:t>
            </w:r>
            <w:r>
              <w:rPr>
                <w:rFonts w:hint="eastAsia" w:ascii="Times New Roman" w:hAnsi="Times New Roman"/>
                <w:b/>
                <w:bCs w:val="0"/>
                <w:color w:val="auto"/>
                <w:sz w:val="26"/>
                <w:szCs w:val="26"/>
                <w:highlight w:val="none"/>
                <w:lang w:val="en-US" w:eastAsia="zh-CN"/>
              </w:rPr>
              <w:t>（有组织）</w:t>
            </w:r>
            <w:r>
              <w:rPr>
                <w:rFonts w:hint="eastAsia" w:ascii="Times New Roman" w:hAnsi="Times New Roman"/>
                <w:b/>
                <w:bCs w:val="0"/>
                <w:color w:val="auto"/>
                <w:sz w:val="26"/>
                <w:szCs w:val="26"/>
                <w:highlight w:val="none"/>
              </w:rPr>
              <w:t>排放情况分析表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6"/>
              <w:gridCol w:w="688"/>
              <w:gridCol w:w="1179"/>
              <w:gridCol w:w="1001"/>
              <w:gridCol w:w="1057"/>
              <w:gridCol w:w="912"/>
              <w:gridCol w:w="777"/>
              <w:gridCol w:w="632"/>
              <w:gridCol w:w="668"/>
            </w:tblGrid>
            <w:tr w14:paraId="43BDB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7" w:type="dxa"/>
                  <w:vMerge w:val="restart"/>
                  <w:tcBorders>
                    <w:tl2br w:val="nil"/>
                    <w:tr2bl w:val="nil"/>
                  </w:tcBorders>
                  <w:noWrap w:val="0"/>
                  <w:vAlign w:val="center"/>
                </w:tcPr>
                <w:p w14:paraId="47D99E24">
                  <w:pPr>
                    <w:widowControl/>
                    <w:jc w:val="center"/>
                    <w:rPr>
                      <w:rFonts w:hint="eastAsia" w:ascii="Times New Roman" w:hAnsi="Times New Roman" w:eastAsia="宋体"/>
                      <w:color w:val="auto"/>
                      <w:spacing w:val="-6"/>
                      <w:sz w:val="22"/>
                      <w:szCs w:val="22"/>
                      <w:lang w:eastAsia="zh-CN"/>
                    </w:rPr>
                  </w:pPr>
                  <w:r>
                    <w:rPr>
                      <w:rFonts w:hint="eastAsia" w:ascii="Times New Roman" w:hAnsi="Times New Roman"/>
                      <w:color w:val="auto"/>
                      <w:spacing w:val="-6"/>
                      <w:sz w:val="22"/>
                      <w:szCs w:val="22"/>
                      <w:lang w:eastAsia="zh-CN"/>
                    </w:rPr>
                    <w:t>排气筒</w:t>
                  </w:r>
                </w:p>
              </w:tc>
              <w:tc>
                <w:tcPr>
                  <w:tcW w:w="704" w:type="dxa"/>
                  <w:vMerge w:val="restart"/>
                  <w:tcBorders>
                    <w:tl2br w:val="nil"/>
                    <w:tr2bl w:val="nil"/>
                  </w:tcBorders>
                  <w:noWrap w:val="0"/>
                  <w:vAlign w:val="center"/>
                </w:tcPr>
                <w:p w14:paraId="29ED92C4">
                  <w:pPr>
                    <w:widowControl/>
                    <w:jc w:val="center"/>
                    <w:rPr>
                      <w:rFonts w:hint="eastAsia" w:ascii="Times New Roman" w:hAnsi="Times New Roman"/>
                      <w:color w:val="auto"/>
                      <w:spacing w:val="-6"/>
                      <w:sz w:val="22"/>
                      <w:szCs w:val="22"/>
                    </w:rPr>
                  </w:pPr>
                  <w:r>
                    <w:rPr>
                      <w:rFonts w:hint="eastAsia" w:ascii="Times New Roman" w:hAnsi="Times New Roman"/>
                      <w:color w:val="auto"/>
                      <w:spacing w:val="-6"/>
                      <w:sz w:val="22"/>
                      <w:szCs w:val="22"/>
                    </w:rPr>
                    <w:t>监测</w:t>
                  </w:r>
                </w:p>
                <w:p w14:paraId="7B42E28E">
                  <w:pPr>
                    <w:widowControl/>
                    <w:jc w:val="center"/>
                    <w:rPr>
                      <w:rFonts w:ascii="Times New Roman" w:hAnsi="Times New Roman"/>
                      <w:color w:val="auto"/>
                      <w:spacing w:val="-6"/>
                      <w:sz w:val="22"/>
                      <w:szCs w:val="22"/>
                    </w:rPr>
                  </w:pPr>
                  <w:r>
                    <w:rPr>
                      <w:rFonts w:hint="eastAsia" w:ascii="Times New Roman" w:hAnsi="Times New Roman"/>
                      <w:color w:val="auto"/>
                      <w:spacing w:val="-6"/>
                      <w:sz w:val="22"/>
                      <w:szCs w:val="22"/>
                    </w:rPr>
                    <w:t>时间</w:t>
                  </w:r>
                </w:p>
              </w:tc>
              <w:tc>
                <w:tcPr>
                  <w:tcW w:w="1211" w:type="dxa"/>
                  <w:vMerge w:val="restart"/>
                  <w:tcBorders>
                    <w:tl2br w:val="nil"/>
                    <w:tr2bl w:val="nil"/>
                  </w:tcBorders>
                  <w:noWrap w:val="0"/>
                  <w:vAlign w:val="center"/>
                </w:tcPr>
                <w:p w14:paraId="35ED9D5B">
                  <w:pPr>
                    <w:widowControl/>
                    <w:jc w:val="center"/>
                    <w:rPr>
                      <w:rFonts w:ascii="Times New Roman" w:hAnsi="Times New Roman"/>
                      <w:color w:val="auto"/>
                      <w:spacing w:val="-6"/>
                      <w:sz w:val="22"/>
                      <w:szCs w:val="22"/>
                    </w:rPr>
                  </w:pPr>
                  <w:r>
                    <w:rPr>
                      <w:rFonts w:hint="eastAsia" w:ascii="Times New Roman" w:hAnsi="Times New Roman"/>
                      <w:color w:val="auto"/>
                      <w:spacing w:val="-6"/>
                      <w:sz w:val="22"/>
                      <w:szCs w:val="22"/>
                    </w:rPr>
                    <w:t>项目</w:t>
                  </w:r>
                </w:p>
              </w:tc>
              <w:tc>
                <w:tcPr>
                  <w:tcW w:w="1027" w:type="dxa"/>
                  <w:vMerge w:val="restart"/>
                  <w:tcBorders>
                    <w:tl2br w:val="nil"/>
                    <w:tr2bl w:val="nil"/>
                  </w:tcBorders>
                  <w:noWrap w:val="0"/>
                  <w:vAlign w:val="center"/>
                </w:tcPr>
                <w:p w14:paraId="7995E71E">
                  <w:pPr>
                    <w:widowControl/>
                    <w:jc w:val="center"/>
                    <w:rPr>
                      <w:rFonts w:ascii="Times New Roman" w:hAnsi="Times New Roman"/>
                      <w:color w:val="auto"/>
                      <w:spacing w:val="-6"/>
                      <w:sz w:val="22"/>
                      <w:szCs w:val="22"/>
                    </w:rPr>
                  </w:pPr>
                  <w:r>
                    <w:rPr>
                      <w:rFonts w:hint="eastAsia" w:ascii="Times New Roman" w:hAnsi="Times New Roman"/>
                      <w:color w:val="auto"/>
                      <w:spacing w:val="-6"/>
                      <w:sz w:val="22"/>
                      <w:szCs w:val="22"/>
                    </w:rPr>
                    <w:t>最大排放浓度(mg/m</w:t>
                  </w:r>
                  <w:r>
                    <w:rPr>
                      <w:rFonts w:hint="eastAsia" w:ascii="Times New Roman" w:hAnsi="Times New Roman"/>
                      <w:color w:val="auto"/>
                      <w:spacing w:val="-6"/>
                      <w:sz w:val="22"/>
                      <w:szCs w:val="22"/>
                      <w:vertAlign w:val="superscript"/>
                    </w:rPr>
                    <w:t>3</w:t>
                  </w:r>
                  <w:r>
                    <w:rPr>
                      <w:rFonts w:hint="eastAsia" w:ascii="Times New Roman" w:hAnsi="Times New Roman"/>
                      <w:color w:val="auto"/>
                      <w:spacing w:val="-6"/>
                      <w:sz w:val="22"/>
                      <w:szCs w:val="22"/>
                    </w:rPr>
                    <w:t>)</w:t>
                  </w:r>
                </w:p>
              </w:tc>
              <w:tc>
                <w:tcPr>
                  <w:tcW w:w="1085" w:type="dxa"/>
                  <w:vMerge w:val="restart"/>
                  <w:tcBorders>
                    <w:tl2br w:val="nil"/>
                    <w:tr2bl w:val="nil"/>
                  </w:tcBorders>
                  <w:noWrap w:val="0"/>
                  <w:vAlign w:val="center"/>
                </w:tcPr>
                <w:p w14:paraId="53F2E015">
                  <w:pPr>
                    <w:widowControl/>
                    <w:jc w:val="center"/>
                    <w:rPr>
                      <w:rFonts w:ascii="Times New Roman" w:hAnsi="Times New Roman"/>
                      <w:color w:val="auto"/>
                      <w:spacing w:val="-6"/>
                      <w:sz w:val="22"/>
                      <w:szCs w:val="22"/>
                    </w:rPr>
                  </w:pPr>
                  <w:r>
                    <w:rPr>
                      <w:rFonts w:hint="eastAsia" w:ascii="Times New Roman" w:hAnsi="Times New Roman"/>
                      <w:color w:val="auto"/>
                      <w:spacing w:val="-6"/>
                      <w:sz w:val="22"/>
                      <w:szCs w:val="22"/>
                    </w:rPr>
                    <w:t>最大排放速率(kg/h)</w:t>
                  </w:r>
                </w:p>
              </w:tc>
              <w:tc>
                <w:tcPr>
                  <w:tcW w:w="1731" w:type="dxa"/>
                  <w:gridSpan w:val="2"/>
                  <w:tcBorders>
                    <w:tl2br w:val="nil"/>
                    <w:tr2bl w:val="nil"/>
                  </w:tcBorders>
                  <w:noWrap w:val="0"/>
                  <w:vAlign w:val="center"/>
                </w:tcPr>
                <w:p w14:paraId="7735592A">
                  <w:pPr>
                    <w:widowControl/>
                    <w:jc w:val="center"/>
                    <w:rPr>
                      <w:rFonts w:ascii="Times New Roman" w:hAnsi="Times New Roman"/>
                      <w:color w:val="auto"/>
                      <w:spacing w:val="-6"/>
                      <w:sz w:val="22"/>
                      <w:szCs w:val="22"/>
                    </w:rPr>
                  </w:pPr>
                  <w:r>
                    <w:rPr>
                      <w:rFonts w:hint="eastAsia" w:ascii="Times New Roman" w:hAnsi="Times New Roman"/>
                      <w:color w:val="auto"/>
                      <w:spacing w:val="-6"/>
                      <w:sz w:val="22"/>
                      <w:szCs w:val="22"/>
                    </w:rPr>
                    <w:t>排放标准</w:t>
                  </w:r>
                </w:p>
              </w:tc>
              <w:tc>
                <w:tcPr>
                  <w:tcW w:w="646" w:type="dxa"/>
                  <w:vMerge w:val="restart"/>
                  <w:tcBorders>
                    <w:tl2br w:val="nil"/>
                    <w:tr2bl w:val="nil"/>
                  </w:tcBorders>
                  <w:noWrap w:val="0"/>
                  <w:vAlign w:val="center"/>
                </w:tcPr>
                <w:p w14:paraId="3F915524">
                  <w:pPr>
                    <w:widowControl/>
                    <w:jc w:val="center"/>
                    <w:rPr>
                      <w:rFonts w:ascii="Times New Roman" w:hAnsi="Times New Roman"/>
                      <w:color w:val="auto"/>
                      <w:spacing w:val="-6"/>
                      <w:sz w:val="22"/>
                      <w:szCs w:val="22"/>
                    </w:rPr>
                  </w:pPr>
                  <w:r>
                    <w:rPr>
                      <w:rFonts w:hint="eastAsia" w:ascii="Times New Roman" w:hAnsi="Times New Roman"/>
                      <w:color w:val="auto"/>
                      <w:spacing w:val="-6"/>
                      <w:sz w:val="22"/>
                      <w:szCs w:val="22"/>
                    </w:rPr>
                    <w:t>环保设施及工艺</w:t>
                  </w:r>
                </w:p>
              </w:tc>
              <w:tc>
                <w:tcPr>
                  <w:tcW w:w="683" w:type="dxa"/>
                  <w:vMerge w:val="restart"/>
                  <w:tcBorders>
                    <w:tl2br w:val="nil"/>
                    <w:tr2bl w:val="nil"/>
                  </w:tcBorders>
                  <w:noWrap w:val="0"/>
                  <w:vAlign w:val="center"/>
                </w:tcPr>
                <w:p w14:paraId="0A91BD87">
                  <w:pPr>
                    <w:widowControl/>
                    <w:jc w:val="center"/>
                    <w:rPr>
                      <w:rFonts w:ascii="Times New Roman" w:hAnsi="Times New Roman"/>
                      <w:color w:val="auto"/>
                      <w:spacing w:val="-6"/>
                      <w:sz w:val="22"/>
                      <w:szCs w:val="22"/>
                    </w:rPr>
                  </w:pPr>
                  <w:r>
                    <w:rPr>
                      <w:rFonts w:hint="eastAsia" w:ascii="Times New Roman" w:hAnsi="Times New Roman"/>
                      <w:color w:val="auto"/>
                      <w:spacing w:val="-6"/>
                      <w:sz w:val="22"/>
                      <w:szCs w:val="22"/>
                    </w:rPr>
                    <w:t>达标情况</w:t>
                  </w:r>
                </w:p>
              </w:tc>
            </w:tr>
            <w:tr w14:paraId="52164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dxa"/>
                  <w:vMerge w:val="continue"/>
                  <w:tcBorders>
                    <w:tl2br w:val="nil"/>
                    <w:tr2bl w:val="nil"/>
                  </w:tcBorders>
                  <w:noWrap w:val="0"/>
                  <w:vAlign w:val="center"/>
                </w:tcPr>
                <w:p w14:paraId="6783880D">
                  <w:pPr>
                    <w:widowControl/>
                    <w:jc w:val="center"/>
                    <w:rPr>
                      <w:rFonts w:ascii="Times New Roman" w:hAnsi="Times New Roman"/>
                      <w:color w:val="auto"/>
                      <w:spacing w:val="-6"/>
                      <w:sz w:val="22"/>
                      <w:szCs w:val="22"/>
                    </w:rPr>
                  </w:pPr>
                </w:p>
              </w:tc>
              <w:tc>
                <w:tcPr>
                  <w:tcW w:w="700" w:type="dxa"/>
                  <w:vMerge w:val="continue"/>
                  <w:tcBorders>
                    <w:tl2br w:val="nil"/>
                    <w:tr2bl w:val="nil"/>
                  </w:tcBorders>
                  <w:noWrap w:val="0"/>
                  <w:vAlign w:val="center"/>
                </w:tcPr>
                <w:p w14:paraId="3B9A1632">
                  <w:pPr>
                    <w:widowControl/>
                    <w:jc w:val="center"/>
                    <w:rPr>
                      <w:rFonts w:ascii="Times New Roman" w:hAnsi="Times New Roman"/>
                      <w:color w:val="auto"/>
                      <w:spacing w:val="-6"/>
                      <w:sz w:val="22"/>
                      <w:szCs w:val="22"/>
                    </w:rPr>
                  </w:pPr>
                </w:p>
              </w:tc>
              <w:tc>
                <w:tcPr>
                  <w:tcW w:w="1211" w:type="dxa"/>
                  <w:vMerge w:val="continue"/>
                  <w:tcBorders>
                    <w:tl2br w:val="nil"/>
                    <w:tr2bl w:val="nil"/>
                  </w:tcBorders>
                  <w:noWrap w:val="0"/>
                  <w:vAlign w:val="center"/>
                </w:tcPr>
                <w:p w14:paraId="73F90866">
                  <w:pPr>
                    <w:widowControl/>
                    <w:jc w:val="center"/>
                    <w:rPr>
                      <w:rFonts w:ascii="Times New Roman" w:hAnsi="Times New Roman"/>
                      <w:color w:val="auto"/>
                      <w:spacing w:val="-6"/>
                      <w:sz w:val="22"/>
                      <w:szCs w:val="22"/>
                    </w:rPr>
                  </w:pPr>
                </w:p>
              </w:tc>
              <w:tc>
                <w:tcPr>
                  <w:tcW w:w="1027" w:type="dxa"/>
                  <w:vMerge w:val="continue"/>
                  <w:tcBorders>
                    <w:tl2br w:val="nil"/>
                    <w:tr2bl w:val="nil"/>
                  </w:tcBorders>
                  <w:noWrap w:val="0"/>
                  <w:vAlign w:val="center"/>
                </w:tcPr>
                <w:p w14:paraId="79CEBB63">
                  <w:pPr>
                    <w:widowControl/>
                    <w:jc w:val="center"/>
                    <w:rPr>
                      <w:rFonts w:ascii="Times New Roman" w:hAnsi="Times New Roman"/>
                      <w:color w:val="auto"/>
                      <w:spacing w:val="-6"/>
                      <w:sz w:val="22"/>
                      <w:szCs w:val="22"/>
                    </w:rPr>
                  </w:pPr>
                </w:p>
              </w:tc>
              <w:tc>
                <w:tcPr>
                  <w:tcW w:w="1085" w:type="dxa"/>
                  <w:vMerge w:val="continue"/>
                  <w:tcBorders>
                    <w:tl2br w:val="nil"/>
                    <w:tr2bl w:val="nil"/>
                  </w:tcBorders>
                  <w:noWrap w:val="0"/>
                  <w:vAlign w:val="center"/>
                </w:tcPr>
                <w:p w14:paraId="0ACF0A0E">
                  <w:pPr>
                    <w:widowControl/>
                    <w:jc w:val="center"/>
                    <w:rPr>
                      <w:rFonts w:ascii="Times New Roman" w:hAnsi="Times New Roman"/>
                      <w:color w:val="auto"/>
                      <w:spacing w:val="-6"/>
                      <w:sz w:val="22"/>
                      <w:szCs w:val="22"/>
                    </w:rPr>
                  </w:pPr>
                </w:p>
              </w:tc>
              <w:tc>
                <w:tcPr>
                  <w:tcW w:w="935" w:type="dxa"/>
                  <w:tcBorders>
                    <w:tl2br w:val="nil"/>
                    <w:tr2bl w:val="nil"/>
                  </w:tcBorders>
                  <w:noWrap w:val="0"/>
                  <w:vAlign w:val="center"/>
                </w:tcPr>
                <w:p w14:paraId="148A0DD1">
                  <w:pPr>
                    <w:widowControl/>
                    <w:jc w:val="center"/>
                    <w:rPr>
                      <w:rFonts w:ascii="Times New Roman" w:hAnsi="Times New Roman"/>
                      <w:color w:val="auto"/>
                      <w:spacing w:val="-6"/>
                      <w:sz w:val="22"/>
                      <w:szCs w:val="22"/>
                    </w:rPr>
                  </w:pPr>
                  <w:r>
                    <w:rPr>
                      <w:rFonts w:hint="eastAsia" w:ascii="Times New Roman" w:hAnsi="Times New Roman"/>
                      <w:color w:val="auto"/>
                      <w:spacing w:val="-6"/>
                      <w:sz w:val="22"/>
                      <w:szCs w:val="22"/>
                    </w:rPr>
                    <w:t>浓度(mg/m</w:t>
                  </w:r>
                  <w:r>
                    <w:rPr>
                      <w:rFonts w:hint="eastAsia" w:ascii="Times New Roman" w:hAnsi="Times New Roman"/>
                      <w:color w:val="auto"/>
                      <w:spacing w:val="-6"/>
                      <w:sz w:val="22"/>
                      <w:szCs w:val="22"/>
                      <w:vertAlign w:val="superscript"/>
                    </w:rPr>
                    <w:t>3</w:t>
                  </w:r>
                  <w:r>
                    <w:rPr>
                      <w:rFonts w:hint="eastAsia" w:ascii="Times New Roman" w:hAnsi="Times New Roman"/>
                      <w:color w:val="auto"/>
                      <w:spacing w:val="-6"/>
                      <w:sz w:val="22"/>
                      <w:szCs w:val="22"/>
                    </w:rPr>
                    <w:t>)</w:t>
                  </w:r>
                </w:p>
              </w:tc>
              <w:tc>
                <w:tcPr>
                  <w:tcW w:w="796" w:type="dxa"/>
                  <w:tcBorders>
                    <w:tl2br w:val="nil"/>
                    <w:tr2bl w:val="nil"/>
                  </w:tcBorders>
                  <w:noWrap w:val="0"/>
                  <w:vAlign w:val="center"/>
                </w:tcPr>
                <w:p w14:paraId="79EE8D35">
                  <w:pPr>
                    <w:widowControl/>
                    <w:jc w:val="center"/>
                    <w:rPr>
                      <w:rFonts w:ascii="Times New Roman" w:hAnsi="Times New Roman"/>
                      <w:color w:val="auto"/>
                      <w:spacing w:val="-6"/>
                      <w:sz w:val="22"/>
                      <w:szCs w:val="22"/>
                    </w:rPr>
                  </w:pPr>
                  <w:r>
                    <w:rPr>
                      <w:rFonts w:hint="eastAsia" w:ascii="Times New Roman" w:hAnsi="Times New Roman"/>
                      <w:color w:val="auto"/>
                      <w:spacing w:val="-6"/>
                      <w:sz w:val="22"/>
                      <w:szCs w:val="22"/>
                    </w:rPr>
                    <w:t>速率(kg/h)</w:t>
                  </w:r>
                </w:p>
              </w:tc>
              <w:tc>
                <w:tcPr>
                  <w:tcW w:w="646" w:type="dxa"/>
                  <w:vMerge w:val="continue"/>
                  <w:tcBorders>
                    <w:tl2br w:val="nil"/>
                    <w:tr2bl w:val="nil"/>
                  </w:tcBorders>
                  <w:noWrap w:val="0"/>
                  <w:vAlign w:val="center"/>
                </w:tcPr>
                <w:p w14:paraId="4A6FD597">
                  <w:pPr>
                    <w:widowControl/>
                    <w:jc w:val="center"/>
                    <w:rPr>
                      <w:rFonts w:ascii="Times New Roman" w:hAnsi="Times New Roman"/>
                      <w:color w:val="auto"/>
                      <w:spacing w:val="-6"/>
                      <w:sz w:val="22"/>
                      <w:szCs w:val="22"/>
                    </w:rPr>
                  </w:pPr>
                </w:p>
              </w:tc>
              <w:tc>
                <w:tcPr>
                  <w:tcW w:w="683" w:type="dxa"/>
                  <w:vMerge w:val="continue"/>
                  <w:tcBorders>
                    <w:tl2br w:val="nil"/>
                    <w:tr2bl w:val="nil"/>
                  </w:tcBorders>
                  <w:noWrap w:val="0"/>
                  <w:vAlign w:val="center"/>
                </w:tcPr>
                <w:p w14:paraId="4BE51B56">
                  <w:pPr>
                    <w:widowControl/>
                    <w:jc w:val="center"/>
                    <w:rPr>
                      <w:rFonts w:ascii="Times New Roman" w:hAnsi="Times New Roman"/>
                      <w:color w:val="auto"/>
                      <w:spacing w:val="-6"/>
                      <w:sz w:val="22"/>
                      <w:szCs w:val="22"/>
                    </w:rPr>
                  </w:pPr>
                </w:p>
              </w:tc>
            </w:tr>
            <w:tr w14:paraId="008B62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dxa"/>
                  <w:vMerge w:val="restart"/>
                  <w:tcBorders>
                    <w:tl2br w:val="nil"/>
                    <w:tr2bl w:val="nil"/>
                  </w:tcBorders>
                  <w:noWrap w:val="0"/>
                  <w:vAlign w:val="center"/>
                </w:tcPr>
                <w:p w14:paraId="36EAD47C">
                  <w:pPr>
                    <w:widowControl/>
                    <w:jc w:val="center"/>
                    <w:rPr>
                      <w:rFonts w:hint="default" w:ascii="Times New Roman" w:hAnsi="Times New Roman" w:eastAsia="宋体"/>
                      <w:color w:val="auto"/>
                      <w:spacing w:val="-6"/>
                      <w:sz w:val="22"/>
                      <w:szCs w:val="22"/>
                      <w:lang w:val="en-US" w:eastAsia="zh-CN"/>
                    </w:rPr>
                  </w:pPr>
                  <w:r>
                    <w:rPr>
                      <w:rFonts w:hint="eastAsia" w:ascii="Times New Roman" w:hAnsi="Times New Roman"/>
                      <w:color w:val="auto"/>
                      <w:spacing w:val="-6"/>
                      <w:sz w:val="22"/>
                      <w:szCs w:val="22"/>
                      <w:lang w:val="en-US" w:eastAsia="zh-CN"/>
                    </w:rPr>
                    <w:t>DA002</w:t>
                  </w:r>
                </w:p>
              </w:tc>
              <w:tc>
                <w:tcPr>
                  <w:tcW w:w="700" w:type="dxa"/>
                  <w:vMerge w:val="restart"/>
                  <w:tcBorders>
                    <w:tl2br w:val="nil"/>
                    <w:tr2bl w:val="nil"/>
                  </w:tcBorders>
                  <w:noWrap w:val="0"/>
                  <w:vAlign w:val="center"/>
                </w:tcPr>
                <w:p w14:paraId="565BFF76">
                  <w:pPr>
                    <w:jc w:val="center"/>
                    <w:rPr>
                      <w:rFonts w:hint="default" w:ascii="Times New Roman" w:hAnsi="Times New Roman" w:eastAsia="宋体"/>
                      <w:color w:val="auto"/>
                      <w:spacing w:val="-6"/>
                      <w:sz w:val="22"/>
                      <w:szCs w:val="22"/>
                      <w:lang w:val="en-US" w:eastAsia="zh-CN"/>
                    </w:rPr>
                  </w:pPr>
                  <w:r>
                    <w:rPr>
                      <w:rFonts w:hint="eastAsia" w:ascii="Times New Roman" w:hAnsi="Times New Roman"/>
                      <w:color w:val="auto"/>
                      <w:spacing w:val="-6"/>
                      <w:sz w:val="22"/>
                      <w:szCs w:val="22"/>
                      <w:lang w:val="en-US" w:eastAsia="zh-CN"/>
                    </w:rPr>
                    <w:t>2025.9.9</w:t>
                  </w:r>
                </w:p>
              </w:tc>
              <w:tc>
                <w:tcPr>
                  <w:tcW w:w="1211" w:type="dxa"/>
                  <w:tcBorders>
                    <w:tl2br w:val="nil"/>
                    <w:tr2bl w:val="nil"/>
                  </w:tcBorders>
                  <w:noWrap w:val="0"/>
                  <w:vAlign w:val="center"/>
                </w:tcPr>
                <w:p w14:paraId="1876A304">
                  <w:pPr>
                    <w:jc w:val="center"/>
                    <w:rPr>
                      <w:rFonts w:hint="eastAsia" w:ascii="Times New Roman" w:hAnsi="Times New Roman" w:eastAsia="宋体"/>
                      <w:color w:val="auto"/>
                      <w:spacing w:val="-6"/>
                      <w:sz w:val="22"/>
                      <w:szCs w:val="22"/>
                      <w:lang w:val="en-US" w:eastAsia="zh-CN"/>
                    </w:rPr>
                  </w:pPr>
                  <w:r>
                    <w:rPr>
                      <w:rFonts w:hint="eastAsia" w:ascii="Times New Roman" w:hAnsi="Times New Roman"/>
                      <w:color w:val="auto"/>
                      <w:spacing w:val="-6"/>
                      <w:sz w:val="22"/>
                      <w:szCs w:val="22"/>
                      <w:lang w:val="en-US" w:eastAsia="zh-CN"/>
                    </w:rPr>
                    <w:t>颗粒物</w:t>
                  </w:r>
                </w:p>
              </w:tc>
              <w:tc>
                <w:tcPr>
                  <w:tcW w:w="1027" w:type="dxa"/>
                  <w:tcBorders>
                    <w:tl2br w:val="nil"/>
                    <w:tr2bl w:val="nil"/>
                  </w:tcBorders>
                  <w:noWrap w:val="0"/>
                  <w:vAlign w:val="center"/>
                </w:tcPr>
                <w:p w14:paraId="43F0C3A6">
                  <w:pPr>
                    <w:widowControl/>
                    <w:jc w:val="center"/>
                    <w:rPr>
                      <w:rFonts w:hint="default" w:ascii="Times New Roman" w:hAnsi="Times New Roman" w:eastAsia="宋体"/>
                      <w:color w:val="auto"/>
                      <w:spacing w:val="-6"/>
                      <w:sz w:val="22"/>
                      <w:szCs w:val="22"/>
                      <w:lang w:val="en-US" w:eastAsia="zh-CN"/>
                    </w:rPr>
                  </w:pPr>
                  <w:r>
                    <w:rPr>
                      <w:rFonts w:hint="eastAsia" w:ascii="Times New Roman" w:hAnsi="Times New Roman" w:eastAsia="宋体"/>
                      <w:color w:val="auto"/>
                      <w:spacing w:val="-6"/>
                      <w:sz w:val="22"/>
                      <w:szCs w:val="22"/>
                      <w:lang w:val="en-US" w:eastAsia="zh-CN"/>
                    </w:rPr>
                    <w:t>9.8</w:t>
                  </w:r>
                </w:p>
              </w:tc>
              <w:tc>
                <w:tcPr>
                  <w:tcW w:w="1085" w:type="dxa"/>
                  <w:tcBorders>
                    <w:tl2br w:val="nil"/>
                    <w:tr2bl w:val="nil"/>
                  </w:tcBorders>
                  <w:noWrap w:val="0"/>
                  <w:vAlign w:val="center"/>
                </w:tcPr>
                <w:p w14:paraId="00053381">
                  <w:pPr>
                    <w:widowControl/>
                    <w:jc w:val="center"/>
                    <w:rPr>
                      <w:rFonts w:hint="default" w:ascii="Times New Roman" w:hAnsi="Times New Roman" w:eastAsia="宋体"/>
                      <w:color w:val="auto"/>
                      <w:spacing w:val="-6"/>
                      <w:sz w:val="22"/>
                      <w:szCs w:val="22"/>
                      <w:lang w:val="en-US" w:eastAsia="zh-CN"/>
                    </w:rPr>
                  </w:pPr>
                  <w:r>
                    <w:rPr>
                      <w:rFonts w:hint="eastAsia" w:ascii="Times New Roman" w:hAnsi="Times New Roman" w:eastAsia="宋体"/>
                      <w:color w:val="auto"/>
                      <w:spacing w:val="-6"/>
                      <w:sz w:val="22"/>
                      <w:szCs w:val="22"/>
                      <w:lang w:val="en-US" w:eastAsia="zh-CN"/>
                    </w:rPr>
                    <w:t>0.690</w:t>
                  </w:r>
                </w:p>
              </w:tc>
              <w:tc>
                <w:tcPr>
                  <w:tcW w:w="935" w:type="dxa"/>
                  <w:tcBorders>
                    <w:tl2br w:val="nil"/>
                    <w:tr2bl w:val="nil"/>
                  </w:tcBorders>
                  <w:noWrap w:val="0"/>
                  <w:vAlign w:val="center"/>
                </w:tcPr>
                <w:p w14:paraId="350A8712">
                  <w:pPr>
                    <w:widowControl/>
                    <w:jc w:val="center"/>
                    <w:rPr>
                      <w:rFonts w:hint="default" w:ascii="Times New Roman" w:hAnsi="Times New Roman" w:eastAsia="宋体"/>
                      <w:color w:val="auto"/>
                      <w:spacing w:val="-6"/>
                      <w:sz w:val="22"/>
                      <w:szCs w:val="22"/>
                      <w:lang w:val="en-US" w:eastAsia="zh-CN"/>
                    </w:rPr>
                  </w:pPr>
                  <w:r>
                    <w:rPr>
                      <w:rFonts w:hint="eastAsia" w:ascii="Times New Roman" w:hAnsi="Times New Roman"/>
                      <w:color w:val="auto"/>
                      <w:spacing w:val="-6"/>
                      <w:sz w:val="22"/>
                      <w:szCs w:val="22"/>
                      <w:lang w:val="en-US" w:eastAsia="zh-CN"/>
                    </w:rPr>
                    <w:t>30</w:t>
                  </w:r>
                </w:p>
              </w:tc>
              <w:tc>
                <w:tcPr>
                  <w:tcW w:w="796" w:type="dxa"/>
                  <w:tcBorders>
                    <w:tl2br w:val="nil"/>
                    <w:tr2bl w:val="nil"/>
                  </w:tcBorders>
                  <w:noWrap w:val="0"/>
                  <w:vAlign w:val="center"/>
                </w:tcPr>
                <w:p w14:paraId="719C43D9">
                  <w:pPr>
                    <w:widowControl/>
                    <w:jc w:val="center"/>
                    <w:rPr>
                      <w:rFonts w:hint="eastAsia" w:ascii="Times New Roman" w:hAnsi="Times New Roman" w:eastAsia="宋体"/>
                      <w:color w:val="auto"/>
                      <w:spacing w:val="-6"/>
                      <w:sz w:val="22"/>
                      <w:szCs w:val="22"/>
                      <w:lang w:val="en-US" w:eastAsia="zh-CN"/>
                    </w:rPr>
                  </w:pPr>
                  <w:r>
                    <w:rPr>
                      <w:rFonts w:hint="eastAsia" w:ascii="Times New Roman" w:hAnsi="Times New Roman"/>
                      <w:color w:val="auto"/>
                      <w:spacing w:val="-6"/>
                      <w:sz w:val="22"/>
                      <w:szCs w:val="22"/>
                      <w:lang w:val="en-US" w:eastAsia="zh-CN"/>
                    </w:rPr>
                    <w:t>/</w:t>
                  </w:r>
                </w:p>
              </w:tc>
              <w:tc>
                <w:tcPr>
                  <w:tcW w:w="646" w:type="dxa"/>
                  <w:vMerge w:val="restart"/>
                  <w:tcBorders>
                    <w:tl2br w:val="nil"/>
                    <w:tr2bl w:val="nil"/>
                  </w:tcBorders>
                  <w:noWrap w:val="0"/>
                  <w:vAlign w:val="center"/>
                </w:tcPr>
                <w:p w14:paraId="3E126998">
                  <w:pPr>
                    <w:widowControl/>
                    <w:jc w:val="center"/>
                    <w:rPr>
                      <w:rFonts w:hint="default" w:ascii="Times New Roman" w:hAnsi="Times New Roman" w:eastAsia="宋体"/>
                      <w:color w:val="auto"/>
                      <w:spacing w:val="-6"/>
                      <w:sz w:val="22"/>
                      <w:szCs w:val="22"/>
                      <w:lang w:val="en-US" w:eastAsia="zh-CN"/>
                    </w:rPr>
                  </w:pPr>
                  <w:r>
                    <w:rPr>
                      <w:rFonts w:hint="eastAsia" w:ascii="Times New Roman" w:hAnsi="Times New Roman"/>
                      <w:color w:val="auto"/>
                      <w:spacing w:val="-6"/>
                      <w:sz w:val="22"/>
                      <w:szCs w:val="22"/>
                      <w:lang w:val="en-US" w:eastAsia="zh-CN"/>
                    </w:rPr>
                    <w:t>旋风+脉冲袋式除尘器</w:t>
                  </w:r>
                </w:p>
              </w:tc>
              <w:tc>
                <w:tcPr>
                  <w:tcW w:w="683" w:type="dxa"/>
                  <w:tcBorders>
                    <w:tl2br w:val="nil"/>
                    <w:tr2bl w:val="nil"/>
                  </w:tcBorders>
                  <w:noWrap w:val="0"/>
                  <w:vAlign w:val="center"/>
                </w:tcPr>
                <w:p w14:paraId="746FCE1A">
                  <w:pPr>
                    <w:widowControl/>
                    <w:jc w:val="center"/>
                    <w:rPr>
                      <w:rFonts w:ascii="Times New Roman" w:hAnsi="Times New Roman"/>
                      <w:color w:val="auto"/>
                      <w:spacing w:val="-6"/>
                      <w:sz w:val="22"/>
                      <w:szCs w:val="22"/>
                    </w:rPr>
                  </w:pPr>
                  <w:r>
                    <w:rPr>
                      <w:rFonts w:ascii="Times New Roman" w:hAnsi="Times New Roman"/>
                      <w:color w:val="auto"/>
                      <w:spacing w:val="-6"/>
                      <w:sz w:val="22"/>
                      <w:szCs w:val="22"/>
                    </w:rPr>
                    <w:t>达标</w:t>
                  </w:r>
                </w:p>
              </w:tc>
            </w:tr>
            <w:tr w14:paraId="74B67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dxa"/>
                  <w:vMerge w:val="continue"/>
                  <w:tcBorders>
                    <w:tl2br w:val="nil"/>
                    <w:tr2bl w:val="nil"/>
                  </w:tcBorders>
                  <w:noWrap w:val="0"/>
                  <w:vAlign w:val="center"/>
                </w:tcPr>
                <w:p w14:paraId="2C565086">
                  <w:pPr>
                    <w:widowControl/>
                    <w:jc w:val="center"/>
                    <w:rPr>
                      <w:rFonts w:hint="eastAsia"/>
                      <w:color w:val="auto"/>
                      <w:spacing w:val="-6"/>
                      <w:sz w:val="22"/>
                      <w:szCs w:val="22"/>
                    </w:rPr>
                  </w:pPr>
                </w:p>
              </w:tc>
              <w:tc>
                <w:tcPr>
                  <w:tcW w:w="700" w:type="dxa"/>
                  <w:vMerge w:val="continue"/>
                  <w:tcBorders>
                    <w:tl2br w:val="nil"/>
                    <w:tr2bl w:val="nil"/>
                  </w:tcBorders>
                  <w:noWrap w:val="0"/>
                  <w:vAlign w:val="center"/>
                </w:tcPr>
                <w:p w14:paraId="3E771DA0">
                  <w:pPr>
                    <w:widowControl/>
                    <w:jc w:val="center"/>
                    <w:rPr>
                      <w:color w:val="auto"/>
                      <w:spacing w:val="-6"/>
                      <w:sz w:val="22"/>
                      <w:szCs w:val="22"/>
                    </w:rPr>
                  </w:pPr>
                </w:p>
              </w:tc>
              <w:tc>
                <w:tcPr>
                  <w:tcW w:w="1211" w:type="dxa"/>
                  <w:tcBorders>
                    <w:tl2br w:val="nil"/>
                    <w:tr2bl w:val="nil"/>
                  </w:tcBorders>
                  <w:noWrap w:val="0"/>
                  <w:vAlign w:val="center"/>
                </w:tcPr>
                <w:p w14:paraId="5FABE5C3">
                  <w:pPr>
                    <w:jc w:val="center"/>
                    <w:rPr>
                      <w:rFonts w:hint="eastAsia" w:eastAsia="宋体"/>
                      <w:color w:val="auto"/>
                      <w:spacing w:val="-6"/>
                      <w:sz w:val="22"/>
                      <w:szCs w:val="22"/>
                      <w:lang w:val="en-US" w:eastAsia="zh-CN"/>
                    </w:rPr>
                  </w:pPr>
                  <w:r>
                    <w:rPr>
                      <w:rFonts w:hint="eastAsia"/>
                      <w:color w:val="auto"/>
                      <w:spacing w:val="-6"/>
                      <w:sz w:val="22"/>
                      <w:szCs w:val="22"/>
                      <w:lang w:val="en-US" w:eastAsia="zh-CN"/>
                    </w:rPr>
                    <w:t>二氧化硫</w:t>
                  </w:r>
                </w:p>
              </w:tc>
              <w:tc>
                <w:tcPr>
                  <w:tcW w:w="1027" w:type="dxa"/>
                  <w:tcBorders>
                    <w:tl2br w:val="nil"/>
                    <w:tr2bl w:val="nil"/>
                  </w:tcBorders>
                  <w:noWrap w:val="0"/>
                  <w:vAlign w:val="center"/>
                </w:tcPr>
                <w:p w14:paraId="5957B3AA">
                  <w:pPr>
                    <w:widowControl/>
                    <w:jc w:val="center"/>
                    <w:rPr>
                      <w:rFonts w:hint="default" w:eastAsia="宋体"/>
                      <w:color w:val="auto"/>
                      <w:spacing w:val="-6"/>
                      <w:sz w:val="22"/>
                      <w:szCs w:val="22"/>
                      <w:lang w:val="en-US" w:eastAsia="zh-CN"/>
                    </w:rPr>
                  </w:pPr>
                  <w:r>
                    <w:rPr>
                      <w:rFonts w:hint="eastAsia" w:eastAsia="宋体"/>
                      <w:color w:val="auto"/>
                      <w:spacing w:val="-6"/>
                      <w:sz w:val="22"/>
                      <w:szCs w:val="22"/>
                      <w:lang w:val="en-US" w:eastAsia="zh-CN"/>
                    </w:rPr>
                    <w:t>3L</w:t>
                  </w:r>
                </w:p>
              </w:tc>
              <w:tc>
                <w:tcPr>
                  <w:tcW w:w="1085" w:type="dxa"/>
                  <w:tcBorders>
                    <w:tl2br w:val="nil"/>
                    <w:tr2bl w:val="nil"/>
                  </w:tcBorders>
                  <w:noWrap w:val="0"/>
                  <w:vAlign w:val="center"/>
                </w:tcPr>
                <w:p w14:paraId="794C353A">
                  <w:pPr>
                    <w:widowControl/>
                    <w:jc w:val="center"/>
                    <w:rPr>
                      <w:rFonts w:hint="default" w:ascii="Times New Roman" w:hAnsi="Times New Roman" w:eastAsia="宋体"/>
                      <w:color w:val="auto"/>
                      <w:spacing w:val="-6"/>
                      <w:sz w:val="22"/>
                      <w:szCs w:val="22"/>
                      <w:lang w:val="en-US" w:eastAsia="zh-CN"/>
                    </w:rPr>
                  </w:pPr>
                  <w:r>
                    <w:rPr>
                      <w:rFonts w:hint="eastAsia" w:ascii="Times New Roman" w:hAnsi="Times New Roman" w:eastAsia="宋体"/>
                      <w:color w:val="auto"/>
                      <w:spacing w:val="-6"/>
                      <w:sz w:val="22"/>
                      <w:szCs w:val="22"/>
                      <w:lang w:val="en-US" w:eastAsia="zh-CN"/>
                    </w:rPr>
                    <w:t>N</w:t>
                  </w:r>
                </w:p>
              </w:tc>
              <w:tc>
                <w:tcPr>
                  <w:tcW w:w="935" w:type="dxa"/>
                  <w:tcBorders>
                    <w:tl2br w:val="nil"/>
                    <w:tr2bl w:val="nil"/>
                  </w:tcBorders>
                  <w:noWrap w:val="0"/>
                  <w:vAlign w:val="center"/>
                </w:tcPr>
                <w:p w14:paraId="223CD1E4">
                  <w:pPr>
                    <w:widowControl/>
                    <w:jc w:val="center"/>
                    <w:rPr>
                      <w:rFonts w:hint="default" w:eastAsia="宋体"/>
                      <w:color w:val="auto"/>
                      <w:spacing w:val="-6"/>
                      <w:sz w:val="22"/>
                      <w:szCs w:val="22"/>
                      <w:lang w:val="en-US" w:eastAsia="zh-CN"/>
                    </w:rPr>
                  </w:pPr>
                  <w:r>
                    <w:rPr>
                      <w:rFonts w:hint="eastAsia"/>
                      <w:color w:val="auto"/>
                      <w:spacing w:val="-6"/>
                      <w:sz w:val="22"/>
                      <w:szCs w:val="22"/>
                      <w:lang w:val="en-US" w:eastAsia="zh-CN"/>
                    </w:rPr>
                    <w:t>100</w:t>
                  </w:r>
                </w:p>
              </w:tc>
              <w:tc>
                <w:tcPr>
                  <w:tcW w:w="796" w:type="dxa"/>
                  <w:tcBorders>
                    <w:tl2br w:val="nil"/>
                    <w:tr2bl w:val="nil"/>
                  </w:tcBorders>
                  <w:noWrap w:val="0"/>
                  <w:vAlign w:val="center"/>
                </w:tcPr>
                <w:p w14:paraId="25482EED">
                  <w:pPr>
                    <w:widowControl/>
                    <w:jc w:val="center"/>
                    <w:rPr>
                      <w:rFonts w:hint="eastAsia" w:ascii="Times New Roman" w:hAnsi="Times New Roman" w:eastAsia="宋体"/>
                      <w:color w:val="auto"/>
                      <w:spacing w:val="-6"/>
                      <w:sz w:val="22"/>
                      <w:szCs w:val="22"/>
                      <w:lang w:val="en-US" w:eastAsia="zh-CN"/>
                    </w:rPr>
                  </w:pPr>
                  <w:r>
                    <w:rPr>
                      <w:rFonts w:hint="eastAsia" w:ascii="Times New Roman" w:hAnsi="Times New Roman"/>
                      <w:color w:val="auto"/>
                      <w:spacing w:val="-6"/>
                      <w:sz w:val="22"/>
                      <w:szCs w:val="22"/>
                      <w:lang w:val="en-US" w:eastAsia="zh-CN"/>
                    </w:rPr>
                    <w:t>/</w:t>
                  </w:r>
                </w:p>
              </w:tc>
              <w:tc>
                <w:tcPr>
                  <w:tcW w:w="646" w:type="dxa"/>
                  <w:vMerge w:val="continue"/>
                  <w:tcBorders>
                    <w:tl2br w:val="nil"/>
                    <w:tr2bl w:val="nil"/>
                  </w:tcBorders>
                  <w:noWrap w:val="0"/>
                  <w:vAlign w:val="center"/>
                </w:tcPr>
                <w:p w14:paraId="479B24E9">
                  <w:pPr>
                    <w:widowControl/>
                    <w:jc w:val="center"/>
                    <w:rPr>
                      <w:rFonts w:hint="eastAsia"/>
                      <w:color w:val="auto"/>
                      <w:spacing w:val="-6"/>
                      <w:sz w:val="22"/>
                      <w:szCs w:val="22"/>
                    </w:rPr>
                  </w:pPr>
                </w:p>
              </w:tc>
              <w:tc>
                <w:tcPr>
                  <w:tcW w:w="683" w:type="dxa"/>
                  <w:tcBorders>
                    <w:tl2br w:val="nil"/>
                    <w:tr2bl w:val="nil"/>
                  </w:tcBorders>
                  <w:noWrap w:val="0"/>
                  <w:vAlign w:val="center"/>
                </w:tcPr>
                <w:p w14:paraId="171A0F4F">
                  <w:pPr>
                    <w:widowControl/>
                    <w:jc w:val="center"/>
                    <w:rPr>
                      <w:rFonts w:hint="eastAsia"/>
                      <w:color w:val="auto"/>
                      <w:spacing w:val="-6"/>
                      <w:sz w:val="22"/>
                      <w:szCs w:val="22"/>
                    </w:rPr>
                  </w:pPr>
                  <w:r>
                    <w:rPr>
                      <w:rFonts w:ascii="Times New Roman" w:hAnsi="Times New Roman"/>
                      <w:color w:val="auto"/>
                      <w:spacing w:val="-6"/>
                      <w:sz w:val="22"/>
                      <w:szCs w:val="22"/>
                    </w:rPr>
                    <w:t>达标</w:t>
                  </w:r>
                </w:p>
              </w:tc>
            </w:tr>
            <w:tr w14:paraId="2BA533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dxa"/>
                  <w:vMerge w:val="continue"/>
                  <w:tcBorders>
                    <w:tl2br w:val="nil"/>
                    <w:tr2bl w:val="nil"/>
                  </w:tcBorders>
                  <w:noWrap w:val="0"/>
                  <w:vAlign w:val="center"/>
                </w:tcPr>
                <w:p w14:paraId="64516CBF">
                  <w:pPr>
                    <w:widowControl/>
                    <w:jc w:val="center"/>
                    <w:rPr>
                      <w:rFonts w:hint="eastAsia"/>
                      <w:color w:val="auto"/>
                      <w:spacing w:val="-6"/>
                      <w:sz w:val="22"/>
                      <w:szCs w:val="22"/>
                    </w:rPr>
                  </w:pPr>
                </w:p>
              </w:tc>
              <w:tc>
                <w:tcPr>
                  <w:tcW w:w="700" w:type="dxa"/>
                  <w:vMerge w:val="continue"/>
                  <w:tcBorders>
                    <w:tl2br w:val="nil"/>
                    <w:tr2bl w:val="nil"/>
                  </w:tcBorders>
                  <w:noWrap w:val="0"/>
                  <w:vAlign w:val="center"/>
                </w:tcPr>
                <w:p w14:paraId="72855263">
                  <w:pPr>
                    <w:widowControl/>
                    <w:jc w:val="center"/>
                    <w:rPr>
                      <w:color w:val="auto"/>
                      <w:spacing w:val="-6"/>
                      <w:sz w:val="22"/>
                      <w:szCs w:val="22"/>
                    </w:rPr>
                  </w:pPr>
                </w:p>
              </w:tc>
              <w:tc>
                <w:tcPr>
                  <w:tcW w:w="1211" w:type="dxa"/>
                  <w:tcBorders>
                    <w:tl2br w:val="nil"/>
                    <w:tr2bl w:val="nil"/>
                  </w:tcBorders>
                  <w:noWrap w:val="0"/>
                  <w:vAlign w:val="center"/>
                </w:tcPr>
                <w:p w14:paraId="5E468896">
                  <w:pPr>
                    <w:jc w:val="center"/>
                    <w:rPr>
                      <w:rFonts w:hint="eastAsia" w:ascii="Times New Roman" w:hAnsi="Times New Roman" w:eastAsia="宋体"/>
                      <w:color w:val="auto"/>
                      <w:spacing w:val="-6"/>
                      <w:sz w:val="22"/>
                      <w:szCs w:val="22"/>
                      <w:lang w:val="en-US" w:eastAsia="zh-CN"/>
                    </w:rPr>
                  </w:pPr>
                  <w:r>
                    <w:rPr>
                      <w:rFonts w:hint="eastAsia" w:ascii="Times New Roman" w:hAnsi="Times New Roman"/>
                      <w:color w:val="auto"/>
                      <w:spacing w:val="-6"/>
                      <w:sz w:val="22"/>
                      <w:szCs w:val="22"/>
                      <w:lang w:val="en-US" w:eastAsia="zh-CN"/>
                    </w:rPr>
                    <w:t>氮氧化物</w:t>
                  </w:r>
                </w:p>
              </w:tc>
              <w:tc>
                <w:tcPr>
                  <w:tcW w:w="1027" w:type="dxa"/>
                  <w:tcBorders>
                    <w:tl2br w:val="nil"/>
                    <w:tr2bl w:val="nil"/>
                  </w:tcBorders>
                  <w:noWrap w:val="0"/>
                  <w:vAlign w:val="center"/>
                </w:tcPr>
                <w:p w14:paraId="764E1896">
                  <w:pPr>
                    <w:widowControl/>
                    <w:jc w:val="center"/>
                    <w:rPr>
                      <w:rFonts w:hint="default" w:eastAsia="宋体"/>
                      <w:color w:val="auto"/>
                      <w:spacing w:val="-6"/>
                      <w:sz w:val="22"/>
                      <w:szCs w:val="22"/>
                      <w:lang w:val="en-US" w:eastAsia="zh-CN"/>
                    </w:rPr>
                  </w:pPr>
                  <w:r>
                    <w:rPr>
                      <w:rFonts w:hint="eastAsia" w:eastAsia="宋体"/>
                      <w:color w:val="auto"/>
                      <w:spacing w:val="-6"/>
                      <w:sz w:val="22"/>
                      <w:szCs w:val="22"/>
                      <w:lang w:val="en-US" w:eastAsia="zh-CN"/>
                    </w:rPr>
                    <w:t>25</w:t>
                  </w:r>
                </w:p>
              </w:tc>
              <w:tc>
                <w:tcPr>
                  <w:tcW w:w="1085" w:type="dxa"/>
                  <w:tcBorders>
                    <w:tl2br w:val="nil"/>
                    <w:tr2bl w:val="nil"/>
                  </w:tcBorders>
                  <w:noWrap w:val="0"/>
                  <w:vAlign w:val="center"/>
                </w:tcPr>
                <w:p w14:paraId="791D8861">
                  <w:pPr>
                    <w:widowControl/>
                    <w:jc w:val="center"/>
                    <w:rPr>
                      <w:rFonts w:hint="default" w:ascii="Times New Roman" w:hAnsi="Times New Roman" w:eastAsia="宋体"/>
                      <w:color w:val="auto"/>
                      <w:spacing w:val="-6"/>
                      <w:sz w:val="22"/>
                      <w:szCs w:val="22"/>
                      <w:lang w:val="en-US" w:eastAsia="zh-CN"/>
                    </w:rPr>
                  </w:pPr>
                  <w:r>
                    <w:rPr>
                      <w:rFonts w:hint="eastAsia" w:ascii="Times New Roman" w:hAnsi="Times New Roman" w:eastAsia="宋体"/>
                      <w:color w:val="auto"/>
                      <w:spacing w:val="-6"/>
                      <w:sz w:val="22"/>
                      <w:szCs w:val="22"/>
                      <w:lang w:val="en-US" w:eastAsia="zh-CN"/>
                    </w:rPr>
                    <w:t>1.7</w:t>
                  </w:r>
                </w:p>
              </w:tc>
              <w:tc>
                <w:tcPr>
                  <w:tcW w:w="935" w:type="dxa"/>
                  <w:tcBorders>
                    <w:tl2br w:val="nil"/>
                    <w:tr2bl w:val="nil"/>
                  </w:tcBorders>
                  <w:noWrap w:val="0"/>
                  <w:vAlign w:val="center"/>
                </w:tcPr>
                <w:p w14:paraId="76136158">
                  <w:pPr>
                    <w:widowControl/>
                    <w:jc w:val="center"/>
                    <w:rPr>
                      <w:rFonts w:hint="default" w:eastAsia="宋体"/>
                      <w:color w:val="auto"/>
                      <w:spacing w:val="-6"/>
                      <w:sz w:val="22"/>
                      <w:szCs w:val="22"/>
                      <w:lang w:val="en-US" w:eastAsia="zh-CN"/>
                    </w:rPr>
                  </w:pPr>
                  <w:r>
                    <w:rPr>
                      <w:rFonts w:hint="eastAsia"/>
                      <w:color w:val="auto"/>
                      <w:spacing w:val="-6"/>
                      <w:sz w:val="22"/>
                      <w:szCs w:val="22"/>
                      <w:lang w:val="en-US" w:eastAsia="zh-CN"/>
                    </w:rPr>
                    <w:t>300</w:t>
                  </w:r>
                </w:p>
              </w:tc>
              <w:tc>
                <w:tcPr>
                  <w:tcW w:w="796" w:type="dxa"/>
                  <w:tcBorders>
                    <w:tl2br w:val="nil"/>
                    <w:tr2bl w:val="nil"/>
                  </w:tcBorders>
                  <w:noWrap w:val="0"/>
                  <w:vAlign w:val="center"/>
                </w:tcPr>
                <w:p w14:paraId="2E6B2F4C">
                  <w:pPr>
                    <w:widowControl/>
                    <w:jc w:val="center"/>
                    <w:rPr>
                      <w:rFonts w:hint="eastAsia" w:ascii="Times New Roman" w:hAnsi="Times New Roman" w:eastAsia="宋体"/>
                      <w:color w:val="auto"/>
                      <w:spacing w:val="-6"/>
                      <w:sz w:val="22"/>
                      <w:szCs w:val="22"/>
                      <w:lang w:val="en-US" w:eastAsia="zh-CN"/>
                    </w:rPr>
                  </w:pPr>
                  <w:r>
                    <w:rPr>
                      <w:rFonts w:hint="eastAsia" w:ascii="Times New Roman" w:hAnsi="Times New Roman"/>
                      <w:color w:val="auto"/>
                      <w:spacing w:val="-6"/>
                      <w:sz w:val="22"/>
                      <w:szCs w:val="22"/>
                      <w:lang w:val="en-US" w:eastAsia="zh-CN"/>
                    </w:rPr>
                    <w:t>/</w:t>
                  </w:r>
                </w:p>
              </w:tc>
              <w:tc>
                <w:tcPr>
                  <w:tcW w:w="646" w:type="dxa"/>
                  <w:vMerge w:val="continue"/>
                  <w:tcBorders>
                    <w:tl2br w:val="nil"/>
                    <w:tr2bl w:val="nil"/>
                  </w:tcBorders>
                  <w:noWrap w:val="0"/>
                  <w:vAlign w:val="center"/>
                </w:tcPr>
                <w:p w14:paraId="2FA6BC94">
                  <w:pPr>
                    <w:widowControl/>
                    <w:jc w:val="center"/>
                    <w:rPr>
                      <w:rFonts w:hint="eastAsia"/>
                      <w:color w:val="auto"/>
                      <w:spacing w:val="-6"/>
                      <w:sz w:val="22"/>
                      <w:szCs w:val="22"/>
                    </w:rPr>
                  </w:pPr>
                </w:p>
              </w:tc>
              <w:tc>
                <w:tcPr>
                  <w:tcW w:w="683" w:type="dxa"/>
                  <w:tcBorders>
                    <w:tl2br w:val="nil"/>
                    <w:tr2bl w:val="nil"/>
                  </w:tcBorders>
                  <w:noWrap w:val="0"/>
                  <w:vAlign w:val="center"/>
                </w:tcPr>
                <w:p w14:paraId="2B11703E">
                  <w:pPr>
                    <w:widowControl/>
                    <w:jc w:val="center"/>
                    <w:rPr>
                      <w:rFonts w:ascii="Times New Roman" w:hAnsi="Times New Roman"/>
                      <w:color w:val="auto"/>
                      <w:spacing w:val="-6"/>
                      <w:sz w:val="22"/>
                      <w:szCs w:val="22"/>
                    </w:rPr>
                  </w:pPr>
                  <w:r>
                    <w:rPr>
                      <w:rFonts w:ascii="Times New Roman" w:hAnsi="Times New Roman"/>
                      <w:color w:val="auto"/>
                      <w:spacing w:val="-6"/>
                      <w:sz w:val="22"/>
                      <w:szCs w:val="22"/>
                    </w:rPr>
                    <w:t>达标</w:t>
                  </w:r>
                </w:p>
              </w:tc>
            </w:tr>
            <w:tr w14:paraId="7C7C7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dxa"/>
                  <w:vMerge w:val="continue"/>
                  <w:tcBorders>
                    <w:tl2br w:val="nil"/>
                    <w:tr2bl w:val="nil"/>
                  </w:tcBorders>
                  <w:noWrap w:val="0"/>
                  <w:vAlign w:val="center"/>
                </w:tcPr>
                <w:p w14:paraId="338BC0A3">
                  <w:pPr>
                    <w:widowControl/>
                    <w:jc w:val="center"/>
                    <w:rPr>
                      <w:rFonts w:hint="eastAsia"/>
                      <w:color w:val="auto"/>
                      <w:spacing w:val="-6"/>
                      <w:sz w:val="22"/>
                      <w:szCs w:val="22"/>
                    </w:rPr>
                  </w:pPr>
                </w:p>
              </w:tc>
              <w:tc>
                <w:tcPr>
                  <w:tcW w:w="700" w:type="dxa"/>
                  <w:vMerge w:val="continue"/>
                  <w:tcBorders>
                    <w:tl2br w:val="nil"/>
                    <w:tr2bl w:val="nil"/>
                  </w:tcBorders>
                  <w:noWrap w:val="0"/>
                  <w:vAlign w:val="center"/>
                </w:tcPr>
                <w:p w14:paraId="3425CDD6">
                  <w:pPr>
                    <w:widowControl/>
                    <w:jc w:val="center"/>
                    <w:rPr>
                      <w:color w:val="auto"/>
                      <w:spacing w:val="-6"/>
                      <w:sz w:val="22"/>
                      <w:szCs w:val="22"/>
                    </w:rPr>
                  </w:pPr>
                </w:p>
              </w:tc>
              <w:tc>
                <w:tcPr>
                  <w:tcW w:w="1211" w:type="dxa"/>
                  <w:tcBorders>
                    <w:tl2br w:val="nil"/>
                    <w:tr2bl w:val="nil"/>
                  </w:tcBorders>
                  <w:noWrap w:val="0"/>
                  <w:vAlign w:val="center"/>
                </w:tcPr>
                <w:p w14:paraId="0BEDA716">
                  <w:pPr>
                    <w:jc w:val="center"/>
                    <w:rPr>
                      <w:rFonts w:hint="eastAsia" w:ascii="Times New Roman" w:hAnsi="Times New Roman" w:eastAsia="宋体"/>
                      <w:color w:val="auto"/>
                      <w:spacing w:val="-6"/>
                      <w:sz w:val="22"/>
                      <w:szCs w:val="22"/>
                      <w:lang w:val="en-US" w:eastAsia="zh-CN"/>
                    </w:rPr>
                  </w:pPr>
                  <w:r>
                    <w:rPr>
                      <w:rFonts w:hint="eastAsia" w:ascii="Times New Roman" w:hAnsi="Times New Roman"/>
                      <w:color w:val="auto"/>
                      <w:spacing w:val="-6"/>
                      <w:sz w:val="22"/>
                      <w:szCs w:val="22"/>
                      <w:lang w:val="en-US" w:eastAsia="zh-CN"/>
                    </w:rPr>
                    <w:t>氯化氢</w:t>
                  </w:r>
                </w:p>
              </w:tc>
              <w:tc>
                <w:tcPr>
                  <w:tcW w:w="1027" w:type="dxa"/>
                  <w:tcBorders>
                    <w:tl2br w:val="nil"/>
                    <w:tr2bl w:val="nil"/>
                  </w:tcBorders>
                  <w:noWrap w:val="0"/>
                  <w:vAlign w:val="center"/>
                </w:tcPr>
                <w:p w14:paraId="7E4B378F">
                  <w:pPr>
                    <w:widowControl/>
                    <w:jc w:val="center"/>
                    <w:rPr>
                      <w:rFonts w:hint="default" w:eastAsia="宋体"/>
                      <w:color w:val="auto"/>
                      <w:spacing w:val="-6"/>
                      <w:sz w:val="22"/>
                      <w:szCs w:val="22"/>
                      <w:lang w:val="en-US" w:eastAsia="zh-CN"/>
                    </w:rPr>
                  </w:pPr>
                  <w:r>
                    <w:rPr>
                      <w:rFonts w:hint="eastAsia" w:eastAsia="宋体"/>
                      <w:color w:val="auto"/>
                      <w:spacing w:val="-6"/>
                      <w:sz w:val="22"/>
                      <w:szCs w:val="22"/>
                      <w:lang w:val="en-US" w:eastAsia="zh-CN"/>
                    </w:rPr>
                    <w:t>6.9</w:t>
                  </w:r>
                </w:p>
              </w:tc>
              <w:tc>
                <w:tcPr>
                  <w:tcW w:w="1085" w:type="dxa"/>
                  <w:tcBorders>
                    <w:tl2br w:val="nil"/>
                    <w:tr2bl w:val="nil"/>
                  </w:tcBorders>
                  <w:noWrap w:val="0"/>
                  <w:vAlign w:val="center"/>
                </w:tcPr>
                <w:p w14:paraId="26D908BB">
                  <w:pPr>
                    <w:widowControl/>
                    <w:jc w:val="center"/>
                    <w:rPr>
                      <w:rFonts w:hint="default" w:ascii="Times New Roman" w:hAnsi="Times New Roman" w:eastAsia="宋体"/>
                      <w:color w:val="auto"/>
                      <w:spacing w:val="-6"/>
                      <w:sz w:val="22"/>
                      <w:szCs w:val="22"/>
                      <w:lang w:val="en-US" w:eastAsia="zh-CN"/>
                    </w:rPr>
                  </w:pPr>
                  <w:r>
                    <w:rPr>
                      <w:rFonts w:hint="eastAsia" w:ascii="Times New Roman" w:hAnsi="Times New Roman" w:eastAsia="宋体"/>
                      <w:color w:val="auto"/>
                      <w:spacing w:val="-6"/>
                      <w:sz w:val="22"/>
                      <w:szCs w:val="22"/>
                      <w:lang w:val="en-US" w:eastAsia="zh-CN"/>
                    </w:rPr>
                    <w:t>0.435</w:t>
                  </w:r>
                </w:p>
              </w:tc>
              <w:tc>
                <w:tcPr>
                  <w:tcW w:w="935" w:type="dxa"/>
                  <w:tcBorders>
                    <w:tl2br w:val="nil"/>
                    <w:tr2bl w:val="nil"/>
                  </w:tcBorders>
                  <w:noWrap w:val="0"/>
                  <w:vAlign w:val="center"/>
                </w:tcPr>
                <w:p w14:paraId="63BF8913">
                  <w:pPr>
                    <w:widowControl/>
                    <w:jc w:val="center"/>
                    <w:rPr>
                      <w:rFonts w:hint="default" w:eastAsia="宋体"/>
                      <w:color w:val="auto"/>
                      <w:spacing w:val="-6"/>
                      <w:sz w:val="22"/>
                      <w:szCs w:val="22"/>
                      <w:lang w:val="en-US" w:eastAsia="zh-CN"/>
                    </w:rPr>
                  </w:pPr>
                  <w:r>
                    <w:rPr>
                      <w:rFonts w:hint="eastAsia"/>
                      <w:color w:val="auto"/>
                      <w:spacing w:val="-6"/>
                      <w:sz w:val="22"/>
                      <w:szCs w:val="22"/>
                      <w:lang w:val="en-US" w:eastAsia="zh-CN"/>
                    </w:rPr>
                    <w:t>100</w:t>
                  </w:r>
                </w:p>
              </w:tc>
              <w:tc>
                <w:tcPr>
                  <w:tcW w:w="796" w:type="dxa"/>
                  <w:tcBorders>
                    <w:tl2br w:val="nil"/>
                    <w:tr2bl w:val="nil"/>
                  </w:tcBorders>
                  <w:noWrap w:val="0"/>
                  <w:vAlign w:val="center"/>
                </w:tcPr>
                <w:p w14:paraId="1C94047B">
                  <w:pPr>
                    <w:widowControl/>
                    <w:jc w:val="center"/>
                    <w:rPr>
                      <w:rFonts w:hint="default" w:ascii="Times New Roman" w:hAnsi="Times New Roman" w:eastAsia="宋体"/>
                      <w:color w:val="auto"/>
                      <w:spacing w:val="-6"/>
                      <w:sz w:val="22"/>
                      <w:szCs w:val="22"/>
                      <w:lang w:val="en-US" w:eastAsia="zh-CN"/>
                    </w:rPr>
                  </w:pPr>
                  <w:r>
                    <w:rPr>
                      <w:rFonts w:hint="eastAsia" w:ascii="Times New Roman" w:hAnsi="Times New Roman"/>
                      <w:color w:val="auto"/>
                      <w:spacing w:val="-6"/>
                      <w:sz w:val="22"/>
                      <w:szCs w:val="22"/>
                      <w:lang w:val="en-US" w:eastAsia="zh-CN"/>
                    </w:rPr>
                    <w:t>0.53</w:t>
                  </w:r>
                </w:p>
              </w:tc>
              <w:tc>
                <w:tcPr>
                  <w:tcW w:w="646" w:type="dxa"/>
                  <w:vMerge w:val="continue"/>
                  <w:tcBorders>
                    <w:tl2br w:val="nil"/>
                    <w:tr2bl w:val="nil"/>
                  </w:tcBorders>
                  <w:noWrap w:val="0"/>
                  <w:vAlign w:val="center"/>
                </w:tcPr>
                <w:p w14:paraId="025FF47F">
                  <w:pPr>
                    <w:widowControl/>
                    <w:jc w:val="center"/>
                    <w:rPr>
                      <w:rFonts w:hint="eastAsia"/>
                      <w:color w:val="auto"/>
                      <w:spacing w:val="-6"/>
                      <w:sz w:val="22"/>
                      <w:szCs w:val="22"/>
                    </w:rPr>
                  </w:pPr>
                </w:p>
              </w:tc>
              <w:tc>
                <w:tcPr>
                  <w:tcW w:w="683" w:type="dxa"/>
                  <w:tcBorders>
                    <w:tl2br w:val="nil"/>
                    <w:tr2bl w:val="nil"/>
                  </w:tcBorders>
                  <w:noWrap w:val="0"/>
                  <w:vAlign w:val="center"/>
                </w:tcPr>
                <w:p w14:paraId="3DC47C2D">
                  <w:pPr>
                    <w:widowControl/>
                    <w:jc w:val="center"/>
                    <w:rPr>
                      <w:rFonts w:ascii="Times New Roman" w:hAnsi="Times New Roman"/>
                      <w:color w:val="auto"/>
                      <w:spacing w:val="-6"/>
                      <w:sz w:val="22"/>
                      <w:szCs w:val="22"/>
                    </w:rPr>
                  </w:pPr>
                  <w:r>
                    <w:rPr>
                      <w:rFonts w:ascii="Times New Roman" w:hAnsi="Times New Roman"/>
                      <w:color w:val="auto"/>
                      <w:spacing w:val="-6"/>
                      <w:sz w:val="22"/>
                      <w:szCs w:val="22"/>
                    </w:rPr>
                    <w:t>达标</w:t>
                  </w:r>
                </w:p>
              </w:tc>
            </w:tr>
            <w:tr w14:paraId="1C1A6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dxa"/>
                  <w:vMerge w:val="continue"/>
                  <w:tcBorders>
                    <w:tl2br w:val="nil"/>
                    <w:tr2bl w:val="nil"/>
                  </w:tcBorders>
                  <w:noWrap w:val="0"/>
                  <w:vAlign w:val="center"/>
                </w:tcPr>
                <w:p w14:paraId="63C154B1">
                  <w:pPr>
                    <w:widowControl/>
                    <w:jc w:val="center"/>
                    <w:rPr>
                      <w:rFonts w:hint="eastAsia"/>
                      <w:color w:val="auto"/>
                      <w:spacing w:val="-6"/>
                      <w:sz w:val="22"/>
                      <w:szCs w:val="22"/>
                    </w:rPr>
                  </w:pPr>
                </w:p>
              </w:tc>
              <w:tc>
                <w:tcPr>
                  <w:tcW w:w="700" w:type="dxa"/>
                  <w:vMerge w:val="continue"/>
                  <w:tcBorders>
                    <w:tl2br w:val="nil"/>
                    <w:tr2bl w:val="nil"/>
                  </w:tcBorders>
                  <w:noWrap w:val="0"/>
                  <w:vAlign w:val="center"/>
                </w:tcPr>
                <w:p w14:paraId="663B2D1E">
                  <w:pPr>
                    <w:widowControl/>
                    <w:jc w:val="center"/>
                    <w:rPr>
                      <w:color w:val="auto"/>
                      <w:spacing w:val="-6"/>
                      <w:sz w:val="22"/>
                      <w:szCs w:val="22"/>
                    </w:rPr>
                  </w:pPr>
                </w:p>
              </w:tc>
              <w:tc>
                <w:tcPr>
                  <w:tcW w:w="1211" w:type="dxa"/>
                  <w:tcBorders>
                    <w:tl2br w:val="nil"/>
                    <w:tr2bl w:val="nil"/>
                  </w:tcBorders>
                  <w:noWrap w:val="0"/>
                  <w:vAlign w:val="center"/>
                </w:tcPr>
                <w:p w14:paraId="14734F70">
                  <w:pPr>
                    <w:jc w:val="center"/>
                    <w:rPr>
                      <w:rFonts w:hint="eastAsia" w:ascii="Times New Roman" w:hAnsi="Times New Roman" w:eastAsia="宋体"/>
                      <w:color w:val="auto"/>
                      <w:spacing w:val="-6"/>
                      <w:sz w:val="22"/>
                      <w:szCs w:val="22"/>
                      <w:lang w:val="en-US" w:eastAsia="zh-CN"/>
                    </w:rPr>
                  </w:pPr>
                  <w:r>
                    <w:rPr>
                      <w:rFonts w:hint="eastAsia" w:ascii="Times New Roman" w:hAnsi="Times New Roman"/>
                      <w:color w:val="auto"/>
                      <w:spacing w:val="-6"/>
                      <w:sz w:val="22"/>
                      <w:szCs w:val="22"/>
                      <w:lang w:val="en-US" w:eastAsia="zh-CN"/>
                    </w:rPr>
                    <w:t>氟化物</w:t>
                  </w:r>
                </w:p>
              </w:tc>
              <w:tc>
                <w:tcPr>
                  <w:tcW w:w="1027" w:type="dxa"/>
                  <w:tcBorders>
                    <w:tl2br w:val="nil"/>
                    <w:tr2bl w:val="nil"/>
                  </w:tcBorders>
                  <w:noWrap w:val="0"/>
                  <w:vAlign w:val="center"/>
                </w:tcPr>
                <w:p w14:paraId="1530D708">
                  <w:pPr>
                    <w:widowControl/>
                    <w:jc w:val="center"/>
                    <w:rPr>
                      <w:rFonts w:hint="default" w:eastAsia="宋体"/>
                      <w:color w:val="auto"/>
                      <w:spacing w:val="-6"/>
                      <w:sz w:val="22"/>
                      <w:szCs w:val="22"/>
                      <w:lang w:val="en-US" w:eastAsia="zh-CN"/>
                    </w:rPr>
                  </w:pPr>
                  <w:r>
                    <w:rPr>
                      <w:rFonts w:hint="eastAsia" w:eastAsia="宋体"/>
                      <w:color w:val="auto"/>
                      <w:spacing w:val="-6"/>
                      <w:sz w:val="22"/>
                      <w:szCs w:val="22"/>
                      <w:lang w:val="en-US" w:eastAsia="zh-CN"/>
                    </w:rPr>
                    <w:t>0.3</w:t>
                  </w:r>
                </w:p>
              </w:tc>
              <w:tc>
                <w:tcPr>
                  <w:tcW w:w="1085" w:type="dxa"/>
                  <w:tcBorders>
                    <w:tl2br w:val="nil"/>
                    <w:tr2bl w:val="nil"/>
                  </w:tcBorders>
                  <w:noWrap w:val="0"/>
                  <w:vAlign w:val="center"/>
                </w:tcPr>
                <w:p w14:paraId="0EFEC88B">
                  <w:pPr>
                    <w:widowControl/>
                    <w:jc w:val="center"/>
                    <w:rPr>
                      <w:rFonts w:hint="default" w:ascii="Times New Roman" w:hAnsi="Times New Roman" w:eastAsia="宋体"/>
                      <w:color w:val="auto"/>
                      <w:spacing w:val="-6"/>
                      <w:sz w:val="22"/>
                      <w:szCs w:val="22"/>
                      <w:lang w:val="en-US" w:eastAsia="zh-CN"/>
                    </w:rPr>
                  </w:pPr>
                  <w:r>
                    <w:rPr>
                      <w:rFonts w:hint="eastAsia" w:ascii="Times New Roman" w:hAnsi="Times New Roman" w:eastAsia="宋体"/>
                      <w:color w:val="auto"/>
                      <w:spacing w:val="-6"/>
                      <w:sz w:val="22"/>
                      <w:szCs w:val="22"/>
                      <w:lang w:val="en-US" w:eastAsia="zh-CN"/>
                    </w:rPr>
                    <w:t>2.05</w:t>
                  </w:r>
                  <w:r>
                    <w:rPr>
                      <w:rFonts w:hint="default" w:ascii="Times New Roman" w:hAnsi="Times New Roman" w:eastAsia="宋体"/>
                      <w:color w:val="auto"/>
                      <w:spacing w:val="-6"/>
                      <w:sz w:val="22"/>
                      <w:szCs w:val="22"/>
                      <w:lang w:val="en-US" w:eastAsia="zh-CN"/>
                    </w:rPr>
                    <w:t>×10</w:t>
                  </w:r>
                  <w:r>
                    <w:rPr>
                      <w:rFonts w:hint="eastAsia" w:ascii="Times New Roman" w:hAnsi="Times New Roman" w:eastAsia="宋体"/>
                      <w:color w:val="auto"/>
                      <w:spacing w:val="-6"/>
                      <w:sz w:val="22"/>
                      <w:szCs w:val="22"/>
                      <w:vertAlign w:val="superscript"/>
                      <w:lang w:val="en-US" w:eastAsia="zh-CN"/>
                    </w:rPr>
                    <w:t>-2</w:t>
                  </w:r>
                </w:p>
              </w:tc>
              <w:tc>
                <w:tcPr>
                  <w:tcW w:w="935" w:type="dxa"/>
                  <w:tcBorders>
                    <w:tl2br w:val="nil"/>
                    <w:tr2bl w:val="nil"/>
                  </w:tcBorders>
                  <w:noWrap w:val="0"/>
                  <w:vAlign w:val="center"/>
                </w:tcPr>
                <w:p w14:paraId="3323A26C">
                  <w:pPr>
                    <w:widowControl/>
                    <w:jc w:val="center"/>
                    <w:rPr>
                      <w:rFonts w:hint="eastAsia" w:eastAsia="宋体"/>
                      <w:color w:val="auto"/>
                      <w:spacing w:val="-6"/>
                      <w:sz w:val="22"/>
                      <w:szCs w:val="22"/>
                      <w:lang w:val="en-US" w:eastAsia="zh-CN"/>
                    </w:rPr>
                  </w:pPr>
                  <w:r>
                    <w:rPr>
                      <w:rFonts w:hint="eastAsia"/>
                      <w:color w:val="auto"/>
                      <w:spacing w:val="-6"/>
                      <w:sz w:val="22"/>
                      <w:szCs w:val="22"/>
                      <w:lang w:val="en-US" w:eastAsia="zh-CN"/>
                    </w:rPr>
                    <w:t>6</w:t>
                  </w:r>
                </w:p>
              </w:tc>
              <w:tc>
                <w:tcPr>
                  <w:tcW w:w="796" w:type="dxa"/>
                  <w:tcBorders>
                    <w:tl2br w:val="nil"/>
                    <w:tr2bl w:val="nil"/>
                  </w:tcBorders>
                  <w:noWrap w:val="0"/>
                  <w:vAlign w:val="center"/>
                </w:tcPr>
                <w:p w14:paraId="50BD5BC4">
                  <w:pPr>
                    <w:widowControl/>
                    <w:jc w:val="center"/>
                    <w:rPr>
                      <w:rFonts w:hint="eastAsia" w:ascii="Times New Roman" w:hAnsi="Times New Roman" w:eastAsia="宋体"/>
                      <w:color w:val="auto"/>
                      <w:spacing w:val="-6"/>
                      <w:sz w:val="22"/>
                      <w:szCs w:val="22"/>
                      <w:lang w:val="en-US" w:eastAsia="zh-CN"/>
                    </w:rPr>
                  </w:pPr>
                  <w:r>
                    <w:rPr>
                      <w:rFonts w:hint="eastAsia" w:ascii="Times New Roman" w:hAnsi="Times New Roman"/>
                      <w:color w:val="auto"/>
                      <w:spacing w:val="-6"/>
                      <w:sz w:val="22"/>
                      <w:szCs w:val="22"/>
                      <w:lang w:val="en-US" w:eastAsia="zh-CN"/>
                    </w:rPr>
                    <w:t>/</w:t>
                  </w:r>
                </w:p>
              </w:tc>
              <w:tc>
                <w:tcPr>
                  <w:tcW w:w="646" w:type="dxa"/>
                  <w:vMerge w:val="continue"/>
                  <w:tcBorders>
                    <w:tl2br w:val="nil"/>
                    <w:tr2bl w:val="nil"/>
                  </w:tcBorders>
                  <w:noWrap w:val="0"/>
                  <w:vAlign w:val="center"/>
                </w:tcPr>
                <w:p w14:paraId="09227B62">
                  <w:pPr>
                    <w:widowControl/>
                    <w:jc w:val="center"/>
                    <w:rPr>
                      <w:rFonts w:hint="eastAsia"/>
                      <w:color w:val="auto"/>
                      <w:spacing w:val="-6"/>
                      <w:sz w:val="22"/>
                      <w:szCs w:val="22"/>
                    </w:rPr>
                  </w:pPr>
                </w:p>
              </w:tc>
              <w:tc>
                <w:tcPr>
                  <w:tcW w:w="683" w:type="dxa"/>
                  <w:tcBorders>
                    <w:tl2br w:val="nil"/>
                    <w:tr2bl w:val="nil"/>
                  </w:tcBorders>
                  <w:noWrap w:val="0"/>
                  <w:vAlign w:val="center"/>
                </w:tcPr>
                <w:p w14:paraId="34D0C04C">
                  <w:pPr>
                    <w:widowControl/>
                    <w:jc w:val="center"/>
                    <w:rPr>
                      <w:rFonts w:ascii="Times New Roman" w:hAnsi="Times New Roman"/>
                      <w:color w:val="auto"/>
                      <w:spacing w:val="-6"/>
                      <w:sz w:val="22"/>
                      <w:szCs w:val="22"/>
                    </w:rPr>
                  </w:pPr>
                  <w:r>
                    <w:rPr>
                      <w:rFonts w:ascii="Times New Roman" w:hAnsi="Times New Roman"/>
                      <w:color w:val="auto"/>
                      <w:spacing w:val="-6"/>
                      <w:sz w:val="22"/>
                      <w:szCs w:val="22"/>
                    </w:rPr>
                    <w:t>达标</w:t>
                  </w:r>
                </w:p>
              </w:tc>
            </w:tr>
            <w:tr w14:paraId="35813E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dxa"/>
                  <w:vMerge w:val="continue"/>
                  <w:tcBorders>
                    <w:tl2br w:val="nil"/>
                    <w:tr2bl w:val="nil"/>
                  </w:tcBorders>
                  <w:noWrap w:val="0"/>
                  <w:vAlign w:val="center"/>
                </w:tcPr>
                <w:p w14:paraId="42E9C1D5">
                  <w:pPr>
                    <w:widowControl/>
                    <w:jc w:val="center"/>
                    <w:rPr>
                      <w:rFonts w:hint="eastAsia"/>
                      <w:color w:val="auto"/>
                      <w:spacing w:val="-6"/>
                      <w:sz w:val="22"/>
                      <w:szCs w:val="22"/>
                    </w:rPr>
                  </w:pPr>
                </w:p>
              </w:tc>
              <w:tc>
                <w:tcPr>
                  <w:tcW w:w="700" w:type="dxa"/>
                  <w:vMerge w:val="continue"/>
                  <w:tcBorders>
                    <w:tl2br w:val="nil"/>
                    <w:tr2bl w:val="nil"/>
                  </w:tcBorders>
                  <w:noWrap w:val="0"/>
                  <w:vAlign w:val="center"/>
                </w:tcPr>
                <w:p w14:paraId="53F2D4E8">
                  <w:pPr>
                    <w:widowControl/>
                    <w:jc w:val="center"/>
                    <w:rPr>
                      <w:color w:val="auto"/>
                      <w:spacing w:val="-6"/>
                      <w:sz w:val="22"/>
                      <w:szCs w:val="22"/>
                    </w:rPr>
                  </w:pPr>
                </w:p>
              </w:tc>
              <w:tc>
                <w:tcPr>
                  <w:tcW w:w="1211" w:type="dxa"/>
                  <w:tcBorders>
                    <w:tl2br w:val="nil"/>
                    <w:tr2bl w:val="nil"/>
                  </w:tcBorders>
                  <w:noWrap w:val="0"/>
                  <w:vAlign w:val="center"/>
                </w:tcPr>
                <w:p w14:paraId="5CD6BA70">
                  <w:pPr>
                    <w:jc w:val="center"/>
                    <w:rPr>
                      <w:rFonts w:hint="default" w:ascii="Times New Roman" w:hAnsi="Times New Roman"/>
                      <w:color w:val="auto"/>
                      <w:spacing w:val="-6"/>
                      <w:sz w:val="22"/>
                      <w:szCs w:val="22"/>
                      <w:lang w:val="en-US" w:eastAsia="zh-CN"/>
                    </w:rPr>
                  </w:pPr>
                  <w:r>
                    <w:rPr>
                      <w:rFonts w:hint="eastAsia" w:ascii="Times New Roman" w:hAnsi="Times New Roman"/>
                      <w:color w:val="auto"/>
                      <w:spacing w:val="-6"/>
                      <w:sz w:val="22"/>
                      <w:szCs w:val="22"/>
                      <w:lang w:val="en-US" w:eastAsia="zh-CN"/>
                    </w:rPr>
                    <w:t>铅及其化合物</w:t>
                  </w:r>
                </w:p>
              </w:tc>
              <w:tc>
                <w:tcPr>
                  <w:tcW w:w="1027" w:type="dxa"/>
                  <w:tcBorders>
                    <w:tl2br w:val="nil"/>
                    <w:tr2bl w:val="nil"/>
                  </w:tcBorders>
                  <w:noWrap w:val="0"/>
                  <w:vAlign w:val="center"/>
                </w:tcPr>
                <w:p w14:paraId="00670003">
                  <w:pPr>
                    <w:widowControl/>
                    <w:jc w:val="center"/>
                    <w:rPr>
                      <w:rFonts w:hint="default"/>
                      <w:color w:val="auto"/>
                      <w:spacing w:val="-6"/>
                      <w:sz w:val="22"/>
                      <w:szCs w:val="22"/>
                      <w:lang w:val="en-US" w:eastAsia="zh-CN"/>
                    </w:rPr>
                  </w:pPr>
                  <w:r>
                    <w:rPr>
                      <w:rFonts w:hint="eastAsia"/>
                      <w:color w:val="auto"/>
                      <w:spacing w:val="-6"/>
                      <w:sz w:val="22"/>
                      <w:szCs w:val="22"/>
                      <w:lang w:val="en-US" w:eastAsia="zh-CN"/>
                    </w:rPr>
                    <w:t>5.83</w:t>
                  </w:r>
                  <w:r>
                    <w:rPr>
                      <w:rFonts w:hint="default" w:ascii="Arial" w:hAnsi="Arial" w:cs="Arial"/>
                      <w:color w:val="auto"/>
                      <w:spacing w:val="-6"/>
                      <w:sz w:val="22"/>
                      <w:szCs w:val="22"/>
                      <w:lang w:val="en-US" w:eastAsia="zh-CN"/>
                    </w:rPr>
                    <w:t>×</w:t>
                  </w:r>
                  <w:r>
                    <w:rPr>
                      <w:rFonts w:hint="eastAsia"/>
                      <w:color w:val="auto"/>
                      <w:spacing w:val="-6"/>
                      <w:sz w:val="22"/>
                      <w:szCs w:val="22"/>
                      <w:lang w:val="en-US" w:eastAsia="zh-CN"/>
                    </w:rPr>
                    <w:t>10</w:t>
                  </w:r>
                  <w:r>
                    <w:rPr>
                      <w:rFonts w:hint="eastAsia"/>
                      <w:color w:val="auto"/>
                      <w:spacing w:val="-6"/>
                      <w:sz w:val="22"/>
                      <w:szCs w:val="22"/>
                      <w:vertAlign w:val="superscript"/>
                      <w:lang w:val="en-US" w:eastAsia="zh-CN"/>
                    </w:rPr>
                    <w:t>-3</w:t>
                  </w:r>
                </w:p>
              </w:tc>
              <w:tc>
                <w:tcPr>
                  <w:tcW w:w="1085" w:type="dxa"/>
                  <w:tcBorders>
                    <w:tl2br w:val="nil"/>
                    <w:tr2bl w:val="nil"/>
                  </w:tcBorders>
                  <w:noWrap w:val="0"/>
                  <w:vAlign w:val="center"/>
                </w:tcPr>
                <w:p w14:paraId="59DBDF62">
                  <w:pPr>
                    <w:widowControl/>
                    <w:jc w:val="center"/>
                    <w:rPr>
                      <w:rFonts w:hint="default" w:ascii="Times New Roman" w:hAnsi="Times New Roman"/>
                      <w:color w:val="auto"/>
                      <w:spacing w:val="-6"/>
                      <w:sz w:val="22"/>
                      <w:szCs w:val="22"/>
                      <w:lang w:val="en-US" w:eastAsia="zh-CN"/>
                    </w:rPr>
                  </w:pPr>
                  <w:r>
                    <w:rPr>
                      <w:rFonts w:hint="eastAsia" w:ascii="Times New Roman" w:hAnsi="Times New Roman"/>
                      <w:color w:val="auto"/>
                      <w:spacing w:val="-6"/>
                      <w:sz w:val="22"/>
                      <w:szCs w:val="22"/>
                      <w:lang w:val="en-US" w:eastAsia="zh-CN"/>
                    </w:rPr>
                    <w:t>3.99</w:t>
                  </w:r>
                  <w:r>
                    <w:rPr>
                      <w:rFonts w:hint="default" w:ascii="Arial" w:hAnsi="Arial" w:cs="Arial"/>
                      <w:color w:val="auto"/>
                      <w:spacing w:val="-6"/>
                      <w:sz w:val="22"/>
                      <w:szCs w:val="22"/>
                      <w:lang w:val="en-US" w:eastAsia="zh-CN"/>
                    </w:rPr>
                    <w:t>×</w:t>
                  </w:r>
                  <w:r>
                    <w:rPr>
                      <w:rFonts w:hint="eastAsia" w:ascii="Times New Roman" w:hAnsi="Times New Roman"/>
                      <w:color w:val="auto"/>
                      <w:spacing w:val="-6"/>
                      <w:sz w:val="22"/>
                      <w:szCs w:val="22"/>
                      <w:lang w:val="en-US" w:eastAsia="zh-CN"/>
                    </w:rPr>
                    <w:t>10</w:t>
                  </w:r>
                  <w:r>
                    <w:rPr>
                      <w:rFonts w:hint="eastAsia" w:ascii="Times New Roman" w:hAnsi="Times New Roman"/>
                      <w:color w:val="auto"/>
                      <w:spacing w:val="-6"/>
                      <w:sz w:val="22"/>
                      <w:szCs w:val="22"/>
                      <w:vertAlign w:val="superscript"/>
                      <w:lang w:val="en-US" w:eastAsia="zh-CN"/>
                    </w:rPr>
                    <w:t>-4</w:t>
                  </w:r>
                </w:p>
              </w:tc>
              <w:tc>
                <w:tcPr>
                  <w:tcW w:w="935" w:type="dxa"/>
                  <w:tcBorders>
                    <w:tl2br w:val="nil"/>
                    <w:tr2bl w:val="nil"/>
                  </w:tcBorders>
                  <w:noWrap w:val="0"/>
                  <w:vAlign w:val="center"/>
                </w:tcPr>
                <w:p w14:paraId="58694CDD">
                  <w:pPr>
                    <w:widowControl/>
                    <w:jc w:val="center"/>
                    <w:rPr>
                      <w:rFonts w:hint="default"/>
                      <w:color w:val="auto"/>
                      <w:spacing w:val="-6"/>
                      <w:sz w:val="22"/>
                      <w:szCs w:val="22"/>
                      <w:lang w:val="en-US" w:eastAsia="zh-CN"/>
                    </w:rPr>
                  </w:pPr>
                  <w:r>
                    <w:rPr>
                      <w:rFonts w:hint="eastAsia"/>
                      <w:color w:val="auto"/>
                      <w:spacing w:val="-6"/>
                      <w:sz w:val="22"/>
                      <w:szCs w:val="22"/>
                      <w:lang w:val="en-US" w:eastAsia="zh-CN"/>
                    </w:rPr>
                    <w:t>10</w:t>
                  </w:r>
                </w:p>
              </w:tc>
              <w:tc>
                <w:tcPr>
                  <w:tcW w:w="796" w:type="dxa"/>
                  <w:tcBorders>
                    <w:tl2br w:val="nil"/>
                    <w:tr2bl w:val="nil"/>
                  </w:tcBorders>
                  <w:noWrap w:val="0"/>
                  <w:vAlign w:val="center"/>
                </w:tcPr>
                <w:p w14:paraId="60A95ED5">
                  <w:pPr>
                    <w:widowControl/>
                    <w:jc w:val="center"/>
                    <w:rPr>
                      <w:rFonts w:hint="default" w:ascii="Times New Roman" w:hAnsi="Times New Roman"/>
                      <w:color w:val="auto"/>
                      <w:spacing w:val="-6"/>
                      <w:sz w:val="22"/>
                      <w:szCs w:val="22"/>
                      <w:lang w:val="en-US" w:eastAsia="zh-CN"/>
                    </w:rPr>
                  </w:pPr>
                  <w:r>
                    <w:rPr>
                      <w:rFonts w:hint="eastAsia" w:ascii="Times New Roman" w:hAnsi="Times New Roman"/>
                      <w:color w:val="auto"/>
                      <w:spacing w:val="-6"/>
                      <w:sz w:val="22"/>
                      <w:szCs w:val="22"/>
                      <w:lang w:val="en-US" w:eastAsia="zh-CN"/>
                    </w:rPr>
                    <w:t>/</w:t>
                  </w:r>
                </w:p>
              </w:tc>
              <w:tc>
                <w:tcPr>
                  <w:tcW w:w="646" w:type="dxa"/>
                  <w:vMerge w:val="continue"/>
                  <w:tcBorders>
                    <w:tl2br w:val="nil"/>
                    <w:tr2bl w:val="nil"/>
                  </w:tcBorders>
                  <w:noWrap w:val="0"/>
                  <w:vAlign w:val="center"/>
                </w:tcPr>
                <w:p w14:paraId="114E8D51">
                  <w:pPr>
                    <w:widowControl/>
                    <w:jc w:val="center"/>
                    <w:rPr>
                      <w:rFonts w:hint="eastAsia"/>
                      <w:color w:val="auto"/>
                      <w:spacing w:val="-6"/>
                      <w:sz w:val="22"/>
                      <w:szCs w:val="22"/>
                    </w:rPr>
                  </w:pPr>
                </w:p>
              </w:tc>
              <w:tc>
                <w:tcPr>
                  <w:tcW w:w="683" w:type="dxa"/>
                  <w:tcBorders>
                    <w:tl2br w:val="nil"/>
                    <w:tr2bl w:val="nil"/>
                  </w:tcBorders>
                  <w:noWrap w:val="0"/>
                  <w:vAlign w:val="center"/>
                </w:tcPr>
                <w:p w14:paraId="6926861F">
                  <w:pPr>
                    <w:widowControl/>
                    <w:jc w:val="center"/>
                    <w:rPr>
                      <w:rFonts w:ascii="Times New Roman" w:hAnsi="Times New Roman"/>
                      <w:color w:val="auto"/>
                      <w:spacing w:val="-6"/>
                      <w:sz w:val="22"/>
                      <w:szCs w:val="22"/>
                    </w:rPr>
                  </w:pPr>
                  <w:r>
                    <w:rPr>
                      <w:rFonts w:ascii="Times New Roman" w:hAnsi="Times New Roman"/>
                      <w:color w:val="auto"/>
                      <w:spacing w:val="-6"/>
                      <w:sz w:val="22"/>
                      <w:szCs w:val="22"/>
                    </w:rPr>
                    <w:t>达标</w:t>
                  </w:r>
                </w:p>
              </w:tc>
            </w:tr>
            <w:tr w14:paraId="17BC8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dxa"/>
                  <w:vMerge w:val="continue"/>
                  <w:tcBorders>
                    <w:tl2br w:val="nil"/>
                    <w:tr2bl w:val="nil"/>
                  </w:tcBorders>
                  <w:noWrap w:val="0"/>
                  <w:vAlign w:val="center"/>
                </w:tcPr>
                <w:p w14:paraId="674B41ED">
                  <w:pPr>
                    <w:widowControl/>
                    <w:jc w:val="center"/>
                    <w:rPr>
                      <w:rFonts w:hint="eastAsia"/>
                      <w:color w:val="auto"/>
                      <w:spacing w:val="-6"/>
                      <w:sz w:val="22"/>
                      <w:szCs w:val="22"/>
                    </w:rPr>
                  </w:pPr>
                </w:p>
              </w:tc>
              <w:tc>
                <w:tcPr>
                  <w:tcW w:w="700" w:type="dxa"/>
                  <w:vMerge w:val="continue"/>
                  <w:tcBorders>
                    <w:tl2br w:val="nil"/>
                    <w:tr2bl w:val="nil"/>
                  </w:tcBorders>
                  <w:noWrap w:val="0"/>
                  <w:vAlign w:val="center"/>
                </w:tcPr>
                <w:p w14:paraId="6094543F">
                  <w:pPr>
                    <w:widowControl/>
                    <w:jc w:val="center"/>
                    <w:rPr>
                      <w:color w:val="auto"/>
                      <w:spacing w:val="-6"/>
                      <w:sz w:val="22"/>
                      <w:szCs w:val="22"/>
                    </w:rPr>
                  </w:pPr>
                </w:p>
              </w:tc>
              <w:tc>
                <w:tcPr>
                  <w:tcW w:w="1211" w:type="dxa"/>
                  <w:tcBorders>
                    <w:tl2br w:val="nil"/>
                    <w:tr2bl w:val="nil"/>
                  </w:tcBorders>
                  <w:noWrap w:val="0"/>
                  <w:vAlign w:val="center"/>
                </w:tcPr>
                <w:p w14:paraId="131D0617">
                  <w:pPr>
                    <w:jc w:val="center"/>
                    <w:rPr>
                      <w:rFonts w:hint="default" w:ascii="Times New Roman" w:hAnsi="Times New Roman"/>
                      <w:color w:val="auto"/>
                      <w:spacing w:val="-6"/>
                      <w:sz w:val="22"/>
                      <w:szCs w:val="22"/>
                      <w:lang w:val="en-US" w:eastAsia="zh-CN"/>
                    </w:rPr>
                  </w:pPr>
                  <w:r>
                    <w:rPr>
                      <w:rFonts w:hint="eastAsia" w:ascii="Times New Roman" w:hAnsi="Times New Roman"/>
                      <w:color w:val="auto"/>
                      <w:spacing w:val="-6"/>
                      <w:sz w:val="22"/>
                      <w:szCs w:val="22"/>
                      <w:lang w:val="en-US" w:eastAsia="zh-CN"/>
                    </w:rPr>
                    <w:t>铍及其化合物</w:t>
                  </w:r>
                </w:p>
              </w:tc>
              <w:tc>
                <w:tcPr>
                  <w:tcW w:w="1027" w:type="dxa"/>
                  <w:tcBorders>
                    <w:tl2br w:val="nil"/>
                    <w:tr2bl w:val="nil"/>
                  </w:tcBorders>
                  <w:noWrap w:val="0"/>
                  <w:vAlign w:val="center"/>
                </w:tcPr>
                <w:p w14:paraId="6E4C3E9B">
                  <w:pPr>
                    <w:widowControl/>
                    <w:jc w:val="center"/>
                    <w:rPr>
                      <w:rFonts w:hint="default"/>
                      <w:color w:val="auto"/>
                      <w:spacing w:val="-6"/>
                      <w:sz w:val="22"/>
                      <w:szCs w:val="22"/>
                      <w:lang w:val="en-US" w:eastAsia="zh-CN"/>
                    </w:rPr>
                  </w:pPr>
                  <w:r>
                    <w:rPr>
                      <w:rFonts w:hint="eastAsia"/>
                      <w:color w:val="auto"/>
                      <w:spacing w:val="-6"/>
                      <w:sz w:val="22"/>
                      <w:szCs w:val="22"/>
                      <w:lang w:val="en-US" w:eastAsia="zh-CN"/>
                    </w:rPr>
                    <w:t>2.79</w:t>
                  </w:r>
                  <w:r>
                    <w:rPr>
                      <w:rFonts w:hint="default" w:ascii="Arial" w:hAnsi="Arial" w:cs="Arial"/>
                      <w:color w:val="auto"/>
                      <w:spacing w:val="-6"/>
                      <w:sz w:val="22"/>
                      <w:szCs w:val="22"/>
                      <w:lang w:val="en-US" w:eastAsia="zh-CN"/>
                    </w:rPr>
                    <w:t>×</w:t>
                  </w:r>
                  <w:r>
                    <w:rPr>
                      <w:rFonts w:hint="eastAsia"/>
                      <w:color w:val="auto"/>
                      <w:spacing w:val="-6"/>
                      <w:sz w:val="22"/>
                      <w:szCs w:val="22"/>
                      <w:lang w:val="en-US" w:eastAsia="zh-CN"/>
                    </w:rPr>
                    <w:t>10</w:t>
                  </w:r>
                  <w:r>
                    <w:rPr>
                      <w:rFonts w:hint="eastAsia"/>
                      <w:color w:val="auto"/>
                      <w:spacing w:val="-6"/>
                      <w:sz w:val="22"/>
                      <w:szCs w:val="22"/>
                      <w:vertAlign w:val="superscript"/>
                      <w:lang w:val="en-US" w:eastAsia="zh-CN"/>
                    </w:rPr>
                    <w:t>-4</w:t>
                  </w:r>
                </w:p>
              </w:tc>
              <w:tc>
                <w:tcPr>
                  <w:tcW w:w="1085" w:type="dxa"/>
                  <w:tcBorders>
                    <w:tl2br w:val="nil"/>
                    <w:tr2bl w:val="nil"/>
                  </w:tcBorders>
                  <w:noWrap w:val="0"/>
                  <w:vAlign w:val="center"/>
                </w:tcPr>
                <w:p w14:paraId="251CE8F1">
                  <w:pPr>
                    <w:widowControl/>
                    <w:jc w:val="center"/>
                    <w:rPr>
                      <w:rFonts w:hint="default" w:ascii="Times New Roman" w:hAnsi="Times New Roman"/>
                      <w:color w:val="auto"/>
                      <w:spacing w:val="-6"/>
                      <w:sz w:val="22"/>
                      <w:szCs w:val="22"/>
                      <w:lang w:val="en-US" w:eastAsia="zh-CN"/>
                    </w:rPr>
                  </w:pPr>
                  <w:r>
                    <w:rPr>
                      <w:rFonts w:hint="eastAsia" w:ascii="Times New Roman" w:hAnsi="Times New Roman"/>
                      <w:color w:val="auto"/>
                      <w:spacing w:val="-6"/>
                      <w:sz w:val="22"/>
                      <w:szCs w:val="22"/>
                      <w:lang w:val="en-US" w:eastAsia="zh-CN"/>
                    </w:rPr>
                    <w:t>1.91</w:t>
                  </w:r>
                  <w:r>
                    <w:rPr>
                      <w:rFonts w:hint="default" w:ascii="Arial" w:hAnsi="Arial" w:cs="Arial"/>
                      <w:color w:val="auto"/>
                      <w:spacing w:val="-6"/>
                      <w:sz w:val="22"/>
                      <w:szCs w:val="22"/>
                      <w:lang w:val="en-US" w:eastAsia="zh-CN"/>
                    </w:rPr>
                    <w:t>×</w:t>
                  </w:r>
                  <w:r>
                    <w:rPr>
                      <w:rFonts w:hint="eastAsia" w:ascii="Times New Roman" w:hAnsi="Times New Roman"/>
                      <w:color w:val="auto"/>
                      <w:spacing w:val="-6"/>
                      <w:sz w:val="22"/>
                      <w:szCs w:val="22"/>
                      <w:lang w:val="en-US" w:eastAsia="zh-CN"/>
                    </w:rPr>
                    <w:t>10</w:t>
                  </w:r>
                  <w:r>
                    <w:rPr>
                      <w:rFonts w:hint="eastAsia" w:ascii="Times New Roman" w:hAnsi="Times New Roman"/>
                      <w:color w:val="auto"/>
                      <w:spacing w:val="-6"/>
                      <w:sz w:val="22"/>
                      <w:szCs w:val="22"/>
                      <w:vertAlign w:val="superscript"/>
                      <w:lang w:val="en-US" w:eastAsia="zh-CN"/>
                    </w:rPr>
                    <w:t>-5</w:t>
                  </w:r>
                </w:p>
              </w:tc>
              <w:tc>
                <w:tcPr>
                  <w:tcW w:w="935" w:type="dxa"/>
                  <w:tcBorders>
                    <w:tl2br w:val="nil"/>
                    <w:tr2bl w:val="nil"/>
                  </w:tcBorders>
                  <w:noWrap w:val="0"/>
                  <w:vAlign w:val="center"/>
                </w:tcPr>
                <w:p w14:paraId="4CDE650A">
                  <w:pPr>
                    <w:widowControl/>
                    <w:jc w:val="center"/>
                    <w:rPr>
                      <w:rFonts w:hint="default"/>
                      <w:color w:val="auto"/>
                      <w:spacing w:val="-6"/>
                      <w:sz w:val="22"/>
                      <w:szCs w:val="22"/>
                      <w:lang w:val="en-US" w:eastAsia="zh-CN"/>
                    </w:rPr>
                  </w:pPr>
                  <w:r>
                    <w:rPr>
                      <w:rFonts w:hint="eastAsia"/>
                      <w:color w:val="auto"/>
                      <w:spacing w:val="-6"/>
                      <w:sz w:val="22"/>
                      <w:szCs w:val="22"/>
                      <w:lang w:val="en-US" w:eastAsia="zh-CN"/>
                    </w:rPr>
                    <w:t>0.01</w:t>
                  </w:r>
                </w:p>
              </w:tc>
              <w:tc>
                <w:tcPr>
                  <w:tcW w:w="796" w:type="dxa"/>
                  <w:tcBorders>
                    <w:tl2br w:val="nil"/>
                    <w:tr2bl w:val="nil"/>
                  </w:tcBorders>
                  <w:noWrap w:val="0"/>
                  <w:vAlign w:val="center"/>
                </w:tcPr>
                <w:p w14:paraId="7FB354EB">
                  <w:pPr>
                    <w:widowControl/>
                    <w:jc w:val="center"/>
                    <w:rPr>
                      <w:rFonts w:hint="default" w:ascii="Times New Roman" w:hAnsi="Times New Roman"/>
                      <w:color w:val="auto"/>
                      <w:spacing w:val="-6"/>
                      <w:sz w:val="22"/>
                      <w:szCs w:val="22"/>
                      <w:lang w:val="en-US" w:eastAsia="zh-CN"/>
                    </w:rPr>
                  </w:pPr>
                  <w:r>
                    <w:rPr>
                      <w:rFonts w:hint="eastAsia" w:ascii="Times New Roman" w:hAnsi="Times New Roman"/>
                      <w:color w:val="auto"/>
                      <w:spacing w:val="-6"/>
                      <w:sz w:val="22"/>
                      <w:szCs w:val="22"/>
                      <w:lang w:val="en-US" w:eastAsia="zh-CN"/>
                    </w:rPr>
                    <w:t>/</w:t>
                  </w:r>
                </w:p>
              </w:tc>
              <w:tc>
                <w:tcPr>
                  <w:tcW w:w="646" w:type="dxa"/>
                  <w:vMerge w:val="continue"/>
                  <w:tcBorders>
                    <w:tl2br w:val="nil"/>
                    <w:tr2bl w:val="nil"/>
                  </w:tcBorders>
                  <w:noWrap w:val="0"/>
                  <w:vAlign w:val="center"/>
                </w:tcPr>
                <w:p w14:paraId="4BC84CCA">
                  <w:pPr>
                    <w:widowControl/>
                    <w:jc w:val="center"/>
                    <w:rPr>
                      <w:rFonts w:hint="eastAsia"/>
                      <w:color w:val="auto"/>
                      <w:spacing w:val="-6"/>
                      <w:sz w:val="22"/>
                      <w:szCs w:val="22"/>
                    </w:rPr>
                  </w:pPr>
                </w:p>
              </w:tc>
              <w:tc>
                <w:tcPr>
                  <w:tcW w:w="683" w:type="dxa"/>
                  <w:tcBorders>
                    <w:tl2br w:val="nil"/>
                    <w:tr2bl w:val="nil"/>
                  </w:tcBorders>
                  <w:noWrap w:val="0"/>
                  <w:vAlign w:val="center"/>
                </w:tcPr>
                <w:p w14:paraId="78DAC699">
                  <w:pPr>
                    <w:widowControl/>
                    <w:jc w:val="center"/>
                    <w:rPr>
                      <w:rFonts w:ascii="Times New Roman" w:hAnsi="Times New Roman"/>
                      <w:color w:val="auto"/>
                      <w:spacing w:val="-6"/>
                      <w:sz w:val="22"/>
                      <w:szCs w:val="22"/>
                    </w:rPr>
                  </w:pPr>
                  <w:r>
                    <w:rPr>
                      <w:rFonts w:ascii="Times New Roman" w:hAnsi="Times New Roman"/>
                      <w:color w:val="auto"/>
                      <w:spacing w:val="-6"/>
                      <w:sz w:val="22"/>
                      <w:szCs w:val="22"/>
                    </w:rPr>
                    <w:t>达标</w:t>
                  </w:r>
                </w:p>
              </w:tc>
            </w:tr>
            <w:tr w14:paraId="07BAD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dxa"/>
                  <w:vMerge w:val="restart"/>
                  <w:tcBorders>
                    <w:tl2br w:val="nil"/>
                    <w:tr2bl w:val="nil"/>
                  </w:tcBorders>
                  <w:noWrap w:val="0"/>
                  <w:vAlign w:val="center"/>
                </w:tcPr>
                <w:p w14:paraId="4B1E4365">
                  <w:pPr>
                    <w:widowControl/>
                    <w:jc w:val="center"/>
                    <w:rPr>
                      <w:rFonts w:hint="eastAsia"/>
                      <w:color w:val="auto"/>
                      <w:spacing w:val="-6"/>
                      <w:sz w:val="22"/>
                      <w:szCs w:val="22"/>
                    </w:rPr>
                  </w:pPr>
                  <w:r>
                    <w:rPr>
                      <w:rFonts w:hint="eastAsia" w:ascii="Times New Roman" w:hAnsi="Times New Roman"/>
                      <w:color w:val="auto"/>
                      <w:spacing w:val="-6"/>
                      <w:sz w:val="22"/>
                      <w:szCs w:val="22"/>
                      <w:lang w:val="en-US" w:eastAsia="zh-CN"/>
                    </w:rPr>
                    <w:t>DA004</w:t>
                  </w:r>
                </w:p>
              </w:tc>
              <w:tc>
                <w:tcPr>
                  <w:tcW w:w="700" w:type="dxa"/>
                  <w:vMerge w:val="restart"/>
                  <w:tcBorders>
                    <w:tl2br w:val="nil"/>
                    <w:tr2bl w:val="nil"/>
                  </w:tcBorders>
                  <w:noWrap w:val="0"/>
                  <w:vAlign w:val="center"/>
                </w:tcPr>
                <w:p w14:paraId="608B2AC6">
                  <w:pPr>
                    <w:jc w:val="center"/>
                    <w:rPr>
                      <w:color w:val="auto"/>
                      <w:spacing w:val="-6"/>
                      <w:sz w:val="22"/>
                      <w:szCs w:val="22"/>
                    </w:rPr>
                  </w:pPr>
                  <w:r>
                    <w:rPr>
                      <w:rFonts w:hint="eastAsia" w:ascii="Times New Roman" w:hAnsi="Times New Roman"/>
                      <w:color w:val="auto"/>
                      <w:spacing w:val="-6"/>
                      <w:sz w:val="22"/>
                      <w:szCs w:val="22"/>
                      <w:lang w:val="en-US" w:eastAsia="zh-CN"/>
                    </w:rPr>
                    <w:t>2025.9.9</w:t>
                  </w:r>
                </w:p>
              </w:tc>
              <w:tc>
                <w:tcPr>
                  <w:tcW w:w="1211" w:type="dxa"/>
                  <w:tcBorders>
                    <w:tl2br w:val="nil"/>
                    <w:tr2bl w:val="nil"/>
                  </w:tcBorders>
                  <w:noWrap w:val="0"/>
                  <w:vAlign w:val="center"/>
                </w:tcPr>
                <w:p w14:paraId="33B75582">
                  <w:pPr>
                    <w:jc w:val="center"/>
                    <w:rPr>
                      <w:rFonts w:hint="eastAsia" w:ascii="Times New Roman" w:hAnsi="Times New Roman"/>
                      <w:color w:val="auto"/>
                      <w:spacing w:val="-6"/>
                      <w:sz w:val="22"/>
                      <w:szCs w:val="22"/>
                      <w:lang w:val="en-US" w:eastAsia="zh-CN"/>
                    </w:rPr>
                  </w:pPr>
                  <w:r>
                    <w:rPr>
                      <w:rFonts w:hint="eastAsia" w:ascii="Times New Roman" w:hAnsi="Times New Roman"/>
                      <w:color w:val="auto"/>
                      <w:spacing w:val="-6"/>
                      <w:sz w:val="22"/>
                      <w:szCs w:val="22"/>
                      <w:lang w:val="en-US" w:eastAsia="zh-CN"/>
                    </w:rPr>
                    <w:t>颗粒物</w:t>
                  </w:r>
                </w:p>
              </w:tc>
              <w:tc>
                <w:tcPr>
                  <w:tcW w:w="1027" w:type="dxa"/>
                  <w:tcBorders>
                    <w:tl2br w:val="nil"/>
                    <w:tr2bl w:val="nil"/>
                  </w:tcBorders>
                  <w:noWrap w:val="0"/>
                  <w:vAlign w:val="center"/>
                </w:tcPr>
                <w:p w14:paraId="44EF3965">
                  <w:pPr>
                    <w:widowControl/>
                    <w:jc w:val="center"/>
                    <w:rPr>
                      <w:rFonts w:hint="default"/>
                      <w:color w:val="auto"/>
                      <w:spacing w:val="-6"/>
                      <w:sz w:val="22"/>
                      <w:szCs w:val="22"/>
                      <w:lang w:val="en-US" w:eastAsia="zh-CN"/>
                    </w:rPr>
                  </w:pPr>
                  <w:r>
                    <w:rPr>
                      <w:rFonts w:hint="eastAsia"/>
                      <w:color w:val="auto"/>
                      <w:spacing w:val="-6"/>
                      <w:sz w:val="22"/>
                      <w:szCs w:val="22"/>
                      <w:lang w:val="en-US" w:eastAsia="zh-CN"/>
                    </w:rPr>
                    <w:t>9.7</w:t>
                  </w:r>
                </w:p>
              </w:tc>
              <w:tc>
                <w:tcPr>
                  <w:tcW w:w="1085" w:type="dxa"/>
                  <w:tcBorders>
                    <w:tl2br w:val="nil"/>
                    <w:tr2bl w:val="nil"/>
                  </w:tcBorders>
                  <w:noWrap w:val="0"/>
                  <w:vAlign w:val="center"/>
                </w:tcPr>
                <w:p w14:paraId="2A5F732F">
                  <w:pPr>
                    <w:widowControl/>
                    <w:jc w:val="center"/>
                    <w:rPr>
                      <w:rFonts w:hint="default" w:ascii="Times New Roman" w:hAnsi="Times New Roman"/>
                      <w:color w:val="auto"/>
                      <w:spacing w:val="-6"/>
                      <w:sz w:val="22"/>
                      <w:szCs w:val="22"/>
                      <w:lang w:val="en-US" w:eastAsia="zh-CN"/>
                    </w:rPr>
                  </w:pPr>
                  <w:r>
                    <w:rPr>
                      <w:rFonts w:hint="eastAsia" w:ascii="Times New Roman" w:hAnsi="Times New Roman"/>
                      <w:color w:val="auto"/>
                      <w:spacing w:val="-6"/>
                      <w:sz w:val="22"/>
                      <w:szCs w:val="22"/>
                      <w:lang w:val="en-US" w:eastAsia="zh-CN"/>
                    </w:rPr>
                    <w:t>2.17</w:t>
                  </w:r>
                  <w:r>
                    <w:rPr>
                      <w:rFonts w:hint="default" w:ascii="Arial" w:hAnsi="Arial" w:cs="Arial"/>
                      <w:color w:val="auto"/>
                      <w:spacing w:val="-6"/>
                      <w:sz w:val="22"/>
                      <w:szCs w:val="22"/>
                      <w:lang w:val="en-US" w:eastAsia="zh-CN"/>
                    </w:rPr>
                    <w:t>×</w:t>
                  </w:r>
                  <w:r>
                    <w:rPr>
                      <w:rFonts w:hint="eastAsia" w:ascii="Times New Roman" w:hAnsi="Times New Roman"/>
                      <w:color w:val="auto"/>
                      <w:spacing w:val="-6"/>
                      <w:sz w:val="22"/>
                      <w:szCs w:val="22"/>
                      <w:lang w:val="en-US" w:eastAsia="zh-CN"/>
                    </w:rPr>
                    <w:t>10</w:t>
                  </w:r>
                  <w:r>
                    <w:rPr>
                      <w:rFonts w:hint="eastAsia" w:ascii="Times New Roman" w:hAnsi="Times New Roman"/>
                      <w:color w:val="auto"/>
                      <w:spacing w:val="-6"/>
                      <w:sz w:val="22"/>
                      <w:szCs w:val="22"/>
                      <w:vertAlign w:val="superscript"/>
                      <w:lang w:val="en-US" w:eastAsia="zh-CN"/>
                    </w:rPr>
                    <w:t>-2</w:t>
                  </w:r>
                </w:p>
              </w:tc>
              <w:tc>
                <w:tcPr>
                  <w:tcW w:w="935" w:type="dxa"/>
                  <w:tcBorders>
                    <w:tl2br w:val="nil"/>
                    <w:tr2bl w:val="nil"/>
                  </w:tcBorders>
                  <w:noWrap w:val="0"/>
                  <w:vAlign w:val="center"/>
                </w:tcPr>
                <w:p w14:paraId="0FABC48A">
                  <w:pPr>
                    <w:widowControl/>
                    <w:jc w:val="center"/>
                    <w:rPr>
                      <w:rFonts w:hint="default"/>
                      <w:color w:val="auto"/>
                      <w:spacing w:val="-6"/>
                      <w:sz w:val="22"/>
                      <w:szCs w:val="22"/>
                      <w:lang w:val="en-US" w:eastAsia="zh-CN"/>
                    </w:rPr>
                  </w:pPr>
                  <w:r>
                    <w:rPr>
                      <w:rFonts w:hint="eastAsia"/>
                      <w:color w:val="auto"/>
                      <w:spacing w:val="-6"/>
                      <w:sz w:val="22"/>
                      <w:szCs w:val="22"/>
                      <w:lang w:val="en-US" w:eastAsia="zh-CN"/>
                    </w:rPr>
                    <w:t>30</w:t>
                  </w:r>
                </w:p>
              </w:tc>
              <w:tc>
                <w:tcPr>
                  <w:tcW w:w="796" w:type="dxa"/>
                  <w:tcBorders>
                    <w:tl2br w:val="nil"/>
                    <w:tr2bl w:val="nil"/>
                  </w:tcBorders>
                  <w:noWrap w:val="0"/>
                  <w:vAlign w:val="center"/>
                </w:tcPr>
                <w:p w14:paraId="3870AFF9">
                  <w:pPr>
                    <w:widowControl/>
                    <w:jc w:val="center"/>
                    <w:rPr>
                      <w:rFonts w:hint="default" w:ascii="Times New Roman" w:hAnsi="Times New Roman"/>
                      <w:color w:val="auto"/>
                      <w:spacing w:val="-6"/>
                      <w:sz w:val="22"/>
                      <w:szCs w:val="22"/>
                      <w:lang w:val="en-US" w:eastAsia="zh-CN"/>
                    </w:rPr>
                  </w:pPr>
                  <w:r>
                    <w:rPr>
                      <w:rFonts w:hint="eastAsia" w:ascii="Times New Roman" w:hAnsi="Times New Roman"/>
                      <w:color w:val="auto"/>
                      <w:spacing w:val="-6"/>
                      <w:sz w:val="22"/>
                      <w:szCs w:val="22"/>
                      <w:lang w:val="en-US" w:eastAsia="zh-CN"/>
                    </w:rPr>
                    <w:t>/</w:t>
                  </w:r>
                </w:p>
              </w:tc>
              <w:tc>
                <w:tcPr>
                  <w:tcW w:w="646" w:type="dxa"/>
                  <w:vMerge w:val="restart"/>
                  <w:tcBorders>
                    <w:tl2br w:val="nil"/>
                    <w:tr2bl w:val="nil"/>
                  </w:tcBorders>
                  <w:noWrap w:val="0"/>
                  <w:vAlign w:val="center"/>
                </w:tcPr>
                <w:p w14:paraId="6CE6F3D3">
                  <w:pPr>
                    <w:widowControl/>
                    <w:jc w:val="center"/>
                    <w:rPr>
                      <w:rFonts w:hint="default" w:eastAsia="宋体"/>
                      <w:color w:val="auto"/>
                      <w:spacing w:val="-6"/>
                      <w:sz w:val="22"/>
                      <w:szCs w:val="22"/>
                      <w:lang w:val="en-US" w:eastAsia="zh-CN"/>
                    </w:rPr>
                  </w:pPr>
                  <w:r>
                    <w:rPr>
                      <w:rFonts w:hint="eastAsia"/>
                      <w:color w:val="auto"/>
                      <w:spacing w:val="-6"/>
                      <w:sz w:val="22"/>
                      <w:szCs w:val="22"/>
                      <w:lang w:val="en-US" w:eastAsia="zh-CN"/>
                    </w:rPr>
                    <w:t>经排气筒直接排放</w:t>
                  </w:r>
                </w:p>
              </w:tc>
              <w:tc>
                <w:tcPr>
                  <w:tcW w:w="683" w:type="dxa"/>
                  <w:tcBorders>
                    <w:tl2br w:val="nil"/>
                    <w:tr2bl w:val="nil"/>
                  </w:tcBorders>
                  <w:noWrap w:val="0"/>
                  <w:vAlign w:val="center"/>
                </w:tcPr>
                <w:p w14:paraId="6DEF9383">
                  <w:pPr>
                    <w:widowControl/>
                    <w:jc w:val="center"/>
                    <w:rPr>
                      <w:rFonts w:ascii="Times New Roman" w:hAnsi="Times New Roman"/>
                      <w:color w:val="auto"/>
                      <w:spacing w:val="-6"/>
                      <w:sz w:val="22"/>
                      <w:szCs w:val="22"/>
                    </w:rPr>
                  </w:pPr>
                  <w:r>
                    <w:rPr>
                      <w:rFonts w:ascii="Times New Roman" w:hAnsi="Times New Roman"/>
                      <w:color w:val="auto"/>
                      <w:spacing w:val="-6"/>
                      <w:sz w:val="22"/>
                      <w:szCs w:val="22"/>
                    </w:rPr>
                    <w:t>达标</w:t>
                  </w:r>
                </w:p>
              </w:tc>
            </w:tr>
            <w:tr w14:paraId="78E61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dxa"/>
                  <w:vMerge w:val="continue"/>
                  <w:tcBorders>
                    <w:tl2br w:val="nil"/>
                    <w:tr2bl w:val="nil"/>
                  </w:tcBorders>
                  <w:noWrap w:val="0"/>
                  <w:vAlign w:val="center"/>
                </w:tcPr>
                <w:p w14:paraId="72431E13">
                  <w:pPr>
                    <w:widowControl/>
                    <w:jc w:val="center"/>
                    <w:rPr>
                      <w:rFonts w:hint="eastAsia"/>
                      <w:color w:val="auto"/>
                      <w:spacing w:val="-6"/>
                      <w:sz w:val="22"/>
                      <w:szCs w:val="22"/>
                    </w:rPr>
                  </w:pPr>
                </w:p>
              </w:tc>
              <w:tc>
                <w:tcPr>
                  <w:tcW w:w="700" w:type="dxa"/>
                  <w:vMerge w:val="continue"/>
                  <w:tcBorders>
                    <w:tl2br w:val="nil"/>
                    <w:tr2bl w:val="nil"/>
                  </w:tcBorders>
                  <w:noWrap w:val="0"/>
                  <w:vAlign w:val="center"/>
                </w:tcPr>
                <w:p w14:paraId="495F712C">
                  <w:pPr>
                    <w:widowControl/>
                    <w:jc w:val="center"/>
                    <w:rPr>
                      <w:color w:val="auto"/>
                      <w:spacing w:val="-6"/>
                      <w:sz w:val="22"/>
                      <w:szCs w:val="22"/>
                    </w:rPr>
                  </w:pPr>
                </w:p>
              </w:tc>
              <w:tc>
                <w:tcPr>
                  <w:tcW w:w="1211" w:type="dxa"/>
                  <w:tcBorders>
                    <w:tl2br w:val="nil"/>
                    <w:tr2bl w:val="nil"/>
                  </w:tcBorders>
                  <w:noWrap w:val="0"/>
                  <w:vAlign w:val="center"/>
                </w:tcPr>
                <w:p w14:paraId="708DB432">
                  <w:pPr>
                    <w:jc w:val="center"/>
                    <w:rPr>
                      <w:rFonts w:hint="eastAsia" w:ascii="Times New Roman" w:hAnsi="Times New Roman"/>
                      <w:color w:val="auto"/>
                      <w:spacing w:val="-6"/>
                      <w:sz w:val="22"/>
                      <w:szCs w:val="22"/>
                      <w:lang w:val="en-US" w:eastAsia="zh-CN"/>
                    </w:rPr>
                  </w:pPr>
                  <w:r>
                    <w:rPr>
                      <w:rFonts w:hint="eastAsia"/>
                      <w:color w:val="auto"/>
                      <w:spacing w:val="-6"/>
                      <w:sz w:val="22"/>
                      <w:szCs w:val="22"/>
                      <w:lang w:val="en-US" w:eastAsia="zh-CN"/>
                    </w:rPr>
                    <w:t>二氧化硫</w:t>
                  </w:r>
                </w:p>
              </w:tc>
              <w:tc>
                <w:tcPr>
                  <w:tcW w:w="1027" w:type="dxa"/>
                  <w:tcBorders>
                    <w:tl2br w:val="nil"/>
                    <w:tr2bl w:val="nil"/>
                  </w:tcBorders>
                  <w:noWrap w:val="0"/>
                  <w:vAlign w:val="center"/>
                </w:tcPr>
                <w:p w14:paraId="00BF453E">
                  <w:pPr>
                    <w:widowControl/>
                    <w:jc w:val="center"/>
                    <w:rPr>
                      <w:rFonts w:hint="default"/>
                      <w:color w:val="auto"/>
                      <w:spacing w:val="-6"/>
                      <w:sz w:val="22"/>
                      <w:szCs w:val="22"/>
                      <w:lang w:val="en-US" w:eastAsia="zh-CN"/>
                    </w:rPr>
                  </w:pPr>
                  <w:r>
                    <w:rPr>
                      <w:rFonts w:hint="eastAsia"/>
                      <w:color w:val="auto"/>
                      <w:spacing w:val="-6"/>
                      <w:sz w:val="22"/>
                      <w:szCs w:val="22"/>
                      <w:lang w:val="en-US" w:eastAsia="zh-CN"/>
                    </w:rPr>
                    <w:t>2</w:t>
                  </w:r>
                </w:p>
              </w:tc>
              <w:tc>
                <w:tcPr>
                  <w:tcW w:w="1085" w:type="dxa"/>
                  <w:tcBorders>
                    <w:tl2br w:val="nil"/>
                    <w:tr2bl w:val="nil"/>
                  </w:tcBorders>
                  <w:noWrap w:val="0"/>
                  <w:vAlign w:val="center"/>
                </w:tcPr>
                <w:p w14:paraId="3968BC8C">
                  <w:pPr>
                    <w:widowControl/>
                    <w:jc w:val="center"/>
                    <w:rPr>
                      <w:rFonts w:hint="default" w:ascii="Times New Roman" w:hAnsi="Times New Roman"/>
                      <w:color w:val="auto"/>
                      <w:spacing w:val="-6"/>
                      <w:sz w:val="22"/>
                      <w:szCs w:val="22"/>
                      <w:lang w:val="en-US" w:eastAsia="zh-CN"/>
                    </w:rPr>
                  </w:pPr>
                  <w:r>
                    <w:rPr>
                      <w:rFonts w:hint="eastAsia" w:ascii="Times New Roman" w:hAnsi="Times New Roman"/>
                      <w:color w:val="auto"/>
                      <w:spacing w:val="-6"/>
                      <w:sz w:val="22"/>
                      <w:szCs w:val="22"/>
                      <w:lang w:val="en-US" w:eastAsia="zh-CN"/>
                    </w:rPr>
                    <w:t>3.72</w:t>
                  </w:r>
                  <w:r>
                    <w:rPr>
                      <w:rFonts w:hint="default" w:ascii="Arial" w:hAnsi="Arial" w:cs="Arial"/>
                      <w:color w:val="auto"/>
                      <w:spacing w:val="-6"/>
                      <w:sz w:val="22"/>
                      <w:szCs w:val="22"/>
                      <w:lang w:val="en-US" w:eastAsia="zh-CN"/>
                    </w:rPr>
                    <w:t>×</w:t>
                  </w:r>
                  <w:r>
                    <w:rPr>
                      <w:rFonts w:hint="eastAsia" w:ascii="Times New Roman" w:hAnsi="Times New Roman"/>
                      <w:color w:val="auto"/>
                      <w:spacing w:val="-6"/>
                      <w:sz w:val="22"/>
                      <w:szCs w:val="22"/>
                      <w:lang w:val="en-US" w:eastAsia="zh-CN"/>
                    </w:rPr>
                    <w:t>10</w:t>
                  </w:r>
                  <w:r>
                    <w:rPr>
                      <w:rFonts w:hint="eastAsia" w:ascii="Times New Roman" w:hAnsi="Times New Roman"/>
                      <w:color w:val="auto"/>
                      <w:spacing w:val="-6"/>
                      <w:sz w:val="22"/>
                      <w:szCs w:val="22"/>
                      <w:vertAlign w:val="superscript"/>
                      <w:lang w:val="en-US" w:eastAsia="zh-CN"/>
                    </w:rPr>
                    <w:t>-3</w:t>
                  </w:r>
                </w:p>
              </w:tc>
              <w:tc>
                <w:tcPr>
                  <w:tcW w:w="935" w:type="dxa"/>
                  <w:tcBorders>
                    <w:tl2br w:val="nil"/>
                    <w:tr2bl w:val="nil"/>
                  </w:tcBorders>
                  <w:noWrap w:val="0"/>
                  <w:vAlign w:val="center"/>
                </w:tcPr>
                <w:p w14:paraId="2CE76413">
                  <w:pPr>
                    <w:widowControl/>
                    <w:jc w:val="center"/>
                    <w:rPr>
                      <w:rFonts w:hint="default"/>
                      <w:color w:val="auto"/>
                      <w:spacing w:val="-6"/>
                      <w:sz w:val="22"/>
                      <w:szCs w:val="22"/>
                      <w:lang w:val="en-US" w:eastAsia="zh-CN"/>
                    </w:rPr>
                  </w:pPr>
                  <w:r>
                    <w:rPr>
                      <w:rFonts w:hint="eastAsia"/>
                      <w:color w:val="auto"/>
                      <w:spacing w:val="-6"/>
                      <w:sz w:val="22"/>
                      <w:szCs w:val="22"/>
                      <w:lang w:val="en-US" w:eastAsia="zh-CN"/>
                    </w:rPr>
                    <w:t>100</w:t>
                  </w:r>
                </w:p>
              </w:tc>
              <w:tc>
                <w:tcPr>
                  <w:tcW w:w="796" w:type="dxa"/>
                  <w:tcBorders>
                    <w:tl2br w:val="nil"/>
                    <w:tr2bl w:val="nil"/>
                  </w:tcBorders>
                  <w:noWrap w:val="0"/>
                  <w:vAlign w:val="center"/>
                </w:tcPr>
                <w:p w14:paraId="4805DDAF">
                  <w:pPr>
                    <w:widowControl/>
                    <w:jc w:val="center"/>
                    <w:rPr>
                      <w:rFonts w:hint="default" w:ascii="Times New Roman" w:hAnsi="Times New Roman"/>
                      <w:color w:val="auto"/>
                      <w:spacing w:val="-6"/>
                      <w:sz w:val="22"/>
                      <w:szCs w:val="22"/>
                      <w:lang w:val="en-US" w:eastAsia="zh-CN"/>
                    </w:rPr>
                  </w:pPr>
                  <w:r>
                    <w:rPr>
                      <w:rFonts w:hint="eastAsia" w:ascii="Times New Roman" w:hAnsi="Times New Roman"/>
                      <w:color w:val="auto"/>
                      <w:spacing w:val="-6"/>
                      <w:sz w:val="22"/>
                      <w:szCs w:val="22"/>
                      <w:lang w:val="en-US" w:eastAsia="zh-CN"/>
                    </w:rPr>
                    <w:t>/</w:t>
                  </w:r>
                </w:p>
              </w:tc>
              <w:tc>
                <w:tcPr>
                  <w:tcW w:w="646" w:type="dxa"/>
                  <w:vMerge w:val="continue"/>
                  <w:tcBorders>
                    <w:tl2br w:val="nil"/>
                    <w:tr2bl w:val="nil"/>
                  </w:tcBorders>
                  <w:noWrap w:val="0"/>
                  <w:vAlign w:val="center"/>
                </w:tcPr>
                <w:p w14:paraId="60194108">
                  <w:pPr>
                    <w:widowControl/>
                    <w:jc w:val="center"/>
                    <w:rPr>
                      <w:rFonts w:hint="eastAsia"/>
                      <w:color w:val="auto"/>
                      <w:spacing w:val="-6"/>
                      <w:sz w:val="22"/>
                      <w:szCs w:val="22"/>
                    </w:rPr>
                  </w:pPr>
                </w:p>
              </w:tc>
              <w:tc>
                <w:tcPr>
                  <w:tcW w:w="683" w:type="dxa"/>
                  <w:tcBorders>
                    <w:tl2br w:val="nil"/>
                    <w:tr2bl w:val="nil"/>
                  </w:tcBorders>
                  <w:noWrap w:val="0"/>
                  <w:vAlign w:val="center"/>
                </w:tcPr>
                <w:p w14:paraId="2481E597">
                  <w:pPr>
                    <w:widowControl/>
                    <w:jc w:val="center"/>
                    <w:rPr>
                      <w:rFonts w:ascii="Times New Roman" w:hAnsi="Times New Roman"/>
                      <w:color w:val="auto"/>
                      <w:spacing w:val="-6"/>
                      <w:sz w:val="22"/>
                      <w:szCs w:val="22"/>
                    </w:rPr>
                  </w:pPr>
                  <w:r>
                    <w:rPr>
                      <w:rFonts w:ascii="Times New Roman" w:hAnsi="Times New Roman"/>
                      <w:color w:val="auto"/>
                      <w:spacing w:val="-6"/>
                      <w:sz w:val="22"/>
                      <w:szCs w:val="22"/>
                    </w:rPr>
                    <w:t>达标</w:t>
                  </w:r>
                </w:p>
              </w:tc>
            </w:tr>
            <w:tr w14:paraId="27FDAE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7" w:type="dxa"/>
                  <w:vMerge w:val="continue"/>
                  <w:tcBorders>
                    <w:tl2br w:val="nil"/>
                    <w:tr2bl w:val="nil"/>
                  </w:tcBorders>
                  <w:noWrap w:val="0"/>
                  <w:vAlign w:val="center"/>
                </w:tcPr>
                <w:p w14:paraId="16D51945">
                  <w:pPr>
                    <w:widowControl/>
                    <w:jc w:val="center"/>
                    <w:rPr>
                      <w:rFonts w:hint="eastAsia"/>
                      <w:color w:val="auto"/>
                      <w:spacing w:val="-6"/>
                      <w:sz w:val="22"/>
                      <w:szCs w:val="22"/>
                    </w:rPr>
                  </w:pPr>
                </w:p>
              </w:tc>
              <w:tc>
                <w:tcPr>
                  <w:tcW w:w="700" w:type="dxa"/>
                  <w:vMerge w:val="continue"/>
                  <w:tcBorders>
                    <w:tl2br w:val="nil"/>
                    <w:tr2bl w:val="nil"/>
                  </w:tcBorders>
                  <w:noWrap w:val="0"/>
                  <w:vAlign w:val="center"/>
                </w:tcPr>
                <w:p w14:paraId="6D5F79B1">
                  <w:pPr>
                    <w:widowControl/>
                    <w:jc w:val="center"/>
                    <w:rPr>
                      <w:color w:val="auto"/>
                      <w:spacing w:val="-6"/>
                      <w:sz w:val="22"/>
                      <w:szCs w:val="22"/>
                    </w:rPr>
                  </w:pPr>
                </w:p>
              </w:tc>
              <w:tc>
                <w:tcPr>
                  <w:tcW w:w="1211" w:type="dxa"/>
                  <w:tcBorders>
                    <w:tl2br w:val="nil"/>
                    <w:tr2bl w:val="nil"/>
                  </w:tcBorders>
                  <w:noWrap w:val="0"/>
                  <w:vAlign w:val="center"/>
                </w:tcPr>
                <w:p w14:paraId="3A0EF8C3">
                  <w:pPr>
                    <w:jc w:val="center"/>
                    <w:rPr>
                      <w:rFonts w:hint="eastAsia" w:ascii="Times New Roman" w:hAnsi="Times New Roman"/>
                      <w:color w:val="auto"/>
                      <w:spacing w:val="-6"/>
                      <w:sz w:val="22"/>
                      <w:szCs w:val="22"/>
                      <w:lang w:val="en-US" w:eastAsia="zh-CN"/>
                    </w:rPr>
                  </w:pPr>
                  <w:r>
                    <w:rPr>
                      <w:rFonts w:hint="eastAsia" w:ascii="Times New Roman" w:hAnsi="Times New Roman"/>
                      <w:color w:val="auto"/>
                      <w:spacing w:val="-6"/>
                      <w:sz w:val="22"/>
                      <w:szCs w:val="22"/>
                      <w:lang w:val="en-US" w:eastAsia="zh-CN"/>
                    </w:rPr>
                    <w:t>氮氧化物</w:t>
                  </w:r>
                </w:p>
              </w:tc>
              <w:tc>
                <w:tcPr>
                  <w:tcW w:w="1027" w:type="dxa"/>
                  <w:tcBorders>
                    <w:tl2br w:val="nil"/>
                    <w:tr2bl w:val="nil"/>
                  </w:tcBorders>
                  <w:noWrap w:val="0"/>
                  <w:vAlign w:val="center"/>
                </w:tcPr>
                <w:p w14:paraId="18B6CA52">
                  <w:pPr>
                    <w:widowControl/>
                    <w:jc w:val="center"/>
                    <w:rPr>
                      <w:rFonts w:hint="default"/>
                      <w:color w:val="auto"/>
                      <w:spacing w:val="-6"/>
                      <w:sz w:val="22"/>
                      <w:szCs w:val="22"/>
                      <w:lang w:val="en-US" w:eastAsia="zh-CN"/>
                    </w:rPr>
                  </w:pPr>
                  <w:r>
                    <w:rPr>
                      <w:rFonts w:hint="eastAsia"/>
                      <w:color w:val="auto"/>
                      <w:spacing w:val="-6"/>
                      <w:sz w:val="22"/>
                      <w:szCs w:val="22"/>
                      <w:lang w:val="en-US" w:eastAsia="zh-CN"/>
                    </w:rPr>
                    <w:t>35</w:t>
                  </w:r>
                </w:p>
              </w:tc>
              <w:tc>
                <w:tcPr>
                  <w:tcW w:w="1085" w:type="dxa"/>
                  <w:tcBorders>
                    <w:tl2br w:val="nil"/>
                    <w:tr2bl w:val="nil"/>
                  </w:tcBorders>
                  <w:noWrap w:val="0"/>
                  <w:vAlign w:val="center"/>
                </w:tcPr>
                <w:p w14:paraId="65DAE001">
                  <w:pPr>
                    <w:widowControl/>
                    <w:jc w:val="center"/>
                    <w:rPr>
                      <w:rFonts w:hint="default" w:ascii="Times New Roman" w:hAnsi="Times New Roman"/>
                      <w:color w:val="auto"/>
                      <w:spacing w:val="-6"/>
                      <w:sz w:val="22"/>
                      <w:szCs w:val="22"/>
                      <w:lang w:val="en-US" w:eastAsia="zh-CN"/>
                    </w:rPr>
                  </w:pPr>
                  <w:r>
                    <w:rPr>
                      <w:rFonts w:hint="eastAsia" w:ascii="Times New Roman" w:hAnsi="Times New Roman"/>
                      <w:color w:val="auto"/>
                      <w:spacing w:val="-6"/>
                      <w:sz w:val="22"/>
                      <w:szCs w:val="22"/>
                      <w:lang w:val="en-US" w:eastAsia="zh-CN"/>
                    </w:rPr>
                    <w:t>7.84</w:t>
                  </w:r>
                  <w:r>
                    <w:rPr>
                      <w:rFonts w:hint="default" w:ascii="Arial" w:hAnsi="Arial" w:cs="Arial"/>
                      <w:color w:val="auto"/>
                      <w:spacing w:val="-6"/>
                      <w:sz w:val="22"/>
                      <w:szCs w:val="22"/>
                      <w:lang w:val="en-US" w:eastAsia="zh-CN"/>
                    </w:rPr>
                    <w:t>×</w:t>
                  </w:r>
                  <w:r>
                    <w:rPr>
                      <w:rFonts w:hint="eastAsia" w:ascii="Times New Roman" w:hAnsi="Times New Roman"/>
                      <w:color w:val="auto"/>
                      <w:spacing w:val="-6"/>
                      <w:sz w:val="22"/>
                      <w:szCs w:val="22"/>
                      <w:lang w:val="en-US" w:eastAsia="zh-CN"/>
                    </w:rPr>
                    <w:t>10</w:t>
                  </w:r>
                  <w:r>
                    <w:rPr>
                      <w:rFonts w:hint="eastAsia" w:ascii="Times New Roman" w:hAnsi="Times New Roman"/>
                      <w:color w:val="auto"/>
                      <w:spacing w:val="-6"/>
                      <w:sz w:val="22"/>
                      <w:szCs w:val="22"/>
                      <w:vertAlign w:val="superscript"/>
                      <w:lang w:val="en-US" w:eastAsia="zh-CN"/>
                    </w:rPr>
                    <w:t>-2</w:t>
                  </w:r>
                </w:p>
              </w:tc>
              <w:tc>
                <w:tcPr>
                  <w:tcW w:w="935" w:type="dxa"/>
                  <w:tcBorders>
                    <w:tl2br w:val="nil"/>
                    <w:tr2bl w:val="nil"/>
                  </w:tcBorders>
                  <w:noWrap w:val="0"/>
                  <w:vAlign w:val="center"/>
                </w:tcPr>
                <w:p w14:paraId="4F3DF0B0">
                  <w:pPr>
                    <w:widowControl/>
                    <w:jc w:val="center"/>
                    <w:rPr>
                      <w:rFonts w:hint="default"/>
                      <w:color w:val="auto"/>
                      <w:spacing w:val="-6"/>
                      <w:sz w:val="22"/>
                      <w:szCs w:val="22"/>
                      <w:lang w:val="en-US" w:eastAsia="zh-CN"/>
                    </w:rPr>
                  </w:pPr>
                  <w:r>
                    <w:rPr>
                      <w:rFonts w:hint="eastAsia"/>
                      <w:color w:val="auto"/>
                      <w:spacing w:val="-6"/>
                      <w:sz w:val="22"/>
                      <w:szCs w:val="22"/>
                      <w:lang w:val="en-US" w:eastAsia="zh-CN"/>
                    </w:rPr>
                    <w:t>300</w:t>
                  </w:r>
                </w:p>
              </w:tc>
              <w:tc>
                <w:tcPr>
                  <w:tcW w:w="796" w:type="dxa"/>
                  <w:tcBorders>
                    <w:tl2br w:val="nil"/>
                    <w:tr2bl w:val="nil"/>
                  </w:tcBorders>
                  <w:noWrap w:val="0"/>
                  <w:vAlign w:val="center"/>
                </w:tcPr>
                <w:p w14:paraId="0BA0C08C">
                  <w:pPr>
                    <w:widowControl/>
                    <w:jc w:val="center"/>
                    <w:rPr>
                      <w:rFonts w:hint="default" w:ascii="Times New Roman" w:hAnsi="Times New Roman"/>
                      <w:color w:val="auto"/>
                      <w:spacing w:val="-6"/>
                      <w:sz w:val="22"/>
                      <w:szCs w:val="22"/>
                      <w:lang w:val="en-US" w:eastAsia="zh-CN"/>
                    </w:rPr>
                  </w:pPr>
                  <w:r>
                    <w:rPr>
                      <w:rFonts w:hint="eastAsia" w:ascii="Times New Roman" w:hAnsi="Times New Roman"/>
                      <w:color w:val="auto"/>
                      <w:spacing w:val="-6"/>
                      <w:sz w:val="22"/>
                      <w:szCs w:val="22"/>
                      <w:lang w:val="en-US" w:eastAsia="zh-CN"/>
                    </w:rPr>
                    <w:t>/</w:t>
                  </w:r>
                </w:p>
              </w:tc>
              <w:tc>
                <w:tcPr>
                  <w:tcW w:w="646" w:type="dxa"/>
                  <w:vMerge w:val="continue"/>
                  <w:tcBorders>
                    <w:tl2br w:val="nil"/>
                    <w:tr2bl w:val="nil"/>
                  </w:tcBorders>
                  <w:noWrap w:val="0"/>
                  <w:vAlign w:val="center"/>
                </w:tcPr>
                <w:p w14:paraId="4BB798E1">
                  <w:pPr>
                    <w:widowControl/>
                    <w:jc w:val="center"/>
                    <w:rPr>
                      <w:rFonts w:hint="eastAsia"/>
                      <w:color w:val="auto"/>
                      <w:spacing w:val="-6"/>
                      <w:sz w:val="22"/>
                      <w:szCs w:val="22"/>
                    </w:rPr>
                  </w:pPr>
                </w:p>
              </w:tc>
              <w:tc>
                <w:tcPr>
                  <w:tcW w:w="683" w:type="dxa"/>
                  <w:tcBorders>
                    <w:tl2br w:val="nil"/>
                    <w:tr2bl w:val="nil"/>
                  </w:tcBorders>
                  <w:noWrap w:val="0"/>
                  <w:vAlign w:val="center"/>
                </w:tcPr>
                <w:p w14:paraId="2BB7D404">
                  <w:pPr>
                    <w:widowControl/>
                    <w:jc w:val="center"/>
                    <w:rPr>
                      <w:rFonts w:ascii="Times New Roman" w:hAnsi="Times New Roman"/>
                      <w:color w:val="auto"/>
                      <w:spacing w:val="-6"/>
                      <w:sz w:val="22"/>
                      <w:szCs w:val="22"/>
                    </w:rPr>
                  </w:pPr>
                  <w:r>
                    <w:rPr>
                      <w:rFonts w:ascii="Times New Roman" w:hAnsi="Times New Roman"/>
                      <w:color w:val="auto"/>
                      <w:spacing w:val="-6"/>
                      <w:sz w:val="22"/>
                      <w:szCs w:val="22"/>
                    </w:rPr>
                    <w:t>达标</w:t>
                  </w:r>
                </w:p>
              </w:tc>
            </w:tr>
          </w:tbl>
          <w:p w14:paraId="3DE2EFCF">
            <w:pPr>
              <w:adjustRightInd w:val="0"/>
              <w:snapToGrid w:val="0"/>
              <w:spacing w:line="460" w:lineRule="exact"/>
              <w:jc w:val="center"/>
              <w:rPr>
                <w:rFonts w:hint="eastAsia" w:ascii="Times New Roman" w:hAnsi="Times New Roman"/>
                <w:b/>
                <w:bCs w:val="0"/>
                <w:color w:val="auto"/>
                <w:sz w:val="24"/>
              </w:rPr>
            </w:pPr>
            <w:r>
              <w:rPr>
                <w:rFonts w:hint="eastAsia" w:ascii="Times New Roman" w:hAnsi="Times New Roman"/>
                <w:b/>
                <w:bCs w:val="0"/>
                <w:color w:val="auto"/>
                <w:sz w:val="26"/>
                <w:szCs w:val="26"/>
              </w:rPr>
              <w:t>表2.1</w:t>
            </w:r>
            <w:r>
              <w:rPr>
                <w:rFonts w:hint="eastAsia" w:ascii="Times New Roman" w:hAnsi="Times New Roman"/>
                <w:b/>
                <w:bCs w:val="0"/>
                <w:color w:val="auto"/>
                <w:sz w:val="26"/>
                <w:szCs w:val="26"/>
                <w:lang w:val="en-US" w:eastAsia="zh-CN"/>
              </w:rPr>
              <w:t>6</w:t>
            </w:r>
            <w:r>
              <w:rPr>
                <w:rFonts w:hint="eastAsia" w:ascii="Times New Roman" w:hAnsi="Times New Roman"/>
                <w:b/>
                <w:bCs w:val="0"/>
                <w:color w:val="auto"/>
                <w:sz w:val="26"/>
                <w:szCs w:val="26"/>
              </w:rPr>
              <w:t>-</w:t>
            </w:r>
            <w:r>
              <w:rPr>
                <w:rFonts w:hint="eastAsia" w:ascii="Times New Roman" w:hAnsi="Times New Roman"/>
                <w:b/>
                <w:bCs w:val="0"/>
                <w:color w:val="auto"/>
                <w:sz w:val="26"/>
                <w:szCs w:val="26"/>
                <w:lang w:val="en-US" w:eastAsia="zh-CN"/>
              </w:rPr>
              <w:t>2</w:t>
            </w:r>
            <w:r>
              <w:rPr>
                <w:rFonts w:hint="eastAsia" w:ascii="Times New Roman" w:hAnsi="Times New Roman"/>
                <w:b/>
                <w:bCs w:val="0"/>
                <w:color w:val="auto"/>
                <w:sz w:val="26"/>
                <w:szCs w:val="26"/>
              </w:rPr>
              <w:t xml:space="preserve">  现有项目废气</w:t>
            </w:r>
            <w:r>
              <w:rPr>
                <w:rFonts w:hint="eastAsia" w:ascii="Times New Roman" w:hAnsi="Times New Roman"/>
                <w:b/>
                <w:bCs w:val="0"/>
                <w:color w:val="auto"/>
                <w:sz w:val="26"/>
                <w:szCs w:val="26"/>
                <w:lang w:val="en-US" w:eastAsia="zh-CN"/>
              </w:rPr>
              <w:t>（无组织）</w:t>
            </w:r>
            <w:r>
              <w:rPr>
                <w:rFonts w:hint="eastAsia" w:ascii="Times New Roman" w:hAnsi="Times New Roman"/>
                <w:b/>
                <w:bCs w:val="0"/>
                <w:color w:val="auto"/>
                <w:sz w:val="26"/>
                <w:szCs w:val="26"/>
              </w:rPr>
              <w:t>排放情况分析表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065"/>
              <w:gridCol w:w="1547"/>
              <w:gridCol w:w="1163"/>
              <w:gridCol w:w="1543"/>
              <w:gridCol w:w="897"/>
            </w:tblGrid>
            <w:tr w14:paraId="28D75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64" w:type="dxa"/>
                  <w:tcBorders>
                    <w:tl2br w:val="nil"/>
                    <w:tr2bl w:val="nil"/>
                  </w:tcBorders>
                  <w:noWrap w:val="0"/>
                  <w:vAlign w:val="center"/>
                </w:tcPr>
                <w:p w14:paraId="527DAEE8">
                  <w:pPr>
                    <w:widowControl/>
                    <w:jc w:val="center"/>
                    <w:rPr>
                      <w:rFonts w:ascii="Times New Roman" w:hAnsi="Times New Roman"/>
                      <w:color w:val="auto"/>
                      <w:spacing w:val="-6"/>
                      <w:sz w:val="22"/>
                      <w:szCs w:val="22"/>
                    </w:rPr>
                  </w:pPr>
                  <w:r>
                    <w:rPr>
                      <w:rFonts w:hint="eastAsia" w:ascii="Times New Roman" w:hAnsi="Times New Roman"/>
                      <w:color w:val="auto"/>
                      <w:spacing w:val="-6"/>
                      <w:sz w:val="22"/>
                      <w:szCs w:val="22"/>
                    </w:rPr>
                    <w:t>污染源</w:t>
                  </w:r>
                </w:p>
              </w:tc>
              <w:tc>
                <w:tcPr>
                  <w:tcW w:w="1097" w:type="dxa"/>
                  <w:tcBorders>
                    <w:tl2br w:val="nil"/>
                    <w:tr2bl w:val="nil"/>
                  </w:tcBorders>
                  <w:noWrap w:val="0"/>
                  <w:vAlign w:val="center"/>
                </w:tcPr>
                <w:p w14:paraId="6D4A6E5A">
                  <w:pPr>
                    <w:widowControl/>
                    <w:jc w:val="center"/>
                    <w:rPr>
                      <w:rFonts w:hint="eastAsia" w:ascii="Times New Roman" w:hAnsi="Times New Roman"/>
                      <w:color w:val="auto"/>
                      <w:spacing w:val="-6"/>
                      <w:sz w:val="22"/>
                      <w:szCs w:val="22"/>
                    </w:rPr>
                  </w:pPr>
                  <w:r>
                    <w:rPr>
                      <w:rFonts w:hint="eastAsia" w:ascii="Times New Roman" w:hAnsi="Times New Roman"/>
                      <w:color w:val="auto"/>
                      <w:spacing w:val="-6"/>
                      <w:sz w:val="22"/>
                      <w:szCs w:val="22"/>
                    </w:rPr>
                    <w:t>监测</w:t>
                  </w:r>
                </w:p>
                <w:p w14:paraId="38512883">
                  <w:pPr>
                    <w:widowControl/>
                    <w:jc w:val="center"/>
                    <w:rPr>
                      <w:rFonts w:ascii="Times New Roman" w:hAnsi="Times New Roman"/>
                      <w:color w:val="auto"/>
                      <w:spacing w:val="-6"/>
                      <w:sz w:val="22"/>
                      <w:szCs w:val="22"/>
                    </w:rPr>
                  </w:pPr>
                  <w:r>
                    <w:rPr>
                      <w:rFonts w:hint="eastAsia" w:ascii="Times New Roman" w:hAnsi="Times New Roman"/>
                      <w:color w:val="auto"/>
                      <w:spacing w:val="-6"/>
                      <w:sz w:val="22"/>
                      <w:szCs w:val="22"/>
                    </w:rPr>
                    <w:t>时间</w:t>
                  </w:r>
                </w:p>
              </w:tc>
              <w:tc>
                <w:tcPr>
                  <w:tcW w:w="1596" w:type="dxa"/>
                  <w:tcBorders>
                    <w:tl2br w:val="nil"/>
                    <w:tr2bl w:val="nil"/>
                  </w:tcBorders>
                  <w:noWrap w:val="0"/>
                  <w:vAlign w:val="center"/>
                </w:tcPr>
                <w:p w14:paraId="07A20721">
                  <w:pPr>
                    <w:widowControl/>
                    <w:jc w:val="center"/>
                    <w:rPr>
                      <w:rFonts w:ascii="Times New Roman" w:hAnsi="Times New Roman"/>
                      <w:color w:val="auto"/>
                      <w:spacing w:val="-6"/>
                      <w:sz w:val="22"/>
                      <w:szCs w:val="22"/>
                    </w:rPr>
                  </w:pPr>
                  <w:r>
                    <w:rPr>
                      <w:rFonts w:hint="eastAsia" w:ascii="Times New Roman" w:hAnsi="Times New Roman"/>
                      <w:color w:val="auto"/>
                      <w:spacing w:val="-6"/>
                      <w:sz w:val="22"/>
                      <w:szCs w:val="22"/>
                    </w:rPr>
                    <w:t>项目</w:t>
                  </w:r>
                </w:p>
              </w:tc>
              <w:tc>
                <w:tcPr>
                  <w:tcW w:w="1198" w:type="dxa"/>
                  <w:tcBorders>
                    <w:tl2br w:val="nil"/>
                    <w:tr2bl w:val="nil"/>
                  </w:tcBorders>
                  <w:noWrap w:val="0"/>
                  <w:vAlign w:val="center"/>
                </w:tcPr>
                <w:p w14:paraId="49490FFD">
                  <w:pPr>
                    <w:widowControl/>
                    <w:jc w:val="center"/>
                    <w:rPr>
                      <w:rFonts w:ascii="Times New Roman" w:hAnsi="Times New Roman"/>
                      <w:color w:val="auto"/>
                      <w:spacing w:val="-6"/>
                      <w:sz w:val="22"/>
                      <w:szCs w:val="22"/>
                    </w:rPr>
                  </w:pPr>
                  <w:r>
                    <w:rPr>
                      <w:rFonts w:hint="eastAsia" w:ascii="Times New Roman" w:hAnsi="Times New Roman"/>
                      <w:color w:val="auto"/>
                      <w:spacing w:val="-6"/>
                      <w:sz w:val="22"/>
                      <w:szCs w:val="22"/>
                    </w:rPr>
                    <w:t>最大浓度(mg/m</w:t>
                  </w:r>
                  <w:r>
                    <w:rPr>
                      <w:rFonts w:hint="eastAsia" w:ascii="Times New Roman" w:hAnsi="Times New Roman"/>
                      <w:color w:val="auto"/>
                      <w:spacing w:val="-6"/>
                      <w:sz w:val="22"/>
                      <w:szCs w:val="22"/>
                      <w:vertAlign w:val="superscript"/>
                    </w:rPr>
                    <w:t>3</w:t>
                  </w:r>
                  <w:r>
                    <w:rPr>
                      <w:rFonts w:hint="eastAsia" w:ascii="Times New Roman" w:hAnsi="Times New Roman"/>
                      <w:color w:val="auto"/>
                      <w:spacing w:val="-6"/>
                      <w:sz w:val="22"/>
                      <w:szCs w:val="22"/>
                    </w:rPr>
                    <w:t>)</w:t>
                  </w:r>
                </w:p>
              </w:tc>
              <w:tc>
                <w:tcPr>
                  <w:tcW w:w="1592" w:type="dxa"/>
                  <w:tcBorders>
                    <w:tl2br w:val="nil"/>
                    <w:tr2bl w:val="nil"/>
                  </w:tcBorders>
                  <w:noWrap w:val="0"/>
                  <w:vAlign w:val="center"/>
                </w:tcPr>
                <w:p w14:paraId="5618A626">
                  <w:pPr>
                    <w:widowControl/>
                    <w:jc w:val="center"/>
                    <w:rPr>
                      <w:rFonts w:ascii="Times New Roman" w:hAnsi="Times New Roman"/>
                      <w:color w:val="auto"/>
                      <w:spacing w:val="-6"/>
                      <w:sz w:val="22"/>
                      <w:szCs w:val="22"/>
                    </w:rPr>
                  </w:pPr>
                  <w:r>
                    <w:rPr>
                      <w:rFonts w:hint="eastAsia" w:ascii="Times New Roman" w:hAnsi="Times New Roman"/>
                      <w:color w:val="auto"/>
                      <w:spacing w:val="-6"/>
                      <w:sz w:val="22"/>
                      <w:szCs w:val="22"/>
                    </w:rPr>
                    <w:t>排放标准浓度(mg/m</w:t>
                  </w:r>
                  <w:r>
                    <w:rPr>
                      <w:rFonts w:hint="eastAsia" w:ascii="Times New Roman" w:hAnsi="Times New Roman"/>
                      <w:color w:val="auto"/>
                      <w:spacing w:val="-6"/>
                      <w:sz w:val="22"/>
                      <w:szCs w:val="22"/>
                      <w:vertAlign w:val="superscript"/>
                    </w:rPr>
                    <w:t>3</w:t>
                  </w:r>
                  <w:r>
                    <w:rPr>
                      <w:rFonts w:hint="eastAsia" w:ascii="Times New Roman" w:hAnsi="Times New Roman"/>
                      <w:color w:val="auto"/>
                      <w:spacing w:val="-6"/>
                      <w:sz w:val="22"/>
                      <w:szCs w:val="22"/>
                    </w:rPr>
                    <w:t>)</w:t>
                  </w:r>
                </w:p>
              </w:tc>
              <w:tc>
                <w:tcPr>
                  <w:tcW w:w="922" w:type="dxa"/>
                  <w:tcBorders>
                    <w:tl2br w:val="nil"/>
                    <w:tr2bl w:val="nil"/>
                  </w:tcBorders>
                  <w:noWrap w:val="0"/>
                  <w:vAlign w:val="center"/>
                </w:tcPr>
                <w:p w14:paraId="3DD5F2D5">
                  <w:pPr>
                    <w:widowControl/>
                    <w:jc w:val="center"/>
                    <w:rPr>
                      <w:rFonts w:hint="eastAsia" w:ascii="Times New Roman" w:hAnsi="Times New Roman"/>
                      <w:color w:val="auto"/>
                      <w:spacing w:val="-6"/>
                      <w:sz w:val="22"/>
                      <w:szCs w:val="22"/>
                    </w:rPr>
                  </w:pPr>
                  <w:r>
                    <w:rPr>
                      <w:rFonts w:hint="eastAsia" w:ascii="Times New Roman" w:hAnsi="Times New Roman"/>
                      <w:color w:val="auto"/>
                      <w:spacing w:val="-6"/>
                      <w:sz w:val="22"/>
                      <w:szCs w:val="22"/>
                    </w:rPr>
                    <w:t>达标</w:t>
                  </w:r>
                </w:p>
                <w:p w14:paraId="6D389F7E">
                  <w:pPr>
                    <w:widowControl/>
                    <w:jc w:val="center"/>
                    <w:rPr>
                      <w:rFonts w:ascii="Times New Roman" w:hAnsi="Times New Roman"/>
                      <w:color w:val="auto"/>
                      <w:spacing w:val="-6"/>
                      <w:sz w:val="22"/>
                      <w:szCs w:val="22"/>
                    </w:rPr>
                  </w:pPr>
                  <w:r>
                    <w:rPr>
                      <w:rFonts w:hint="eastAsia" w:ascii="Times New Roman" w:hAnsi="Times New Roman"/>
                      <w:color w:val="auto"/>
                      <w:spacing w:val="-6"/>
                      <w:sz w:val="22"/>
                      <w:szCs w:val="22"/>
                    </w:rPr>
                    <w:t>情况</w:t>
                  </w:r>
                </w:p>
              </w:tc>
            </w:tr>
            <w:tr w14:paraId="295E6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64" w:type="dxa"/>
                  <w:vMerge w:val="restart"/>
                  <w:tcBorders>
                    <w:tl2br w:val="nil"/>
                    <w:tr2bl w:val="nil"/>
                  </w:tcBorders>
                  <w:noWrap w:val="0"/>
                  <w:vAlign w:val="center"/>
                </w:tcPr>
                <w:p w14:paraId="789A0297">
                  <w:pPr>
                    <w:widowControl/>
                    <w:jc w:val="center"/>
                    <w:rPr>
                      <w:rFonts w:hint="eastAsia"/>
                      <w:color w:val="auto"/>
                      <w:spacing w:val="-6"/>
                      <w:sz w:val="22"/>
                      <w:szCs w:val="22"/>
                      <w:lang w:val="en-US" w:eastAsia="zh-CN"/>
                    </w:rPr>
                  </w:pPr>
                  <w:r>
                    <w:rPr>
                      <w:rFonts w:hint="eastAsia"/>
                      <w:color w:val="auto"/>
                      <w:spacing w:val="-6"/>
                      <w:sz w:val="22"/>
                      <w:szCs w:val="22"/>
                      <w:lang w:val="en-US" w:eastAsia="zh-CN"/>
                    </w:rPr>
                    <w:t>厂界西南侧</w:t>
                  </w:r>
                </w:p>
              </w:tc>
              <w:tc>
                <w:tcPr>
                  <w:tcW w:w="1097" w:type="dxa"/>
                  <w:vMerge w:val="restart"/>
                  <w:tcBorders>
                    <w:tl2br w:val="nil"/>
                    <w:tr2bl w:val="nil"/>
                  </w:tcBorders>
                  <w:noWrap w:val="0"/>
                  <w:vAlign w:val="center"/>
                </w:tcPr>
                <w:p w14:paraId="215C7F93">
                  <w:pPr>
                    <w:jc w:val="center"/>
                    <w:rPr>
                      <w:rFonts w:hint="default" w:ascii="Times New Roman" w:hAnsi="Times New Roman"/>
                      <w:color w:val="auto"/>
                      <w:spacing w:val="-6"/>
                      <w:sz w:val="22"/>
                      <w:szCs w:val="22"/>
                      <w:lang w:val="en-US" w:eastAsia="zh-CN"/>
                    </w:rPr>
                  </w:pPr>
                  <w:r>
                    <w:rPr>
                      <w:rFonts w:hint="eastAsia" w:ascii="Times New Roman" w:hAnsi="Times New Roman"/>
                      <w:color w:val="auto"/>
                      <w:spacing w:val="-6"/>
                      <w:sz w:val="22"/>
                      <w:szCs w:val="22"/>
                      <w:lang w:val="en-US" w:eastAsia="zh-CN"/>
                    </w:rPr>
                    <w:t>2025.9.11</w:t>
                  </w:r>
                </w:p>
              </w:tc>
              <w:tc>
                <w:tcPr>
                  <w:tcW w:w="1596" w:type="dxa"/>
                  <w:tcBorders>
                    <w:tl2br w:val="nil"/>
                    <w:tr2bl w:val="nil"/>
                  </w:tcBorders>
                  <w:noWrap w:val="0"/>
                  <w:vAlign w:val="center"/>
                </w:tcPr>
                <w:p w14:paraId="2D6C5ABE">
                  <w:pPr>
                    <w:jc w:val="center"/>
                    <w:rPr>
                      <w:rFonts w:hint="eastAsia" w:ascii="Times New Roman" w:hAnsi="Times New Roman" w:eastAsia="宋体"/>
                      <w:color w:val="auto"/>
                      <w:spacing w:val="-6"/>
                      <w:kern w:val="2"/>
                      <w:sz w:val="22"/>
                      <w:szCs w:val="22"/>
                      <w:lang w:val="en-US" w:eastAsia="zh-CN" w:bidi="ar-SA"/>
                    </w:rPr>
                  </w:pPr>
                  <w:r>
                    <w:rPr>
                      <w:rFonts w:hint="eastAsia" w:ascii="Times New Roman" w:hAnsi="Times New Roman" w:eastAsia="宋体"/>
                      <w:color w:val="auto"/>
                      <w:spacing w:val="-6"/>
                      <w:sz w:val="22"/>
                      <w:szCs w:val="22"/>
                      <w:lang w:val="en-US" w:eastAsia="zh-CN"/>
                    </w:rPr>
                    <w:t>颗粒物</w:t>
                  </w:r>
                </w:p>
              </w:tc>
              <w:tc>
                <w:tcPr>
                  <w:tcW w:w="1198" w:type="dxa"/>
                  <w:tcBorders>
                    <w:tl2br w:val="nil"/>
                    <w:tr2bl w:val="nil"/>
                  </w:tcBorders>
                  <w:noWrap w:val="0"/>
                  <w:vAlign w:val="center"/>
                </w:tcPr>
                <w:p w14:paraId="0B43907B">
                  <w:pPr>
                    <w:widowControl/>
                    <w:jc w:val="center"/>
                    <w:rPr>
                      <w:rFonts w:hint="default"/>
                      <w:color w:val="auto"/>
                      <w:spacing w:val="-6"/>
                      <w:sz w:val="22"/>
                      <w:szCs w:val="22"/>
                      <w:lang w:val="en-US" w:eastAsia="zh-CN"/>
                    </w:rPr>
                  </w:pPr>
                  <w:r>
                    <w:rPr>
                      <w:rFonts w:hint="eastAsia"/>
                      <w:color w:val="auto"/>
                      <w:spacing w:val="-6"/>
                      <w:sz w:val="22"/>
                      <w:szCs w:val="22"/>
                      <w:lang w:val="en-US" w:eastAsia="zh-CN"/>
                    </w:rPr>
                    <w:t>0.42</w:t>
                  </w:r>
                </w:p>
              </w:tc>
              <w:tc>
                <w:tcPr>
                  <w:tcW w:w="1592" w:type="dxa"/>
                  <w:tcBorders>
                    <w:tl2br w:val="nil"/>
                    <w:tr2bl w:val="nil"/>
                  </w:tcBorders>
                  <w:noWrap w:val="0"/>
                  <w:vAlign w:val="center"/>
                </w:tcPr>
                <w:p w14:paraId="434FE7BE">
                  <w:pPr>
                    <w:widowControl/>
                    <w:jc w:val="center"/>
                    <w:rPr>
                      <w:rFonts w:hint="eastAsia"/>
                      <w:color w:val="auto"/>
                      <w:spacing w:val="-6"/>
                      <w:sz w:val="22"/>
                      <w:szCs w:val="22"/>
                      <w:lang w:val="en-US" w:eastAsia="zh-CN"/>
                    </w:rPr>
                  </w:pPr>
                  <w:r>
                    <w:rPr>
                      <w:rFonts w:hint="eastAsia" w:ascii="Times New Roman" w:hAnsi="Times New Roman"/>
                      <w:color w:val="auto"/>
                      <w:spacing w:val="-6"/>
                      <w:sz w:val="22"/>
                      <w:szCs w:val="22"/>
                      <w:lang w:val="en-US" w:eastAsia="zh-CN"/>
                    </w:rPr>
                    <w:t>1.0</w:t>
                  </w:r>
                </w:p>
              </w:tc>
              <w:tc>
                <w:tcPr>
                  <w:tcW w:w="922" w:type="dxa"/>
                  <w:tcBorders>
                    <w:tl2br w:val="nil"/>
                    <w:tr2bl w:val="nil"/>
                  </w:tcBorders>
                  <w:noWrap w:val="0"/>
                  <w:vAlign w:val="center"/>
                </w:tcPr>
                <w:p w14:paraId="6E0905B3">
                  <w:pPr>
                    <w:widowControl/>
                    <w:jc w:val="center"/>
                    <w:rPr>
                      <w:rFonts w:ascii="Times New Roman" w:hAnsi="Times New Roman"/>
                      <w:color w:val="auto"/>
                      <w:spacing w:val="-6"/>
                      <w:sz w:val="22"/>
                      <w:szCs w:val="22"/>
                    </w:rPr>
                  </w:pPr>
                  <w:r>
                    <w:rPr>
                      <w:rFonts w:ascii="Times New Roman" w:hAnsi="Times New Roman"/>
                      <w:color w:val="auto"/>
                      <w:spacing w:val="-6"/>
                      <w:sz w:val="22"/>
                      <w:szCs w:val="22"/>
                    </w:rPr>
                    <w:t>达标</w:t>
                  </w:r>
                </w:p>
              </w:tc>
            </w:tr>
            <w:tr w14:paraId="51D6BD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64" w:type="dxa"/>
                  <w:vMerge w:val="continue"/>
                  <w:tcBorders>
                    <w:tl2br w:val="nil"/>
                    <w:tr2bl w:val="nil"/>
                  </w:tcBorders>
                  <w:noWrap w:val="0"/>
                  <w:vAlign w:val="center"/>
                </w:tcPr>
                <w:p w14:paraId="1955472D">
                  <w:pPr>
                    <w:widowControl/>
                    <w:jc w:val="center"/>
                    <w:rPr>
                      <w:rFonts w:hint="eastAsia"/>
                      <w:color w:val="auto"/>
                      <w:spacing w:val="-6"/>
                      <w:sz w:val="22"/>
                      <w:szCs w:val="22"/>
                      <w:lang w:val="en-US" w:eastAsia="zh-CN"/>
                    </w:rPr>
                  </w:pPr>
                </w:p>
              </w:tc>
              <w:tc>
                <w:tcPr>
                  <w:tcW w:w="1097" w:type="dxa"/>
                  <w:vMerge w:val="continue"/>
                  <w:tcBorders>
                    <w:tl2br w:val="nil"/>
                    <w:tr2bl w:val="nil"/>
                  </w:tcBorders>
                  <w:noWrap w:val="0"/>
                  <w:vAlign w:val="center"/>
                </w:tcPr>
                <w:p w14:paraId="4F4D044B">
                  <w:pPr>
                    <w:jc w:val="center"/>
                    <w:rPr>
                      <w:rFonts w:hint="eastAsia" w:ascii="Times New Roman" w:hAnsi="Times New Roman"/>
                      <w:color w:val="auto"/>
                      <w:spacing w:val="-6"/>
                      <w:sz w:val="22"/>
                      <w:szCs w:val="22"/>
                      <w:lang w:val="en-US" w:eastAsia="zh-CN"/>
                    </w:rPr>
                  </w:pPr>
                </w:p>
              </w:tc>
              <w:tc>
                <w:tcPr>
                  <w:tcW w:w="1596" w:type="dxa"/>
                  <w:tcBorders>
                    <w:tl2br w:val="nil"/>
                    <w:tr2bl w:val="nil"/>
                  </w:tcBorders>
                  <w:noWrap w:val="0"/>
                  <w:vAlign w:val="center"/>
                </w:tcPr>
                <w:p w14:paraId="098CDF24">
                  <w:pPr>
                    <w:jc w:val="center"/>
                    <w:rPr>
                      <w:rFonts w:hint="eastAsia" w:ascii="Times New Roman" w:hAnsi="Times New Roman" w:eastAsia="宋体"/>
                      <w:color w:val="auto"/>
                      <w:spacing w:val="-6"/>
                      <w:kern w:val="2"/>
                      <w:sz w:val="22"/>
                      <w:szCs w:val="22"/>
                      <w:lang w:val="en-US" w:eastAsia="zh-CN" w:bidi="ar-SA"/>
                    </w:rPr>
                  </w:pPr>
                  <w:r>
                    <w:rPr>
                      <w:rFonts w:hint="eastAsia" w:ascii="Times New Roman" w:hAnsi="Times New Roman" w:eastAsia="宋体"/>
                      <w:color w:val="auto"/>
                      <w:spacing w:val="-6"/>
                      <w:sz w:val="22"/>
                      <w:szCs w:val="22"/>
                      <w:lang w:val="en-US" w:eastAsia="zh-CN"/>
                    </w:rPr>
                    <w:t>二氧化硫</w:t>
                  </w:r>
                </w:p>
              </w:tc>
              <w:tc>
                <w:tcPr>
                  <w:tcW w:w="1198" w:type="dxa"/>
                  <w:tcBorders>
                    <w:tl2br w:val="nil"/>
                    <w:tr2bl w:val="nil"/>
                  </w:tcBorders>
                  <w:noWrap w:val="0"/>
                  <w:vAlign w:val="center"/>
                </w:tcPr>
                <w:p w14:paraId="4B128721">
                  <w:pPr>
                    <w:widowControl/>
                    <w:jc w:val="center"/>
                    <w:rPr>
                      <w:rFonts w:hint="default"/>
                      <w:color w:val="auto"/>
                      <w:spacing w:val="-6"/>
                      <w:sz w:val="22"/>
                      <w:szCs w:val="22"/>
                      <w:lang w:val="en-US" w:eastAsia="zh-CN"/>
                    </w:rPr>
                  </w:pPr>
                  <w:r>
                    <w:rPr>
                      <w:rFonts w:hint="eastAsia"/>
                      <w:color w:val="auto"/>
                      <w:spacing w:val="-6"/>
                      <w:sz w:val="22"/>
                      <w:szCs w:val="22"/>
                      <w:lang w:val="en-US" w:eastAsia="zh-CN"/>
                    </w:rPr>
                    <w:t>0.016</w:t>
                  </w:r>
                </w:p>
              </w:tc>
              <w:tc>
                <w:tcPr>
                  <w:tcW w:w="1592" w:type="dxa"/>
                  <w:tcBorders>
                    <w:tl2br w:val="nil"/>
                    <w:tr2bl w:val="nil"/>
                  </w:tcBorders>
                  <w:noWrap w:val="0"/>
                  <w:vAlign w:val="center"/>
                </w:tcPr>
                <w:p w14:paraId="1FFDB7BC">
                  <w:pPr>
                    <w:widowControl/>
                    <w:jc w:val="center"/>
                    <w:rPr>
                      <w:rFonts w:hint="eastAsia"/>
                      <w:color w:val="auto"/>
                      <w:spacing w:val="-6"/>
                      <w:sz w:val="22"/>
                      <w:szCs w:val="22"/>
                      <w:lang w:val="en-US" w:eastAsia="zh-CN"/>
                    </w:rPr>
                  </w:pPr>
                  <w:r>
                    <w:rPr>
                      <w:rFonts w:hint="eastAsia" w:ascii="Times New Roman" w:hAnsi="Times New Roman"/>
                      <w:color w:val="auto"/>
                      <w:spacing w:val="-6"/>
                      <w:sz w:val="22"/>
                      <w:szCs w:val="22"/>
                      <w:lang w:val="en-US" w:eastAsia="zh-CN"/>
                    </w:rPr>
                    <w:t>0.4</w:t>
                  </w:r>
                </w:p>
              </w:tc>
              <w:tc>
                <w:tcPr>
                  <w:tcW w:w="922" w:type="dxa"/>
                  <w:tcBorders>
                    <w:tl2br w:val="nil"/>
                    <w:tr2bl w:val="nil"/>
                  </w:tcBorders>
                  <w:noWrap w:val="0"/>
                  <w:vAlign w:val="center"/>
                </w:tcPr>
                <w:p w14:paraId="2A229B06">
                  <w:pPr>
                    <w:widowControl/>
                    <w:jc w:val="center"/>
                    <w:rPr>
                      <w:rFonts w:ascii="Times New Roman" w:hAnsi="Times New Roman"/>
                      <w:color w:val="auto"/>
                      <w:spacing w:val="-6"/>
                      <w:sz w:val="22"/>
                      <w:szCs w:val="22"/>
                    </w:rPr>
                  </w:pPr>
                  <w:r>
                    <w:rPr>
                      <w:rFonts w:ascii="Times New Roman" w:hAnsi="Times New Roman"/>
                      <w:color w:val="auto"/>
                      <w:spacing w:val="-6"/>
                      <w:sz w:val="22"/>
                      <w:szCs w:val="22"/>
                    </w:rPr>
                    <w:t>达标</w:t>
                  </w:r>
                </w:p>
              </w:tc>
            </w:tr>
            <w:tr w14:paraId="4AC14E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64" w:type="dxa"/>
                  <w:vMerge w:val="continue"/>
                  <w:tcBorders>
                    <w:tl2br w:val="nil"/>
                    <w:tr2bl w:val="nil"/>
                  </w:tcBorders>
                  <w:noWrap w:val="0"/>
                  <w:vAlign w:val="center"/>
                </w:tcPr>
                <w:p w14:paraId="03DF7F67">
                  <w:pPr>
                    <w:widowControl/>
                    <w:jc w:val="center"/>
                    <w:rPr>
                      <w:rFonts w:hint="eastAsia"/>
                      <w:color w:val="auto"/>
                      <w:spacing w:val="-6"/>
                      <w:sz w:val="22"/>
                      <w:szCs w:val="22"/>
                      <w:lang w:val="en-US" w:eastAsia="zh-CN"/>
                    </w:rPr>
                  </w:pPr>
                </w:p>
              </w:tc>
              <w:tc>
                <w:tcPr>
                  <w:tcW w:w="1097" w:type="dxa"/>
                  <w:vMerge w:val="continue"/>
                  <w:tcBorders>
                    <w:tl2br w:val="nil"/>
                    <w:tr2bl w:val="nil"/>
                  </w:tcBorders>
                  <w:noWrap w:val="0"/>
                  <w:vAlign w:val="center"/>
                </w:tcPr>
                <w:p w14:paraId="3C2C1F4D">
                  <w:pPr>
                    <w:jc w:val="center"/>
                    <w:rPr>
                      <w:rFonts w:hint="eastAsia" w:ascii="Times New Roman" w:hAnsi="Times New Roman"/>
                      <w:color w:val="auto"/>
                      <w:spacing w:val="-6"/>
                      <w:sz w:val="22"/>
                      <w:szCs w:val="22"/>
                      <w:lang w:val="en-US" w:eastAsia="zh-CN"/>
                    </w:rPr>
                  </w:pPr>
                </w:p>
              </w:tc>
              <w:tc>
                <w:tcPr>
                  <w:tcW w:w="1596" w:type="dxa"/>
                  <w:tcBorders>
                    <w:tl2br w:val="nil"/>
                    <w:tr2bl w:val="nil"/>
                  </w:tcBorders>
                  <w:noWrap w:val="0"/>
                  <w:vAlign w:val="center"/>
                </w:tcPr>
                <w:p w14:paraId="5AB9765E">
                  <w:pPr>
                    <w:jc w:val="center"/>
                    <w:rPr>
                      <w:rFonts w:hint="eastAsia" w:ascii="Times New Roman" w:hAnsi="Times New Roman" w:eastAsia="宋体"/>
                      <w:color w:val="auto"/>
                      <w:spacing w:val="-6"/>
                      <w:kern w:val="2"/>
                      <w:sz w:val="22"/>
                      <w:szCs w:val="22"/>
                      <w:lang w:val="en-US" w:eastAsia="zh-CN" w:bidi="ar-SA"/>
                    </w:rPr>
                  </w:pPr>
                  <w:r>
                    <w:rPr>
                      <w:rFonts w:hint="eastAsia" w:ascii="Times New Roman" w:hAnsi="Times New Roman"/>
                      <w:color w:val="auto"/>
                      <w:spacing w:val="-6"/>
                      <w:sz w:val="22"/>
                      <w:szCs w:val="22"/>
                      <w:lang w:val="en-US" w:eastAsia="zh-CN"/>
                    </w:rPr>
                    <w:t>氮氧化物</w:t>
                  </w:r>
                </w:p>
              </w:tc>
              <w:tc>
                <w:tcPr>
                  <w:tcW w:w="1198" w:type="dxa"/>
                  <w:tcBorders>
                    <w:tl2br w:val="nil"/>
                    <w:tr2bl w:val="nil"/>
                  </w:tcBorders>
                  <w:noWrap w:val="0"/>
                  <w:vAlign w:val="center"/>
                </w:tcPr>
                <w:p w14:paraId="0A740D1B">
                  <w:pPr>
                    <w:widowControl/>
                    <w:jc w:val="center"/>
                    <w:rPr>
                      <w:rFonts w:hint="default"/>
                      <w:color w:val="auto"/>
                      <w:spacing w:val="-6"/>
                      <w:sz w:val="22"/>
                      <w:szCs w:val="22"/>
                      <w:lang w:val="en-US" w:eastAsia="zh-CN"/>
                    </w:rPr>
                  </w:pPr>
                  <w:r>
                    <w:rPr>
                      <w:rFonts w:hint="eastAsia"/>
                      <w:color w:val="auto"/>
                      <w:spacing w:val="-6"/>
                      <w:sz w:val="22"/>
                      <w:szCs w:val="22"/>
                      <w:lang w:val="en-US" w:eastAsia="zh-CN"/>
                    </w:rPr>
                    <w:t>0.071</w:t>
                  </w:r>
                </w:p>
              </w:tc>
              <w:tc>
                <w:tcPr>
                  <w:tcW w:w="1592" w:type="dxa"/>
                  <w:tcBorders>
                    <w:tl2br w:val="nil"/>
                    <w:tr2bl w:val="nil"/>
                  </w:tcBorders>
                  <w:noWrap w:val="0"/>
                  <w:vAlign w:val="center"/>
                </w:tcPr>
                <w:p w14:paraId="4037CAF7">
                  <w:pPr>
                    <w:widowControl/>
                    <w:jc w:val="center"/>
                    <w:rPr>
                      <w:rFonts w:hint="eastAsia"/>
                      <w:color w:val="auto"/>
                      <w:spacing w:val="-6"/>
                      <w:sz w:val="22"/>
                      <w:szCs w:val="22"/>
                      <w:lang w:val="en-US" w:eastAsia="zh-CN"/>
                    </w:rPr>
                  </w:pPr>
                  <w:r>
                    <w:rPr>
                      <w:rFonts w:hint="eastAsia" w:ascii="Times New Roman" w:hAnsi="Times New Roman"/>
                      <w:color w:val="auto"/>
                      <w:spacing w:val="-6"/>
                      <w:sz w:val="22"/>
                      <w:szCs w:val="22"/>
                      <w:lang w:val="en-US" w:eastAsia="zh-CN"/>
                    </w:rPr>
                    <w:t>0.12</w:t>
                  </w:r>
                </w:p>
              </w:tc>
              <w:tc>
                <w:tcPr>
                  <w:tcW w:w="922" w:type="dxa"/>
                  <w:tcBorders>
                    <w:tl2br w:val="nil"/>
                    <w:tr2bl w:val="nil"/>
                  </w:tcBorders>
                  <w:noWrap w:val="0"/>
                  <w:vAlign w:val="center"/>
                </w:tcPr>
                <w:p w14:paraId="0A308C1A">
                  <w:pPr>
                    <w:widowControl/>
                    <w:jc w:val="center"/>
                    <w:rPr>
                      <w:rFonts w:ascii="Times New Roman" w:hAnsi="Times New Roman"/>
                      <w:color w:val="auto"/>
                      <w:spacing w:val="-6"/>
                      <w:sz w:val="22"/>
                      <w:szCs w:val="22"/>
                    </w:rPr>
                  </w:pPr>
                  <w:r>
                    <w:rPr>
                      <w:rFonts w:ascii="Times New Roman" w:hAnsi="Times New Roman"/>
                      <w:color w:val="auto"/>
                      <w:spacing w:val="-6"/>
                      <w:sz w:val="22"/>
                      <w:szCs w:val="22"/>
                    </w:rPr>
                    <w:t>达标</w:t>
                  </w:r>
                </w:p>
              </w:tc>
            </w:tr>
            <w:tr w14:paraId="12CB7B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64" w:type="dxa"/>
                  <w:vMerge w:val="continue"/>
                  <w:tcBorders>
                    <w:tl2br w:val="nil"/>
                    <w:tr2bl w:val="nil"/>
                  </w:tcBorders>
                  <w:noWrap w:val="0"/>
                  <w:vAlign w:val="center"/>
                </w:tcPr>
                <w:p w14:paraId="416B42B3">
                  <w:pPr>
                    <w:widowControl/>
                    <w:jc w:val="center"/>
                    <w:rPr>
                      <w:rFonts w:hint="eastAsia"/>
                      <w:color w:val="auto"/>
                      <w:spacing w:val="-6"/>
                      <w:sz w:val="22"/>
                      <w:szCs w:val="22"/>
                      <w:lang w:val="en-US" w:eastAsia="zh-CN"/>
                    </w:rPr>
                  </w:pPr>
                </w:p>
              </w:tc>
              <w:tc>
                <w:tcPr>
                  <w:tcW w:w="1097" w:type="dxa"/>
                  <w:vMerge w:val="continue"/>
                  <w:tcBorders>
                    <w:tl2br w:val="nil"/>
                    <w:tr2bl w:val="nil"/>
                  </w:tcBorders>
                  <w:noWrap w:val="0"/>
                  <w:vAlign w:val="center"/>
                </w:tcPr>
                <w:p w14:paraId="5C97873A">
                  <w:pPr>
                    <w:jc w:val="center"/>
                    <w:rPr>
                      <w:rFonts w:hint="eastAsia" w:ascii="Times New Roman" w:hAnsi="Times New Roman"/>
                      <w:color w:val="auto"/>
                      <w:spacing w:val="-6"/>
                      <w:sz w:val="22"/>
                      <w:szCs w:val="22"/>
                      <w:lang w:val="en-US" w:eastAsia="zh-CN"/>
                    </w:rPr>
                  </w:pPr>
                </w:p>
              </w:tc>
              <w:tc>
                <w:tcPr>
                  <w:tcW w:w="1596" w:type="dxa"/>
                  <w:tcBorders>
                    <w:tl2br w:val="nil"/>
                    <w:tr2bl w:val="nil"/>
                  </w:tcBorders>
                  <w:noWrap w:val="0"/>
                  <w:vAlign w:val="center"/>
                </w:tcPr>
                <w:p w14:paraId="1C2CA77B">
                  <w:pPr>
                    <w:jc w:val="center"/>
                    <w:rPr>
                      <w:rFonts w:hint="eastAsia" w:ascii="Times New Roman" w:hAnsi="Times New Roman" w:eastAsia="宋体"/>
                      <w:color w:val="auto"/>
                      <w:spacing w:val="-6"/>
                      <w:kern w:val="2"/>
                      <w:sz w:val="22"/>
                      <w:szCs w:val="22"/>
                      <w:lang w:val="en-US" w:eastAsia="zh-CN" w:bidi="ar-SA"/>
                    </w:rPr>
                  </w:pPr>
                  <w:r>
                    <w:rPr>
                      <w:rFonts w:hint="eastAsia" w:ascii="Times New Roman" w:hAnsi="Times New Roman" w:eastAsia="宋体"/>
                      <w:color w:val="auto"/>
                      <w:spacing w:val="-6"/>
                      <w:sz w:val="22"/>
                      <w:szCs w:val="22"/>
                      <w:lang w:val="en-US" w:eastAsia="zh-CN"/>
                    </w:rPr>
                    <w:t>氟化物</w:t>
                  </w:r>
                </w:p>
              </w:tc>
              <w:tc>
                <w:tcPr>
                  <w:tcW w:w="1198" w:type="dxa"/>
                  <w:tcBorders>
                    <w:tl2br w:val="nil"/>
                    <w:tr2bl w:val="nil"/>
                  </w:tcBorders>
                  <w:noWrap w:val="0"/>
                  <w:vAlign w:val="center"/>
                </w:tcPr>
                <w:p w14:paraId="71994BD1">
                  <w:pPr>
                    <w:widowControl/>
                    <w:jc w:val="center"/>
                    <w:rPr>
                      <w:rFonts w:hint="default"/>
                      <w:color w:val="auto"/>
                      <w:spacing w:val="-6"/>
                      <w:sz w:val="22"/>
                      <w:szCs w:val="22"/>
                      <w:lang w:val="en-US" w:eastAsia="zh-CN"/>
                    </w:rPr>
                  </w:pPr>
                  <w:r>
                    <w:rPr>
                      <w:rFonts w:hint="eastAsia"/>
                      <w:color w:val="auto"/>
                      <w:spacing w:val="-6"/>
                      <w:sz w:val="22"/>
                      <w:szCs w:val="22"/>
                      <w:lang w:val="en-US" w:eastAsia="zh-CN"/>
                    </w:rPr>
                    <w:t>2.0</w:t>
                  </w:r>
                  <w:r>
                    <w:rPr>
                      <w:rFonts w:hint="default" w:ascii="Arial" w:hAnsi="Arial" w:cs="Arial"/>
                      <w:color w:val="auto"/>
                      <w:spacing w:val="-6"/>
                      <w:sz w:val="22"/>
                      <w:szCs w:val="22"/>
                      <w:lang w:val="en-US" w:eastAsia="zh-CN"/>
                    </w:rPr>
                    <w:t>×</w:t>
                  </w:r>
                  <w:r>
                    <w:rPr>
                      <w:rFonts w:hint="eastAsia"/>
                      <w:color w:val="auto"/>
                      <w:spacing w:val="-6"/>
                      <w:sz w:val="22"/>
                      <w:szCs w:val="22"/>
                      <w:lang w:val="en-US" w:eastAsia="zh-CN"/>
                    </w:rPr>
                    <w:t>10</w:t>
                  </w:r>
                  <w:r>
                    <w:rPr>
                      <w:rFonts w:hint="eastAsia"/>
                      <w:color w:val="auto"/>
                      <w:spacing w:val="-6"/>
                      <w:sz w:val="22"/>
                      <w:szCs w:val="22"/>
                      <w:vertAlign w:val="superscript"/>
                      <w:lang w:val="en-US" w:eastAsia="zh-CN"/>
                    </w:rPr>
                    <w:t>-3</w:t>
                  </w:r>
                </w:p>
              </w:tc>
              <w:tc>
                <w:tcPr>
                  <w:tcW w:w="1592" w:type="dxa"/>
                  <w:tcBorders>
                    <w:tl2br w:val="nil"/>
                    <w:tr2bl w:val="nil"/>
                  </w:tcBorders>
                  <w:noWrap w:val="0"/>
                  <w:vAlign w:val="center"/>
                </w:tcPr>
                <w:p w14:paraId="7A6371FC">
                  <w:pPr>
                    <w:widowControl/>
                    <w:jc w:val="center"/>
                    <w:rPr>
                      <w:rFonts w:hint="eastAsia"/>
                      <w:color w:val="auto"/>
                      <w:spacing w:val="-6"/>
                      <w:sz w:val="22"/>
                      <w:szCs w:val="22"/>
                      <w:lang w:val="en-US" w:eastAsia="zh-CN"/>
                    </w:rPr>
                  </w:pPr>
                  <w:r>
                    <w:rPr>
                      <w:rFonts w:hint="eastAsia"/>
                      <w:color w:val="auto"/>
                      <w:spacing w:val="-6"/>
                      <w:sz w:val="22"/>
                      <w:szCs w:val="22"/>
                      <w:lang w:val="en-US" w:eastAsia="zh-CN"/>
                    </w:rPr>
                    <w:t>0.02</w:t>
                  </w:r>
                </w:p>
              </w:tc>
              <w:tc>
                <w:tcPr>
                  <w:tcW w:w="922" w:type="dxa"/>
                  <w:tcBorders>
                    <w:tl2br w:val="nil"/>
                    <w:tr2bl w:val="nil"/>
                  </w:tcBorders>
                  <w:noWrap w:val="0"/>
                  <w:vAlign w:val="center"/>
                </w:tcPr>
                <w:p w14:paraId="1514EC4C">
                  <w:pPr>
                    <w:widowControl/>
                    <w:jc w:val="center"/>
                    <w:rPr>
                      <w:rFonts w:ascii="Times New Roman" w:hAnsi="Times New Roman"/>
                      <w:color w:val="auto"/>
                      <w:spacing w:val="-6"/>
                      <w:sz w:val="22"/>
                      <w:szCs w:val="22"/>
                    </w:rPr>
                  </w:pPr>
                  <w:r>
                    <w:rPr>
                      <w:rFonts w:ascii="Times New Roman" w:hAnsi="Times New Roman"/>
                      <w:color w:val="auto"/>
                      <w:spacing w:val="-6"/>
                      <w:sz w:val="22"/>
                      <w:szCs w:val="22"/>
                    </w:rPr>
                    <w:t>达标</w:t>
                  </w:r>
                </w:p>
              </w:tc>
            </w:tr>
            <w:tr w14:paraId="63B751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64" w:type="dxa"/>
                  <w:vMerge w:val="continue"/>
                  <w:tcBorders>
                    <w:tl2br w:val="nil"/>
                    <w:tr2bl w:val="nil"/>
                  </w:tcBorders>
                  <w:noWrap w:val="0"/>
                  <w:vAlign w:val="center"/>
                </w:tcPr>
                <w:p w14:paraId="6FDDF1C9">
                  <w:pPr>
                    <w:widowControl/>
                    <w:jc w:val="center"/>
                    <w:rPr>
                      <w:rFonts w:hint="eastAsia"/>
                      <w:color w:val="auto"/>
                      <w:spacing w:val="-6"/>
                      <w:sz w:val="22"/>
                      <w:szCs w:val="22"/>
                      <w:lang w:val="en-US" w:eastAsia="zh-CN"/>
                    </w:rPr>
                  </w:pPr>
                </w:p>
              </w:tc>
              <w:tc>
                <w:tcPr>
                  <w:tcW w:w="1097" w:type="dxa"/>
                  <w:vMerge w:val="continue"/>
                  <w:tcBorders>
                    <w:tl2br w:val="nil"/>
                    <w:tr2bl w:val="nil"/>
                  </w:tcBorders>
                  <w:noWrap w:val="0"/>
                  <w:vAlign w:val="center"/>
                </w:tcPr>
                <w:p w14:paraId="6067A3CA">
                  <w:pPr>
                    <w:jc w:val="center"/>
                    <w:rPr>
                      <w:rFonts w:hint="eastAsia" w:ascii="Times New Roman" w:hAnsi="Times New Roman"/>
                      <w:color w:val="auto"/>
                      <w:spacing w:val="-6"/>
                      <w:sz w:val="22"/>
                      <w:szCs w:val="22"/>
                      <w:lang w:val="en-US" w:eastAsia="zh-CN"/>
                    </w:rPr>
                  </w:pPr>
                </w:p>
              </w:tc>
              <w:tc>
                <w:tcPr>
                  <w:tcW w:w="1596" w:type="dxa"/>
                  <w:tcBorders>
                    <w:tl2br w:val="nil"/>
                    <w:tr2bl w:val="nil"/>
                  </w:tcBorders>
                  <w:noWrap w:val="0"/>
                  <w:vAlign w:val="center"/>
                </w:tcPr>
                <w:p w14:paraId="2F16640D">
                  <w:pPr>
                    <w:jc w:val="center"/>
                    <w:rPr>
                      <w:rFonts w:hint="eastAsia" w:ascii="Times New Roman" w:hAnsi="Times New Roman" w:eastAsia="宋体"/>
                      <w:color w:val="auto"/>
                      <w:spacing w:val="-6"/>
                      <w:kern w:val="2"/>
                      <w:sz w:val="22"/>
                      <w:szCs w:val="22"/>
                      <w:lang w:val="en-US" w:eastAsia="zh-CN" w:bidi="ar-SA"/>
                    </w:rPr>
                  </w:pPr>
                  <w:r>
                    <w:rPr>
                      <w:rFonts w:hint="eastAsia" w:ascii="Times New Roman" w:hAnsi="Times New Roman" w:eastAsia="宋体"/>
                      <w:color w:val="auto"/>
                      <w:spacing w:val="-6"/>
                      <w:sz w:val="22"/>
                      <w:szCs w:val="22"/>
                      <w:lang w:val="en-US" w:eastAsia="zh-CN"/>
                    </w:rPr>
                    <w:t>氯化氢</w:t>
                  </w:r>
                </w:p>
              </w:tc>
              <w:tc>
                <w:tcPr>
                  <w:tcW w:w="1198" w:type="dxa"/>
                  <w:tcBorders>
                    <w:tl2br w:val="nil"/>
                    <w:tr2bl w:val="nil"/>
                  </w:tcBorders>
                  <w:noWrap w:val="0"/>
                  <w:vAlign w:val="center"/>
                </w:tcPr>
                <w:p w14:paraId="43E8D266">
                  <w:pPr>
                    <w:widowControl/>
                    <w:jc w:val="center"/>
                    <w:rPr>
                      <w:rFonts w:hint="default"/>
                      <w:color w:val="auto"/>
                      <w:spacing w:val="-6"/>
                      <w:sz w:val="22"/>
                      <w:szCs w:val="22"/>
                      <w:lang w:val="en-US" w:eastAsia="zh-CN"/>
                    </w:rPr>
                  </w:pPr>
                  <w:r>
                    <w:rPr>
                      <w:rFonts w:hint="eastAsia"/>
                      <w:color w:val="auto"/>
                      <w:spacing w:val="-6"/>
                      <w:sz w:val="22"/>
                      <w:szCs w:val="22"/>
                      <w:lang w:val="en-US" w:eastAsia="zh-CN"/>
                    </w:rPr>
                    <w:t>0.02L</w:t>
                  </w:r>
                </w:p>
              </w:tc>
              <w:tc>
                <w:tcPr>
                  <w:tcW w:w="1592" w:type="dxa"/>
                  <w:tcBorders>
                    <w:tl2br w:val="nil"/>
                    <w:tr2bl w:val="nil"/>
                  </w:tcBorders>
                  <w:noWrap w:val="0"/>
                  <w:vAlign w:val="center"/>
                </w:tcPr>
                <w:p w14:paraId="1A7E1542">
                  <w:pPr>
                    <w:widowControl/>
                    <w:jc w:val="center"/>
                    <w:rPr>
                      <w:rFonts w:hint="eastAsia"/>
                      <w:color w:val="auto"/>
                      <w:spacing w:val="-6"/>
                      <w:sz w:val="22"/>
                      <w:szCs w:val="22"/>
                      <w:lang w:val="en-US" w:eastAsia="zh-CN"/>
                    </w:rPr>
                  </w:pPr>
                  <w:r>
                    <w:rPr>
                      <w:rFonts w:hint="eastAsia"/>
                      <w:color w:val="auto"/>
                      <w:spacing w:val="-6"/>
                      <w:sz w:val="22"/>
                      <w:szCs w:val="22"/>
                      <w:lang w:val="en-US" w:eastAsia="zh-CN"/>
                    </w:rPr>
                    <w:t>0.2</w:t>
                  </w:r>
                </w:p>
              </w:tc>
              <w:tc>
                <w:tcPr>
                  <w:tcW w:w="922" w:type="dxa"/>
                  <w:tcBorders>
                    <w:tl2br w:val="nil"/>
                    <w:tr2bl w:val="nil"/>
                  </w:tcBorders>
                  <w:noWrap w:val="0"/>
                  <w:vAlign w:val="center"/>
                </w:tcPr>
                <w:p w14:paraId="67A74A0B">
                  <w:pPr>
                    <w:widowControl/>
                    <w:jc w:val="center"/>
                    <w:rPr>
                      <w:rFonts w:ascii="Times New Roman" w:hAnsi="Times New Roman"/>
                      <w:color w:val="auto"/>
                      <w:spacing w:val="-6"/>
                      <w:sz w:val="22"/>
                      <w:szCs w:val="22"/>
                    </w:rPr>
                  </w:pPr>
                  <w:r>
                    <w:rPr>
                      <w:rFonts w:ascii="Times New Roman" w:hAnsi="Times New Roman"/>
                      <w:color w:val="auto"/>
                      <w:spacing w:val="-6"/>
                      <w:sz w:val="22"/>
                      <w:szCs w:val="22"/>
                    </w:rPr>
                    <w:t>达标</w:t>
                  </w:r>
                </w:p>
              </w:tc>
            </w:tr>
            <w:tr w14:paraId="5D0FFC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64" w:type="dxa"/>
                  <w:vMerge w:val="continue"/>
                  <w:tcBorders>
                    <w:tl2br w:val="nil"/>
                    <w:tr2bl w:val="nil"/>
                  </w:tcBorders>
                  <w:noWrap w:val="0"/>
                  <w:vAlign w:val="center"/>
                </w:tcPr>
                <w:p w14:paraId="73CF7B1B">
                  <w:pPr>
                    <w:widowControl/>
                    <w:jc w:val="center"/>
                    <w:rPr>
                      <w:rFonts w:hint="eastAsia"/>
                      <w:color w:val="auto"/>
                      <w:spacing w:val="-6"/>
                      <w:sz w:val="22"/>
                      <w:szCs w:val="22"/>
                      <w:lang w:val="en-US" w:eastAsia="zh-CN"/>
                    </w:rPr>
                  </w:pPr>
                </w:p>
              </w:tc>
              <w:tc>
                <w:tcPr>
                  <w:tcW w:w="1097" w:type="dxa"/>
                  <w:vMerge w:val="continue"/>
                  <w:tcBorders>
                    <w:tl2br w:val="nil"/>
                    <w:tr2bl w:val="nil"/>
                  </w:tcBorders>
                  <w:noWrap w:val="0"/>
                  <w:vAlign w:val="center"/>
                </w:tcPr>
                <w:p w14:paraId="52A3260F">
                  <w:pPr>
                    <w:jc w:val="center"/>
                    <w:rPr>
                      <w:rFonts w:hint="eastAsia" w:ascii="Times New Roman" w:hAnsi="Times New Roman"/>
                      <w:color w:val="auto"/>
                      <w:spacing w:val="-6"/>
                      <w:sz w:val="22"/>
                      <w:szCs w:val="22"/>
                      <w:lang w:val="en-US" w:eastAsia="zh-CN"/>
                    </w:rPr>
                  </w:pPr>
                </w:p>
              </w:tc>
              <w:tc>
                <w:tcPr>
                  <w:tcW w:w="1596" w:type="dxa"/>
                  <w:tcBorders>
                    <w:tl2br w:val="nil"/>
                    <w:tr2bl w:val="nil"/>
                  </w:tcBorders>
                  <w:noWrap w:val="0"/>
                  <w:vAlign w:val="center"/>
                </w:tcPr>
                <w:p w14:paraId="05B18CCF">
                  <w:pPr>
                    <w:jc w:val="center"/>
                    <w:rPr>
                      <w:rFonts w:hint="eastAsia" w:ascii="Times New Roman" w:hAnsi="Times New Roman"/>
                      <w:color w:val="auto"/>
                      <w:spacing w:val="-6"/>
                      <w:kern w:val="2"/>
                      <w:sz w:val="22"/>
                      <w:szCs w:val="22"/>
                      <w:lang w:val="en-US" w:eastAsia="zh-CN" w:bidi="ar-SA"/>
                    </w:rPr>
                  </w:pPr>
                  <w:r>
                    <w:rPr>
                      <w:rFonts w:hint="eastAsia" w:ascii="Times New Roman" w:hAnsi="Times New Roman"/>
                      <w:color w:val="auto"/>
                      <w:spacing w:val="-6"/>
                      <w:sz w:val="22"/>
                      <w:szCs w:val="22"/>
                      <w:lang w:val="en-US" w:eastAsia="zh-CN"/>
                    </w:rPr>
                    <w:t>非甲烷总烃</w:t>
                  </w:r>
                </w:p>
              </w:tc>
              <w:tc>
                <w:tcPr>
                  <w:tcW w:w="1198" w:type="dxa"/>
                  <w:tcBorders>
                    <w:tl2br w:val="nil"/>
                    <w:tr2bl w:val="nil"/>
                  </w:tcBorders>
                  <w:noWrap w:val="0"/>
                  <w:vAlign w:val="center"/>
                </w:tcPr>
                <w:p w14:paraId="40A409A4">
                  <w:pPr>
                    <w:widowControl/>
                    <w:jc w:val="center"/>
                    <w:rPr>
                      <w:rFonts w:hint="default"/>
                      <w:color w:val="auto"/>
                      <w:spacing w:val="-6"/>
                      <w:sz w:val="22"/>
                      <w:szCs w:val="22"/>
                      <w:lang w:val="en-US" w:eastAsia="zh-CN"/>
                    </w:rPr>
                  </w:pPr>
                  <w:r>
                    <w:rPr>
                      <w:rFonts w:hint="eastAsia"/>
                      <w:color w:val="auto"/>
                      <w:spacing w:val="-6"/>
                      <w:sz w:val="22"/>
                      <w:szCs w:val="22"/>
                      <w:lang w:val="en-US" w:eastAsia="zh-CN"/>
                    </w:rPr>
                    <w:t>0.77</w:t>
                  </w:r>
                </w:p>
              </w:tc>
              <w:tc>
                <w:tcPr>
                  <w:tcW w:w="1592" w:type="dxa"/>
                  <w:tcBorders>
                    <w:tl2br w:val="nil"/>
                    <w:tr2bl w:val="nil"/>
                  </w:tcBorders>
                  <w:noWrap w:val="0"/>
                  <w:vAlign w:val="center"/>
                </w:tcPr>
                <w:p w14:paraId="4A33184F">
                  <w:pPr>
                    <w:widowControl/>
                    <w:jc w:val="center"/>
                    <w:rPr>
                      <w:rFonts w:hint="eastAsia"/>
                      <w:color w:val="auto"/>
                      <w:spacing w:val="-6"/>
                      <w:sz w:val="22"/>
                      <w:szCs w:val="22"/>
                      <w:lang w:val="en-US" w:eastAsia="zh-CN"/>
                    </w:rPr>
                  </w:pPr>
                  <w:r>
                    <w:rPr>
                      <w:rFonts w:hint="eastAsia"/>
                      <w:color w:val="auto"/>
                      <w:spacing w:val="-6"/>
                      <w:sz w:val="22"/>
                      <w:szCs w:val="22"/>
                      <w:lang w:val="en-US" w:eastAsia="zh-CN"/>
                    </w:rPr>
                    <w:t>4.0</w:t>
                  </w:r>
                </w:p>
              </w:tc>
              <w:tc>
                <w:tcPr>
                  <w:tcW w:w="922" w:type="dxa"/>
                  <w:tcBorders>
                    <w:tl2br w:val="nil"/>
                    <w:tr2bl w:val="nil"/>
                  </w:tcBorders>
                  <w:noWrap w:val="0"/>
                  <w:vAlign w:val="center"/>
                </w:tcPr>
                <w:p w14:paraId="264ABD99">
                  <w:pPr>
                    <w:widowControl/>
                    <w:jc w:val="center"/>
                    <w:rPr>
                      <w:rFonts w:ascii="Times New Roman" w:hAnsi="Times New Roman"/>
                      <w:color w:val="auto"/>
                      <w:spacing w:val="-6"/>
                      <w:sz w:val="22"/>
                      <w:szCs w:val="22"/>
                    </w:rPr>
                  </w:pPr>
                  <w:r>
                    <w:rPr>
                      <w:rFonts w:ascii="Times New Roman" w:hAnsi="Times New Roman"/>
                      <w:color w:val="auto"/>
                      <w:spacing w:val="-6"/>
                      <w:sz w:val="22"/>
                      <w:szCs w:val="22"/>
                    </w:rPr>
                    <w:t>达标</w:t>
                  </w:r>
                </w:p>
              </w:tc>
            </w:tr>
          </w:tbl>
          <w:p w14:paraId="7D859787">
            <w:pPr>
              <w:adjustRightInd w:val="0"/>
              <w:snapToGrid w:val="0"/>
              <w:spacing w:line="460" w:lineRule="exact"/>
              <w:ind w:firstLine="520" w:firstLineChars="200"/>
              <w:rPr>
                <w:rFonts w:hint="eastAsia" w:ascii="Times New Roman" w:hAnsi="Times New Roman" w:eastAsia="宋体" w:cs="Calibri"/>
                <w:bCs/>
                <w:color w:val="auto"/>
                <w:sz w:val="26"/>
                <w:szCs w:val="26"/>
                <w:lang w:val="en-GB" w:eastAsia="zh-CN"/>
              </w:rPr>
            </w:pPr>
          </w:p>
          <w:p w14:paraId="4B21C5D3">
            <w:pPr>
              <w:adjustRightInd w:val="0"/>
              <w:snapToGrid w:val="0"/>
              <w:spacing w:line="460" w:lineRule="exact"/>
              <w:ind w:firstLine="520" w:firstLineChars="200"/>
              <w:rPr>
                <w:rFonts w:hint="eastAsia" w:ascii="Times New Roman" w:hAnsi="Times New Roman" w:eastAsia="宋体" w:cs="Calibri"/>
                <w:bCs/>
                <w:color w:val="auto"/>
                <w:sz w:val="26"/>
                <w:szCs w:val="26"/>
                <w:lang w:val="en-GB" w:eastAsia="zh-CN"/>
              </w:rPr>
            </w:pPr>
            <w:r>
              <w:rPr>
                <w:rFonts w:hint="eastAsia" w:ascii="Times New Roman" w:hAnsi="Times New Roman" w:eastAsia="宋体" w:cs="Calibri"/>
                <w:bCs/>
                <w:color w:val="auto"/>
                <w:sz w:val="26"/>
                <w:szCs w:val="26"/>
                <w:lang w:val="en-GB" w:eastAsia="zh-CN"/>
              </w:rPr>
              <w:t>综上，现有项目</w:t>
            </w:r>
            <w:r>
              <w:rPr>
                <w:rFonts w:hint="eastAsia" w:ascii="Times New Roman" w:hAnsi="Times New Roman" w:eastAsia="宋体" w:cs="Calibri"/>
                <w:bCs/>
                <w:color w:val="auto"/>
                <w:sz w:val="26"/>
                <w:szCs w:val="26"/>
                <w:lang w:val="en-US" w:eastAsia="zh-CN"/>
              </w:rPr>
              <w:t>熔炼废气（排气筒DA002）</w:t>
            </w:r>
            <w:r>
              <w:rPr>
                <w:rFonts w:ascii="Times New Roman" w:hAnsi="Times New Roman" w:eastAsia="宋体" w:cs="Calibri"/>
                <w:bCs/>
                <w:color w:val="auto"/>
                <w:sz w:val="26"/>
                <w:szCs w:val="26"/>
              </w:rPr>
              <w:t>SO</w:t>
            </w:r>
            <w:r>
              <w:rPr>
                <w:rFonts w:ascii="Times New Roman" w:hAnsi="Times New Roman" w:eastAsia="宋体" w:cs="Calibri"/>
                <w:bCs/>
                <w:color w:val="auto"/>
                <w:sz w:val="26"/>
                <w:szCs w:val="26"/>
                <w:vertAlign w:val="subscript"/>
              </w:rPr>
              <w:t>2</w:t>
            </w:r>
            <w:r>
              <w:rPr>
                <w:rFonts w:ascii="Times New Roman" w:hAnsi="Times New Roman" w:eastAsia="宋体" w:cs="Calibri"/>
                <w:bCs/>
                <w:color w:val="auto"/>
                <w:sz w:val="26"/>
                <w:szCs w:val="26"/>
              </w:rPr>
              <w:t>、NO</w:t>
            </w:r>
            <w:r>
              <w:rPr>
                <w:rFonts w:ascii="Times New Roman" w:hAnsi="Times New Roman" w:eastAsia="宋体" w:cs="Calibri"/>
                <w:bCs/>
                <w:color w:val="auto"/>
                <w:sz w:val="26"/>
                <w:szCs w:val="26"/>
                <w:vertAlign w:val="subscript"/>
              </w:rPr>
              <w:t>X</w:t>
            </w:r>
            <w:r>
              <w:rPr>
                <w:rFonts w:ascii="Times New Roman" w:hAnsi="Times New Roman" w:eastAsia="宋体" w:cs="Calibri"/>
                <w:bCs/>
                <w:color w:val="auto"/>
                <w:sz w:val="26"/>
                <w:szCs w:val="26"/>
              </w:rPr>
              <w:t>、氟化物</w:t>
            </w:r>
            <w:r>
              <w:rPr>
                <w:rFonts w:hint="eastAsia" w:ascii="Times New Roman" w:hAnsi="Times New Roman" w:eastAsia="宋体" w:cs="Calibri"/>
                <w:bCs/>
                <w:color w:val="auto"/>
                <w:sz w:val="26"/>
                <w:szCs w:val="26"/>
                <w:lang w:val="en-US" w:eastAsia="zh-CN"/>
              </w:rPr>
              <w:t>满足</w:t>
            </w:r>
            <w:r>
              <w:rPr>
                <w:rFonts w:ascii="Times New Roman" w:hAnsi="Times New Roman" w:eastAsia="宋体" w:cs="Calibri"/>
                <w:bCs/>
                <w:color w:val="auto"/>
                <w:sz w:val="26"/>
                <w:szCs w:val="26"/>
              </w:rPr>
              <w:t>重庆市地方标准《工业炉窑大气污染物排放标准》（DB 50/659-2016）</w:t>
            </w:r>
            <w:r>
              <w:rPr>
                <w:rFonts w:hint="eastAsia" w:ascii="Times New Roman" w:hAnsi="Times New Roman" w:eastAsia="宋体" w:cs="Calibri"/>
                <w:bCs/>
                <w:color w:val="auto"/>
                <w:sz w:val="26"/>
                <w:szCs w:val="26"/>
                <w:lang w:eastAsia="zh-CN"/>
              </w:rPr>
              <w:t>，</w:t>
            </w:r>
            <w:r>
              <w:rPr>
                <w:rFonts w:ascii="Times New Roman" w:hAnsi="Times New Roman" w:eastAsia="宋体" w:cs="Calibri"/>
                <w:bCs/>
                <w:color w:val="auto"/>
                <w:sz w:val="26"/>
                <w:szCs w:val="26"/>
              </w:rPr>
              <w:t>颗粒物</w:t>
            </w:r>
            <w:r>
              <w:rPr>
                <w:rFonts w:hint="eastAsia" w:ascii="Times New Roman" w:hAnsi="Times New Roman" w:eastAsia="宋体" w:cs="Calibri"/>
                <w:bCs/>
                <w:color w:val="auto"/>
                <w:sz w:val="26"/>
                <w:szCs w:val="26"/>
                <w:lang w:eastAsia="zh-CN"/>
              </w:rPr>
              <w:t>满足</w:t>
            </w:r>
            <w:r>
              <w:rPr>
                <w:rFonts w:hint="eastAsia" w:ascii="Times New Roman" w:hAnsi="Times New Roman"/>
                <w:bCs/>
                <w:color w:val="auto"/>
                <w:sz w:val="26"/>
                <w:szCs w:val="26"/>
                <w:lang w:val="en-US" w:eastAsia="zh-CN"/>
              </w:rPr>
              <w:t>《铸造工业大气污染物排放标准》（GB 39726-2020，</w:t>
            </w:r>
            <w:r>
              <w:rPr>
                <w:rFonts w:ascii="Times New Roman" w:hAnsi="Times New Roman" w:eastAsia="宋体" w:cs="Calibri"/>
                <w:bCs/>
                <w:color w:val="auto"/>
                <w:sz w:val="26"/>
                <w:szCs w:val="26"/>
              </w:rPr>
              <w:t>HCl</w:t>
            </w:r>
            <w:r>
              <w:rPr>
                <w:rFonts w:hint="eastAsia" w:ascii="Times New Roman" w:hAnsi="Times New Roman" w:eastAsia="宋体" w:cs="Calibri"/>
                <w:bCs/>
                <w:color w:val="auto"/>
                <w:sz w:val="26"/>
                <w:szCs w:val="26"/>
                <w:lang w:val="en-US" w:eastAsia="zh-CN"/>
              </w:rPr>
              <w:t>满足</w:t>
            </w:r>
            <w:r>
              <w:rPr>
                <w:rFonts w:ascii="Times New Roman" w:hAnsi="Times New Roman" w:eastAsia="宋体" w:cs="Calibri"/>
                <w:bCs/>
                <w:color w:val="auto"/>
                <w:sz w:val="26"/>
                <w:szCs w:val="26"/>
              </w:rPr>
              <w:t>重庆市地方标准《大气污染物综合排放标准》（DB50/418-2016）</w:t>
            </w:r>
            <w:r>
              <w:rPr>
                <w:rFonts w:hint="eastAsia" w:ascii="Times New Roman" w:hAnsi="Times New Roman" w:eastAsia="宋体" w:cs="Calibri"/>
                <w:bCs/>
                <w:color w:val="auto"/>
                <w:sz w:val="26"/>
                <w:szCs w:val="26"/>
                <w:lang w:eastAsia="zh-CN"/>
              </w:rPr>
              <w:t>；</w:t>
            </w:r>
            <w:r>
              <w:rPr>
                <w:rFonts w:hint="eastAsia" w:ascii="Times New Roman" w:hAnsi="Times New Roman" w:eastAsia="宋体" w:cs="Calibri"/>
                <w:bCs/>
                <w:color w:val="auto"/>
                <w:sz w:val="26"/>
                <w:szCs w:val="26"/>
                <w:lang w:val="en-US" w:eastAsia="zh-CN"/>
              </w:rPr>
              <w:t>均质废气（排气筒DA004）</w:t>
            </w:r>
            <w:r>
              <w:rPr>
                <w:rFonts w:ascii="Times New Roman" w:hAnsi="Times New Roman" w:eastAsia="宋体" w:cs="Calibri"/>
                <w:bCs/>
                <w:color w:val="auto"/>
                <w:sz w:val="26"/>
                <w:szCs w:val="26"/>
              </w:rPr>
              <w:t>SO</w:t>
            </w:r>
            <w:r>
              <w:rPr>
                <w:rFonts w:ascii="Times New Roman" w:hAnsi="Times New Roman" w:eastAsia="宋体" w:cs="Calibri"/>
                <w:bCs/>
                <w:color w:val="auto"/>
                <w:sz w:val="26"/>
                <w:szCs w:val="26"/>
                <w:vertAlign w:val="subscript"/>
              </w:rPr>
              <w:t>2</w:t>
            </w:r>
            <w:r>
              <w:rPr>
                <w:rFonts w:ascii="Times New Roman" w:hAnsi="Times New Roman" w:eastAsia="宋体" w:cs="Calibri"/>
                <w:bCs/>
                <w:color w:val="auto"/>
                <w:sz w:val="26"/>
                <w:szCs w:val="26"/>
              </w:rPr>
              <w:t>、NO</w:t>
            </w:r>
            <w:r>
              <w:rPr>
                <w:rFonts w:ascii="Times New Roman" w:hAnsi="Times New Roman" w:eastAsia="宋体" w:cs="Calibri"/>
                <w:bCs/>
                <w:color w:val="auto"/>
                <w:sz w:val="26"/>
                <w:szCs w:val="26"/>
                <w:vertAlign w:val="subscript"/>
              </w:rPr>
              <w:t>X</w:t>
            </w:r>
            <w:r>
              <w:rPr>
                <w:rFonts w:ascii="Times New Roman" w:hAnsi="Times New Roman" w:eastAsia="宋体" w:cs="Calibri"/>
                <w:bCs/>
                <w:color w:val="auto"/>
                <w:sz w:val="26"/>
                <w:szCs w:val="26"/>
              </w:rPr>
              <w:t>、颗粒物</w:t>
            </w:r>
            <w:r>
              <w:rPr>
                <w:rFonts w:hint="eastAsia" w:ascii="Times New Roman" w:hAnsi="Times New Roman" w:eastAsia="宋体" w:cs="Calibri"/>
                <w:bCs/>
                <w:color w:val="auto"/>
                <w:sz w:val="26"/>
                <w:szCs w:val="26"/>
                <w:lang w:val="en-GB"/>
              </w:rPr>
              <w:t>满足</w:t>
            </w:r>
            <w:r>
              <w:rPr>
                <w:rFonts w:hint="eastAsia" w:ascii="Times New Roman" w:hAnsi="Times New Roman"/>
                <w:bCs/>
                <w:color w:val="auto"/>
                <w:sz w:val="26"/>
                <w:szCs w:val="26"/>
                <w:lang w:val="en-US" w:eastAsia="zh-CN"/>
              </w:rPr>
              <w:t>《铸造工业大气污染物排放标准》（GB 39726-2020）</w:t>
            </w:r>
            <w:r>
              <w:rPr>
                <w:rFonts w:hint="eastAsia" w:ascii="Times New Roman" w:hAnsi="Times New Roman" w:eastAsia="宋体" w:cs="Calibri"/>
                <w:bCs/>
                <w:color w:val="auto"/>
                <w:sz w:val="26"/>
                <w:szCs w:val="26"/>
                <w:lang w:val="en-US" w:eastAsia="zh-CN"/>
              </w:rPr>
              <w:t>；厂界西南侧颗粒物、二氧化硫、氮氧化物、氟化物、氯化氢、非甲烷总烃排放浓度满足《大气污染物综合排放标准》（DB50/418-2016）表1排放限值</w:t>
            </w:r>
            <w:r>
              <w:rPr>
                <w:rFonts w:hint="eastAsia" w:ascii="Times New Roman" w:hAnsi="Times New Roman" w:eastAsia="宋体" w:cs="Calibri"/>
                <w:bCs/>
                <w:color w:val="auto"/>
                <w:sz w:val="26"/>
                <w:szCs w:val="26"/>
                <w:lang w:val="en-GB" w:eastAsia="zh-CN"/>
              </w:rPr>
              <w:t>。</w:t>
            </w:r>
          </w:p>
          <w:p w14:paraId="53F517CE">
            <w:pPr>
              <w:adjustRightInd w:val="0"/>
              <w:snapToGrid w:val="0"/>
              <w:spacing w:line="460" w:lineRule="exact"/>
              <w:ind w:firstLine="520" w:firstLineChars="200"/>
              <w:rPr>
                <w:rFonts w:ascii="Times New Roman" w:hAnsi="Times New Roman"/>
                <w:color w:val="auto"/>
                <w:sz w:val="26"/>
                <w:szCs w:val="26"/>
              </w:rPr>
            </w:pPr>
            <w:r>
              <w:rPr>
                <w:rFonts w:hint="eastAsia" w:ascii="Times New Roman" w:hAnsi="Times New Roman"/>
                <w:color w:val="auto"/>
                <w:sz w:val="26"/>
                <w:szCs w:val="26"/>
              </w:rPr>
              <w:t>（2）</w:t>
            </w:r>
            <w:r>
              <w:rPr>
                <w:rFonts w:ascii="Times New Roman" w:hAnsi="Times New Roman"/>
                <w:color w:val="auto"/>
                <w:sz w:val="26"/>
                <w:szCs w:val="26"/>
              </w:rPr>
              <w:t>废水</w:t>
            </w:r>
          </w:p>
          <w:p w14:paraId="25BE5DB3">
            <w:pPr>
              <w:adjustRightInd w:val="0"/>
              <w:snapToGrid w:val="0"/>
              <w:spacing w:line="460" w:lineRule="exact"/>
              <w:ind w:firstLine="520" w:firstLineChars="200"/>
              <w:jc w:val="left"/>
              <w:rPr>
                <w:rFonts w:hint="eastAsia" w:ascii="Times New Roman" w:hAnsi="Times New Roman"/>
                <w:bCs/>
                <w:color w:val="auto"/>
                <w:sz w:val="26"/>
                <w:szCs w:val="26"/>
              </w:rPr>
            </w:pPr>
            <w:r>
              <w:rPr>
                <w:rFonts w:hint="eastAsia" w:ascii="Times New Roman" w:hAnsi="Times New Roman"/>
                <w:bCs/>
                <w:color w:val="auto"/>
                <w:sz w:val="26"/>
                <w:szCs w:val="26"/>
              </w:rPr>
              <w:t>现有项目废水主要为</w:t>
            </w:r>
            <w:r>
              <w:rPr>
                <w:rFonts w:hint="eastAsia" w:ascii="Times New Roman" w:hAnsi="Times New Roman"/>
                <w:bCs/>
                <w:color w:val="auto"/>
                <w:sz w:val="26"/>
                <w:szCs w:val="26"/>
                <w:lang w:val="en-US" w:eastAsia="zh-CN"/>
              </w:rPr>
              <w:t>车间员工洗手废水，经</w:t>
            </w:r>
            <w:r>
              <w:rPr>
                <w:rFonts w:hint="eastAsia" w:ascii="Times New Roman" w:hAnsi="宋体"/>
                <w:bCs/>
                <w:color w:val="auto"/>
                <w:sz w:val="26"/>
                <w:szCs w:val="26"/>
                <w:lang w:val="en-US" w:eastAsia="zh-CN"/>
              </w:rPr>
              <w:t>现有隔油池（处理规模约</w:t>
            </w:r>
            <w:r>
              <w:rPr>
                <w:rFonts w:hint="eastAsia" w:ascii="Times New Roman" w:hAnsi="宋体" w:eastAsia="宋体" w:cs="Times New Roman"/>
                <w:bCs/>
                <w:color w:val="auto"/>
                <w:sz w:val="26"/>
                <w:szCs w:val="26"/>
              </w:rPr>
              <w:t>1m</w:t>
            </w:r>
            <w:r>
              <w:rPr>
                <w:rFonts w:hint="eastAsia" w:ascii="Times New Roman" w:hAnsi="宋体" w:eastAsia="宋体" w:cs="Times New Roman"/>
                <w:bCs/>
                <w:color w:val="auto"/>
                <w:sz w:val="26"/>
                <w:szCs w:val="26"/>
                <w:vertAlign w:val="superscript"/>
              </w:rPr>
              <w:t>3</w:t>
            </w:r>
            <w:r>
              <w:rPr>
                <w:rFonts w:hint="eastAsia" w:ascii="Times New Roman" w:hAnsi="宋体" w:eastAsia="宋体" w:cs="Times New Roman"/>
                <w:bCs/>
                <w:color w:val="auto"/>
                <w:sz w:val="26"/>
                <w:szCs w:val="26"/>
              </w:rPr>
              <w:t>/d</w:t>
            </w:r>
            <w:r>
              <w:rPr>
                <w:rFonts w:hint="eastAsia" w:ascii="Times New Roman" w:hAnsi="宋体" w:eastAsia="宋体" w:cs="Times New Roman"/>
                <w:bCs/>
                <w:color w:val="auto"/>
                <w:sz w:val="26"/>
                <w:szCs w:val="26"/>
                <w:lang w:val="en-US" w:eastAsia="zh-CN"/>
              </w:rPr>
              <w:t>）预处理后，与其他生活污水经现有</w:t>
            </w:r>
            <w:r>
              <w:rPr>
                <w:rFonts w:hint="eastAsia" w:ascii="Times New Roman" w:hAnsi="宋体" w:eastAsia="宋体" w:cs="Times New Roman"/>
                <w:bCs/>
                <w:color w:val="auto"/>
                <w:sz w:val="26"/>
                <w:szCs w:val="26"/>
              </w:rPr>
              <w:t>生化</w:t>
            </w:r>
            <w:r>
              <w:rPr>
                <w:rFonts w:hint="eastAsia" w:ascii="Times New Roman" w:hAnsi="宋体"/>
                <w:bCs/>
                <w:color w:val="auto"/>
                <w:sz w:val="26"/>
                <w:szCs w:val="26"/>
              </w:rPr>
              <w:t>池处理达标后，再进</w:t>
            </w:r>
            <w:r>
              <w:rPr>
                <w:rFonts w:hint="eastAsia" w:ascii="Times New Roman" w:hAnsi="宋体" w:eastAsia="宋体" w:cs="Times New Roman"/>
                <w:bCs/>
                <w:color w:val="auto"/>
                <w:sz w:val="26"/>
                <w:szCs w:val="26"/>
                <w:lang w:val="en-US" w:eastAsia="zh-CN"/>
              </w:rPr>
              <w:t>入西彭城镇污水处理厂《城镇污水处理厂污染物排放标准》（GB18918-2002）一级A后排入桥头河。生化</w:t>
            </w:r>
            <w:r>
              <w:rPr>
                <w:rFonts w:hint="eastAsia" w:ascii="Times New Roman" w:hAnsi="宋体"/>
                <w:bCs/>
                <w:color w:val="auto"/>
                <w:sz w:val="26"/>
                <w:szCs w:val="26"/>
                <w:lang w:val="en-US" w:eastAsia="zh-CN"/>
              </w:rPr>
              <w:t>池</w:t>
            </w:r>
            <w:r>
              <w:rPr>
                <w:rFonts w:hint="eastAsia" w:ascii="Times New Roman" w:hAnsi="Times New Roman"/>
                <w:bCs/>
                <w:color w:val="auto"/>
                <w:sz w:val="26"/>
                <w:szCs w:val="26"/>
              </w:rPr>
              <w:t>处理能力</w:t>
            </w:r>
            <w:r>
              <w:rPr>
                <w:rFonts w:hint="eastAsia" w:ascii="Times New Roman" w:hAnsi="Times New Roman"/>
                <w:bCs/>
                <w:color w:val="auto"/>
                <w:sz w:val="26"/>
                <w:szCs w:val="26"/>
                <w:lang w:val="en-US" w:eastAsia="zh-CN"/>
              </w:rPr>
              <w:t>为10</w:t>
            </w:r>
            <w:r>
              <w:rPr>
                <w:rFonts w:hint="eastAsia" w:ascii="Times New Roman" w:hAnsi="Times New Roman"/>
                <w:bCs/>
                <w:color w:val="auto"/>
                <w:sz w:val="26"/>
                <w:szCs w:val="26"/>
              </w:rPr>
              <w:t>m</w:t>
            </w:r>
            <w:r>
              <w:rPr>
                <w:rFonts w:hint="eastAsia" w:ascii="Times New Roman" w:hAnsi="Times New Roman"/>
                <w:bCs/>
                <w:color w:val="auto"/>
                <w:sz w:val="26"/>
                <w:szCs w:val="26"/>
                <w:vertAlign w:val="superscript"/>
              </w:rPr>
              <w:t>3</w:t>
            </w:r>
            <w:r>
              <w:rPr>
                <w:rFonts w:hint="eastAsia" w:ascii="Times New Roman" w:hAnsi="Times New Roman"/>
                <w:bCs/>
                <w:color w:val="auto"/>
                <w:sz w:val="26"/>
                <w:szCs w:val="26"/>
              </w:rPr>
              <w:t>/d，处理工艺为</w:t>
            </w:r>
            <w:r>
              <w:rPr>
                <w:rFonts w:hint="eastAsia" w:ascii="Times New Roman" w:hAnsi="Times New Roman"/>
                <w:bCs/>
                <w:color w:val="auto"/>
                <w:sz w:val="26"/>
                <w:szCs w:val="26"/>
                <w:lang w:val="en-US" w:eastAsia="zh-CN"/>
              </w:rPr>
              <w:t>厌氧生化</w:t>
            </w:r>
            <w:r>
              <w:rPr>
                <w:rFonts w:hint="eastAsia" w:ascii="Times New Roman" w:hAnsi="Times New Roman"/>
                <w:bCs/>
                <w:color w:val="auto"/>
                <w:sz w:val="26"/>
                <w:szCs w:val="26"/>
              </w:rPr>
              <w:t>。</w:t>
            </w:r>
          </w:p>
          <w:p w14:paraId="0242FA43">
            <w:pPr>
              <w:adjustRightInd w:val="0"/>
              <w:snapToGrid w:val="0"/>
              <w:spacing w:line="460" w:lineRule="exact"/>
              <w:ind w:firstLine="520" w:firstLineChars="200"/>
              <w:jc w:val="left"/>
              <w:rPr>
                <w:rFonts w:ascii="Times New Roman" w:hAnsi="Times New Roman"/>
                <w:bCs/>
                <w:color w:val="auto"/>
                <w:sz w:val="26"/>
                <w:szCs w:val="26"/>
              </w:rPr>
            </w:pPr>
            <w:r>
              <w:rPr>
                <w:rFonts w:hint="eastAsia" w:ascii="Times New Roman" w:hAnsi="Times New Roman" w:cs="Calibri"/>
                <w:bCs/>
                <w:color w:val="auto"/>
                <w:sz w:val="26"/>
                <w:szCs w:val="26"/>
                <w:lang w:val="en-US" w:eastAsia="zh-CN"/>
              </w:rPr>
              <w:t>现有项目根据《排污许可证》（915001072031305504003U）自行监测要求，未对废水进行自行监测要求。</w:t>
            </w:r>
            <w:r>
              <w:rPr>
                <w:rFonts w:ascii="Times New Roman" w:hAnsi="Times New Roman" w:cs="Calibri"/>
                <w:bCs/>
                <w:color w:val="auto"/>
                <w:sz w:val="26"/>
                <w:szCs w:val="26"/>
              </w:rPr>
              <w:t>根据企业提供的202</w:t>
            </w:r>
            <w:r>
              <w:rPr>
                <w:rFonts w:hint="eastAsia" w:ascii="Times New Roman" w:hAnsi="Times New Roman" w:cs="Calibri"/>
                <w:bCs/>
                <w:color w:val="auto"/>
                <w:sz w:val="26"/>
                <w:szCs w:val="26"/>
                <w:lang w:val="en-US" w:eastAsia="zh-CN"/>
              </w:rPr>
              <w:t>3</w:t>
            </w:r>
            <w:r>
              <w:rPr>
                <w:rFonts w:ascii="Times New Roman" w:hAnsi="Times New Roman" w:cs="Calibri"/>
                <w:bCs/>
                <w:color w:val="auto"/>
                <w:sz w:val="26"/>
                <w:szCs w:val="26"/>
              </w:rPr>
              <w:t>年</w:t>
            </w:r>
            <w:r>
              <w:rPr>
                <w:rFonts w:hint="eastAsia" w:ascii="Times New Roman" w:hAnsi="Times New Roman" w:cs="Calibri"/>
                <w:bCs/>
                <w:color w:val="auto"/>
                <w:sz w:val="26"/>
                <w:szCs w:val="26"/>
                <w:lang w:val="en-US" w:eastAsia="zh-CN"/>
              </w:rPr>
              <w:t>3</w:t>
            </w:r>
            <w:r>
              <w:rPr>
                <w:rFonts w:hint="eastAsia" w:ascii="Times New Roman" w:hAnsi="Times New Roman" w:cs="Calibri"/>
                <w:bCs/>
                <w:color w:val="auto"/>
                <w:sz w:val="26"/>
                <w:szCs w:val="26"/>
              </w:rPr>
              <w:t>月</w:t>
            </w:r>
            <w:r>
              <w:rPr>
                <w:rFonts w:ascii="Times New Roman" w:hAnsi="Times New Roman" w:cs="Calibri"/>
                <w:bCs/>
                <w:color w:val="auto"/>
                <w:sz w:val="26"/>
                <w:szCs w:val="26"/>
              </w:rPr>
              <w:t>委托</w:t>
            </w:r>
            <w:r>
              <w:rPr>
                <w:rFonts w:hint="eastAsia" w:ascii="Times New Roman" w:hAnsi="Times New Roman" w:cs="Calibri"/>
                <w:bCs/>
                <w:color w:val="auto"/>
                <w:sz w:val="26"/>
                <w:szCs w:val="26"/>
                <w:lang w:val="en-US" w:eastAsia="zh-CN"/>
              </w:rPr>
              <w:t>验收</w:t>
            </w:r>
            <w:r>
              <w:rPr>
                <w:rFonts w:ascii="Times New Roman" w:hAnsi="Times New Roman" w:cs="Calibri"/>
                <w:bCs/>
                <w:color w:val="auto"/>
                <w:sz w:val="26"/>
                <w:szCs w:val="26"/>
              </w:rPr>
              <w:t>监测</w:t>
            </w:r>
            <w:r>
              <w:rPr>
                <w:rFonts w:hint="eastAsia" w:ascii="Times New Roman" w:hAnsi="Times New Roman" w:eastAsia="宋体" w:cs="Calibri"/>
                <w:bCs/>
                <w:color w:val="auto"/>
                <w:sz w:val="26"/>
                <w:szCs w:val="26"/>
                <w:lang w:val="en-US" w:eastAsia="zh-CN"/>
              </w:rPr>
              <w:t>报告（渝大安(环)检</w:t>
            </w:r>
            <w:r>
              <w:rPr>
                <w:rFonts w:hint="eastAsia" w:ascii="Times New Roman" w:hAnsi="Times New Roman" w:eastAsia="宋体" w:cs="Times New Roman"/>
                <w:bCs/>
                <w:color w:val="auto"/>
                <w:sz w:val="26"/>
                <w:szCs w:val="26"/>
                <w:lang w:val="en-US" w:eastAsia="zh-CN"/>
              </w:rPr>
              <w:t>[</w:t>
            </w:r>
            <w:r>
              <w:rPr>
                <w:rFonts w:hint="default" w:ascii="Times New Roman" w:hAnsi="Times New Roman" w:eastAsia="宋体" w:cs="Times New Roman"/>
                <w:bCs/>
                <w:color w:val="auto"/>
                <w:sz w:val="26"/>
                <w:szCs w:val="26"/>
                <w:lang w:val="en-US" w:eastAsia="zh-CN"/>
              </w:rPr>
              <w:t>202</w:t>
            </w:r>
            <w:r>
              <w:rPr>
                <w:rFonts w:hint="eastAsia" w:ascii="Times New Roman" w:hAnsi="Times New Roman" w:eastAsia="宋体" w:cs="Times New Roman"/>
                <w:bCs/>
                <w:color w:val="auto"/>
                <w:sz w:val="26"/>
                <w:szCs w:val="26"/>
                <w:lang w:val="en-US" w:eastAsia="zh-CN"/>
              </w:rPr>
              <w:t>3]</w:t>
            </w:r>
            <w:r>
              <w:rPr>
                <w:rFonts w:hint="eastAsia" w:ascii="Times New Roman" w:hAnsi="Times New Roman" w:eastAsia="宋体" w:cs="Calibri"/>
                <w:bCs/>
                <w:color w:val="auto"/>
                <w:sz w:val="26"/>
                <w:szCs w:val="26"/>
                <w:lang w:val="en-US" w:eastAsia="zh-CN"/>
              </w:rPr>
              <w:t>第YS026号）号，现有项目</w:t>
            </w:r>
            <w:r>
              <w:rPr>
                <w:rFonts w:hint="eastAsia" w:ascii="Times New Roman" w:hAnsi="Times New Roman"/>
                <w:bCs/>
                <w:color w:val="auto"/>
                <w:sz w:val="26"/>
                <w:szCs w:val="26"/>
              </w:rPr>
              <w:t>废水排放情况分析及监测统计数据详见</w:t>
            </w:r>
            <w:r>
              <w:rPr>
                <w:rFonts w:hint="eastAsia" w:ascii="Times New Roman" w:hAnsi="Times New Roman"/>
                <w:bCs/>
                <w:color w:val="auto"/>
                <w:sz w:val="26"/>
                <w:szCs w:val="26"/>
                <w:lang w:eastAsia="zh-CN"/>
              </w:rPr>
              <w:t>下</w:t>
            </w:r>
            <w:r>
              <w:rPr>
                <w:rFonts w:hint="eastAsia" w:ascii="Times New Roman" w:hAnsi="Times New Roman"/>
                <w:bCs/>
                <w:color w:val="auto"/>
                <w:sz w:val="26"/>
                <w:szCs w:val="26"/>
              </w:rPr>
              <w:t>表。</w:t>
            </w:r>
          </w:p>
          <w:p w14:paraId="7534A7C4">
            <w:pPr>
              <w:adjustRightInd w:val="0"/>
              <w:snapToGrid w:val="0"/>
              <w:spacing w:line="460" w:lineRule="exact"/>
              <w:jc w:val="center"/>
              <w:rPr>
                <w:rFonts w:hint="eastAsia" w:ascii="Times New Roman" w:hAnsi="Times New Roman"/>
                <w:b/>
                <w:bCs w:val="0"/>
                <w:color w:val="auto"/>
                <w:sz w:val="26"/>
                <w:szCs w:val="26"/>
                <w:highlight w:val="none"/>
              </w:rPr>
            </w:pPr>
          </w:p>
          <w:p w14:paraId="294735B8">
            <w:pPr>
              <w:adjustRightInd w:val="0"/>
              <w:snapToGrid w:val="0"/>
              <w:spacing w:line="460" w:lineRule="exact"/>
              <w:jc w:val="center"/>
              <w:rPr>
                <w:rFonts w:ascii="Times New Roman" w:hAnsi="Times New Roman"/>
                <w:b/>
                <w:bCs w:val="0"/>
                <w:color w:val="auto"/>
                <w:sz w:val="26"/>
                <w:szCs w:val="26"/>
                <w:highlight w:val="none"/>
              </w:rPr>
            </w:pPr>
            <w:r>
              <w:rPr>
                <w:rFonts w:hint="eastAsia" w:ascii="Times New Roman" w:hAnsi="Times New Roman"/>
                <w:b/>
                <w:bCs w:val="0"/>
                <w:color w:val="auto"/>
                <w:sz w:val="26"/>
                <w:szCs w:val="26"/>
                <w:highlight w:val="none"/>
              </w:rPr>
              <w:t>表2.1</w:t>
            </w:r>
            <w:r>
              <w:rPr>
                <w:rFonts w:hint="eastAsia" w:ascii="Times New Roman" w:hAnsi="Times New Roman"/>
                <w:b/>
                <w:bCs w:val="0"/>
                <w:color w:val="auto"/>
                <w:sz w:val="26"/>
                <w:szCs w:val="26"/>
                <w:highlight w:val="none"/>
                <w:lang w:val="en-US" w:eastAsia="zh-CN"/>
              </w:rPr>
              <w:t>6</w:t>
            </w:r>
            <w:r>
              <w:rPr>
                <w:rFonts w:hint="eastAsia" w:ascii="Times New Roman" w:hAnsi="Times New Roman"/>
                <w:b/>
                <w:bCs w:val="0"/>
                <w:color w:val="auto"/>
                <w:sz w:val="26"/>
                <w:szCs w:val="26"/>
                <w:highlight w:val="none"/>
              </w:rPr>
              <w:t>-</w:t>
            </w:r>
            <w:r>
              <w:rPr>
                <w:rFonts w:hint="eastAsia" w:ascii="Times New Roman" w:hAnsi="Times New Roman"/>
                <w:b/>
                <w:bCs w:val="0"/>
                <w:color w:val="auto"/>
                <w:sz w:val="26"/>
                <w:szCs w:val="26"/>
                <w:highlight w:val="none"/>
                <w:lang w:val="en-US" w:eastAsia="zh-CN"/>
              </w:rPr>
              <w:t>3</w:t>
            </w:r>
            <w:r>
              <w:rPr>
                <w:rFonts w:hint="eastAsia" w:ascii="Times New Roman" w:hAnsi="Times New Roman"/>
                <w:b/>
                <w:bCs w:val="0"/>
                <w:color w:val="auto"/>
                <w:sz w:val="26"/>
                <w:szCs w:val="26"/>
                <w:highlight w:val="none"/>
              </w:rPr>
              <w:t xml:space="preserve">  现有项目废水排放情况分析表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10"/>
              <w:gridCol w:w="1445"/>
              <w:gridCol w:w="635"/>
              <w:gridCol w:w="671"/>
              <w:gridCol w:w="929"/>
              <w:gridCol w:w="808"/>
              <w:gridCol w:w="873"/>
              <w:gridCol w:w="1305"/>
              <w:gridCol w:w="554"/>
            </w:tblGrid>
            <w:tr w14:paraId="0B3A8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0" w:type="dxa"/>
                  <w:tcBorders>
                    <w:tl2br w:val="nil"/>
                    <w:tr2bl w:val="nil"/>
                  </w:tcBorders>
                  <w:noWrap w:val="0"/>
                  <w:vAlign w:val="center"/>
                </w:tcPr>
                <w:p w14:paraId="1216DA6B">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污染源</w:t>
                  </w:r>
                </w:p>
              </w:tc>
              <w:tc>
                <w:tcPr>
                  <w:tcW w:w="1445" w:type="dxa"/>
                  <w:tcBorders>
                    <w:tl2br w:val="nil"/>
                    <w:tr2bl w:val="nil"/>
                  </w:tcBorders>
                  <w:noWrap w:val="0"/>
                  <w:vAlign w:val="center"/>
                </w:tcPr>
                <w:p w14:paraId="2E0BA0E2">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监测时间</w:t>
                  </w:r>
                </w:p>
              </w:tc>
              <w:tc>
                <w:tcPr>
                  <w:tcW w:w="635" w:type="dxa"/>
                  <w:tcBorders>
                    <w:tl2br w:val="nil"/>
                    <w:tr2bl w:val="nil"/>
                  </w:tcBorders>
                  <w:noWrap w:val="0"/>
                  <w:vAlign w:val="center"/>
                </w:tcPr>
                <w:p w14:paraId="40F0C421">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生产负荷</w:t>
                  </w:r>
                </w:p>
              </w:tc>
              <w:tc>
                <w:tcPr>
                  <w:tcW w:w="671" w:type="dxa"/>
                  <w:tcBorders>
                    <w:tl2br w:val="nil"/>
                    <w:tr2bl w:val="nil"/>
                  </w:tcBorders>
                  <w:noWrap w:val="0"/>
                  <w:vAlign w:val="center"/>
                </w:tcPr>
                <w:p w14:paraId="60694B3D">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项目</w:t>
                  </w:r>
                </w:p>
              </w:tc>
              <w:tc>
                <w:tcPr>
                  <w:tcW w:w="929" w:type="dxa"/>
                  <w:tcBorders>
                    <w:tl2br w:val="nil"/>
                    <w:tr2bl w:val="nil"/>
                  </w:tcBorders>
                  <w:noWrap w:val="0"/>
                  <w:vAlign w:val="center"/>
                </w:tcPr>
                <w:p w14:paraId="0BBBB971">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最大排放浓度(mg/L)</w:t>
                  </w:r>
                </w:p>
              </w:tc>
              <w:tc>
                <w:tcPr>
                  <w:tcW w:w="808" w:type="dxa"/>
                  <w:tcBorders>
                    <w:tl2br w:val="nil"/>
                    <w:tr2bl w:val="nil"/>
                  </w:tcBorders>
                  <w:noWrap w:val="0"/>
                  <w:vAlign w:val="center"/>
                </w:tcPr>
                <w:p w14:paraId="3C29EA34">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最大排放量</w:t>
                  </w:r>
                </w:p>
              </w:tc>
              <w:tc>
                <w:tcPr>
                  <w:tcW w:w="873" w:type="dxa"/>
                  <w:tcBorders>
                    <w:tl2br w:val="nil"/>
                    <w:tr2bl w:val="nil"/>
                  </w:tcBorders>
                  <w:noWrap w:val="0"/>
                  <w:vAlign w:val="center"/>
                </w:tcPr>
                <w:p w14:paraId="4A87DE22">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排放标准(mg/L)</w:t>
                  </w:r>
                </w:p>
              </w:tc>
              <w:tc>
                <w:tcPr>
                  <w:tcW w:w="1305" w:type="dxa"/>
                  <w:tcBorders>
                    <w:tl2br w:val="nil"/>
                    <w:tr2bl w:val="nil"/>
                  </w:tcBorders>
                  <w:noWrap w:val="0"/>
                  <w:vAlign w:val="center"/>
                </w:tcPr>
                <w:p w14:paraId="5DB48906">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环保设施及工艺</w:t>
                  </w:r>
                </w:p>
              </w:tc>
              <w:tc>
                <w:tcPr>
                  <w:tcW w:w="554" w:type="dxa"/>
                  <w:tcBorders>
                    <w:tl2br w:val="nil"/>
                    <w:tr2bl w:val="nil"/>
                  </w:tcBorders>
                  <w:noWrap w:val="0"/>
                  <w:vAlign w:val="center"/>
                </w:tcPr>
                <w:p w14:paraId="29010156">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达标</w:t>
                  </w:r>
                </w:p>
                <w:p w14:paraId="6385AEB8">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情况</w:t>
                  </w:r>
                </w:p>
              </w:tc>
            </w:tr>
            <w:tr w14:paraId="2A8BC8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0" w:type="dxa"/>
                  <w:vMerge w:val="restart"/>
                  <w:tcBorders>
                    <w:tl2br w:val="nil"/>
                    <w:tr2bl w:val="nil"/>
                  </w:tcBorders>
                  <w:noWrap w:val="0"/>
                  <w:vAlign w:val="center"/>
                </w:tcPr>
                <w:p w14:paraId="29C9A02C">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lang w:val="en-US" w:eastAsia="zh-CN"/>
                    </w:rPr>
                    <w:t>厂区</w:t>
                  </w:r>
                  <w:r>
                    <w:rPr>
                      <w:rFonts w:hint="eastAsia" w:ascii="Times New Roman" w:hAnsi="Times New Roman" w:eastAsia="宋体" w:cs="Times New Roman"/>
                      <w:color w:val="auto"/>
                      <w:spacing w:val="-6"/>
                      <w:sz w:val="22"/>
                      <w:szCs w:val="22"/>
                    </w:rPr>
                    <w:t>生化池排放口</w:t>
                  </w:r>
                </w:p>
              </w:tc>
              <w:tc>
                <w:tcPr>
                  <w:tcW w:w="1445" w:type="dxa"/>
                  <w:vMerge w:val="restart"/>
                  <w:tcBorders>
                    <w:tl2br w:val="nil"/>
                    <w:tr2bl w:val="nil"/>
                  </w:tcBorders>
                  <w:noWrap w:val="0"/>
                  <w:vAlign w:val="center"/>
                </w:tcPr>
                <w:p w14:paraId="51CE7F36">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6"/>
                      <w:sz w:val="22"/>
                      <w:szCs w:val="22"/>
                      <w:lang w:val="en-US" w:eastAsia="zh-CN"/>
                    </w:rPr>
                  </w:pPr>
                  <w:r>
                    <w:rPr>
                      <w:rFonts w:hint="eastAsia" w:ascii="Times New Roman" w:hAnsi="Times New Roman" w:eastAsia="宋体" w:cs="Times New Roman"/>
                      <w:color w:val="auto"/>
                      <w:spacing w:val="-6"/>
                      <w:sz w:val="22"/>
                      <w:szCs w:val="22"/>
                    </w:rPr>
                    <w:t>202</w:t>
                  </w:r>
                  <w:r>
                    <w:rPr>
                      <w:rFonts w:hint="eastAsia" w:ascii="Times New Roman" w:hAnsi="Times New Roman" w:eastAsia="宋体" w:cs="Times New Roman"/>
                      <w:color w:val="auto"/>
                      <w:spacing w:val="-6"/>
                      <w:sz w:val="22"/>
                      <w:szCs w:val="22"/>
                      <w:lang w:val="en-US" w:eastAsia="zh-CN"/>
                    </w:rPr>
                    <w:t>3.317~2023.3.18</w:t>
                  </w:r>
                </w:p>
              </w:tc>
              <w:tc>
                <w:tcPr>
                  <w:tcW w:w="635" w:type="dxa"/>
                  <w:vMerge w:val="restart"/>
                  <w:tcBorders>
                    <w:tl2br w:val="nil"/>
                    <w:tr2bl w:val="nil"/>
                  </w:tcBorders>
                  <w:noWrap w:val="0"/>
                  <w:vAlign w:val="center"/>
                </w:tcPr>
                <w:p w14:paraId="099F625A">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100%</w:t>
                  </w:r>
                </w:p>
              </w:tc>
              <w:tc>
                <w:tcPr>
                  <w:tcW w:w="671" w:type="dxa"/>
                  <w:tcBorders>
                    <w:tl2br w:val="nil"/>
                    <w:tr2bl w:val="nil"/>
                  </w:tcBorders>
                  <w:noWrap w:val="0"/>
                  <w:vAlign w:val="center"/>
                </w:tcPr>
                <w:p w14:paraId="1A71D28A">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6"/>
                      <w:sz w:val="22"/>
                      <w:szCs w:val="22"/>
                      <w:lang w:val="en-US" w:eastAsia="zh-CN"/>
                    </w:rPr>
                  </w:pPr>
                  <w:r>
                    <w:rPr>
                      <w:rFonts w:hint="eastAsia" w:ascii="Times New Roman" w:hAnsi="Times New Roman" w:eastAsia="宋体" w:cs="Times New Roman"/>
                      <w:color w:val="auto"/>
                      <w:spacing w:val="-6"/>
                      <w:sz w:val="22"/>
                      <w:szCs w:val="22"/>
                      <w:lang w:val="en-US" w:eastAsia="zh-CN"/>
                    </w:rPr>
                    <w:t>pH</w:t>
                  </w:r>
                </w:p>
              </w:tc>
              <w:tc>
                <w:tcPr>
                  <w:tcW w:w="1737" w:type="dxa"/>
                  <w:gridSpan w:val="2"/>
                  <w:tcBorders>
                    <w:tl2br w:val="nil"/>
                    <w:tr2bl w:val="nil"/>
                  </w:tcBorders>
                  <w:noWrap w:val="0"/>
                  <w:vAlign w:val="center"/>
                </w:tcPr>
                <w:p w14:paraId="47509E76">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lang w:val="en-US" w:eastAsia="zh-CN"/>
                    </w:rPr>
                    <w:t>7.4~7.6（无量纲）</w:t>
                  </w:r>
                </w:p>
              </w:tc>
              <w:tc>
                <w:tcPr>
                  <w:tcW w:w="873" w:type="dxa"/>
                  <w:tcBorders>
                    <w:tl2br w:val="nil"/>
                    <w:tr2bl w:val="nil"/>
                  </w:tcBorders>
                  <w:noWrap w:val="0"/>
                  <w:vAlign w:val="center"/>
                </w:tcPr>
                <w:p w14:paraId="5BA8201F">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6"/>
                      <w:sz w:val="22"/>
                      <w:szCs w:val="22"/>
                      <w:lang w:val="en-US"/>
                    </w:rPr>
                  </w:pPr>
                  <w:r>
                    <w:rPr>
                      <w:rFonts w:hint="eastAsia" w:ascii="Times New Roman" w:hAnsi="Times New Roman" w:eastAsia="宋体" w:cs="Times New Roman"/>
                      <w:color w:val="auto"/>
                      <w:spacing w:val="-6"/>
                      <w:sz w:val="22"/>
                      <w:szCs w:val="22"/>
                      <w:lang w:val="en-US" w:eastAsia="zh-CN"/>
                    </w:rPr>
                    <w:t>6~9</w:t>
                  </w:r>
                </w:p>
              </w:tc>
              <w:tc>
                <w:tcPr>
                  <w:tcW w:w="1305" w:type="dxa"/>
                  <w:vMerge w:val="restart"/>
                  <w:tcBorders>
                    <w:tl2br w:val="nil"/>
                    <w:tr2bl w:val="nil"/>
                  </w:tcBorders>
                  <w:noWrap w:val="0"/>
                  <w:vAlign w:val="center"/>
                </w:tcPr>
                <w:p w14:paraId="67FE8BAF">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6"/>
                      <w:sz w:val="22"/>
                      <w:szCs w:val="22"/>
                      <w:lang w:val="en-US" w:eastAsia="zh-CN"/>
                    </w:rPr>
                  </w:pPr>
                  <w:r>
                    <w:rPr>
                      <w:rFonts w:hint="eastAsia" w:ascii="Times New Roman" w:hAnsi="Times New Roman" w:eastAsia="宋体" w:cs="Times New Roman"/>
                      <w:color w:val="auto"/>
                      <w:spacing w:val="-6"/>
                      <w:sz w:val="22"/>
                      <w:szCs w:val="22"/>
                      <w:lang w:val="en-US" w:eastAsia="zh-CN"/>
                    </w:rPr>
                    <w:t>厂区已建生化池，</w:t>
                  </w:r>
                  <w:r>
                    <w:rPr>
                      <w:rFonts w:hint="eastAsia" w:ascii="Times New Roman" w:hAnsi="Times New Roman" w:eastAsia="宋体" w:cs="Times New Roman"/>
                      <w:color w:val="auto"/>
                      <w:spacing w:val="-6"/>
                      <w:sz w:val="22"/>
                      <w:szCs w:val="22"/>
                    </w:rPr>
                    <w:t>处</w:t>
                  </w:r>
                  <w:r>
                    <w:rPr>
                      <w:rFonts w:hint="eastAsia" w:ascii="Times New Roman" w:hAnsi="Times New Roman" w:eastAsia="宋体" w:cs="Times New Roman"/>
                      <w:color w:val="auto"/>
                      <w:spacing w:val="-6"/>
                      <w:sz w:val="22"/>
                      <w:szCs w:val="22"/>
                      <w:highlight w:val="none"/>
                    </w:rPr>
                    <w:t>理能力</w:t>
                  </w:r>
                  <w:r>
                    <w:rPr>
                      <w:rFonts w:hint="eastAsia" w:ascii="Times New Roman" w:hAnsi="Times New Roman" w:eastAsia="宋体" w:cs="Times New Roman"/>
                      <w:color w:val="auto"/>
                      <w:spacing w:val="-6"/>
                      <w:sz w:val="22"/>
                      <w:szCs w:val="22"/>
                      <w:highlight w:val="none"/>
                      <w:lang w:val="en-US" w:eastAsia="zh-CN"/>
                    </w:rPr>
                    <w:t>10</w:t>
                  </w:r>
                  <w:r>
                    <w:rPr>
                      <w:rFonts w:hint="eastAsia" w:ascii="Times New Roman" w:hAnsi="Times New Roman" w:eastAsia="宋体" w:cs="Times New Roman"/>
                      <w:color w:val="auto"/>
                      <w:spacing w:val="-6"/>
                      <w:sz w:val="22"/>
                      <w:szCs w:val="22"/>
                      <w:highlight w:val="none"/>
                    </w:rPr>
                    <w:t>m</w:t>
                  </w:r>
                  <w:r>
                    <w:rPr>
                      <w:rFonts w:hint="eastAsia" w:ascii="Times New Roman" w:hAnsi="Times New Roman" w:eastAsia="宋体" w:cs="Times New Roman"/>
                      <w:color w:val="auto"/>
                      <w:spacing w:val="-6"/>
                      <w:sz w:val="22"/>
                      <w:szCs w:val="22"/>
                      <w:highlight w:val="none"/>
                      <w:vertAlign w:val="superscript"/>
                    </w:rPr>
                    <w:t>3</w:t>
                  </w:r>
                  <w:r>
                    <w:rPr>
                      <w:rFonts w:hint="eastAsia" w:ascii="Times New Roman" w:hAnsi="Times New Roman" w:eastAsia="宋体" w:cs="Times New Roman"/>
                      <w:color w:val="auto"/>
                      <w:spacing w:val="-6"/>
                      <w:sz w:val="22"/>
                      <w:szCs w:val="22"/>
                      <w:highlight w:val="none"/>
                    </w:rPr>
                    <w:t>/d，处理</w:t>
                  </w:r>
                  <w:r>
                    <w:rPr>
                      <w:rFonts w:hint="eastAsia" w:ascii="Times New Roman" w:hAnsi="Times New Roman" w:eastAsia="宋体" w:cs="Times New Roman"/>
                      <w:color w:val="auto"/>
                      <w:spacing w:val="-6"/>
                      <w:sz w:val="22"/>
                      <w:szCs w:val="22"/>
                    </w:rPr>
                    <w:t>工艺为</w:t>
                  </w:r>
                  <w:r>
                    <w:rPr>
                      <w:rFonts w:hint="eastAsia" w:ascii="Times New Roman" w:hAnsi="Times New Roman" w:eastAsia="宋体" w:cs="Times New Roman"/>
                      <w:color w:val="auto"/>
                      <w:spacing w:val="-6"/>
                      <w:sz w:val="22"/>
                      <w:szCs w:val="22"/>
                      <w:lang w:val="en-US" w:eastAsia="zh-CN"/>
                    </w:rPr>
                    <w:t>厌氧生化</w:t>
                  </w:r>
                </w:p>
              </w:tc>
              <w:tc>
                <w:tcPr>
                  <w:tcW w:w="554" w:type="dxa"/>
                  <w:tcBorders>
                    <w:tl2br w:val="nil"/>
                    <w:tr2bl w:val="nil"/>
                  </w:tcBorders>
                  <w:noWrap w:val="0"/>
                  <w:vAlign w:val="center"/>
                </w:tcPr>
                <w:p w14:paraId="70D1DC64">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达标</w:t>
                  </w:r>
                </w:p>
              </w:tc>
            </w:tr>
            <w:tr w14:paraId="56AC5B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0" w:type="dxa"/>
                  <w:vMerge w:val="continue"/>
                  <w:tcBorders>
                    <w:tl2br w:val="nil"/>
                    <w:tr2bl w:val="nil"/>
                  </w:tcBorders>
                  <w:noWrap w:val="0"/>
                  <w:vAlign w:val="center"/>
                </w:tcPr>
                <w:p w14:paraId="5E7593E5">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p>
              </w:tc>
              <w:tc>
                <w:tcPr>
                  <w:tcW w:w="1445" w:type="dxa"/>
                  <w:vMerge w:val="continue"/>
                  <w:tcBorders>
                    <w:tl2br w:val="nil"/>
                    <w:tr2bl w:val="nil"/>
                  </w:tcBorders>
                  <w:noWrap w:val="0"/>
                  <w:vAlign w:val="center"/>
                </w:tcPr>
                <w:p w14:paraId="34ADC937">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6"/>
                      <w:sz w:val="22"/>
                      <w:szCs w:val="22"/>
                      <w:lang w:val="en-US" w:eastAsia="zh-CN"/>
                    </w:rPr>
                  </w:pPr>
                </w:p>
              </w:tc>
              <w:tc>
                <w:tcPr>
                  <w:tcW w:w="635" w:type="dxa"/>
                  <w:vMerge w:val="continue"/>
                  <w:tcBorders>
                    <w:tl2br w:val="nil"/>
                    <w:tr2bl w:val="nil"/>
                  </w:tcBorders>
                  <w:noWrap w:val="0"/>
                  <w:vAlign w:val="center"/>
                </w:tcPr>
                <w:p w14:paraId="606C55FE">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p>
              </w:tc>
              <w:tc>
                <w:tcPr>
                  <w:tcW w:w="671" w:type="dxa"/>
                  <w:tcBorders>
                    <w:tl2br w:val="nil"/>
                    <w:tr2bl w:val="nil"/>
                  </w:tcBorders>
                  <w:noWrap w:val="0"/>
                  <w:vAlign w:val="center"/>
                </w:tcPr>
                <w:p w14:paraId="4EE35FA1">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COD</w:t>
                  </w:r>
                </w:p>
              </w:tc>
              <w:tc>
                <w:tcPr>
                  <w:tcW w:w="929" w:type="dxa"/>
                  <w:tcBorders>
                    <w:tl2br w:val="nil"/>
                    <w:tr2bl w:val="nil"/>
                  </w:tcBorders>
                  <w:noWrap w:val="0"/>
                  <w:vAlign w:val="center"/>
                </w:tcPr>
                <w:p w14:paraId="3B40FFD8">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6"/>
                      <w:sz w:val="22"/>
                      <w:szCs w:val="22"/>
                      <w:lang w:val="en-US" w:eastAsia="zh-CN"/>
                    </w:rPr>
                  </w:pPr>
                  <w:r>
                    <w:rPr>
                      <w:rFonts w:hint="eastAsia" w:ascii="Times New Roman" w:hAnsi="Times New Roman" w:eastAsia="宋体" w:cs="Times New Roman"/>
                      <w:color w:val="auto"/>
                      <w:spacing w:val="-6"/>
                      <w:sz w:val="22"/>
                      <w:szCs w:val="22"/>
                      <w:lang w:val="en-US" w:eastAsia="zh-CN"/>
                    </w:rPr>
                    <w:t>305</w:t>
                  </w:r>
                </w:p>
              </w:tc>
              <w:tc>
                <w:tcPr>
                  <w:tcW w:w="808" w:type="dxa"/>
                  <w:tcBorders>
                    <w:tl2br w:val="nil"/>
                    <w:tr2bl w:val="nil"/>
                  </w:tcBorders>
                  <w:noWrap w:val="0"/>
                  <w:vAlign w:val="center"/>
                </w:tcPr>
                <w:p w14:paraId="765BBEC6">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6"/>
                      <w:sz w:val="22"/>
                      <w:szCs w:val="22"/>
                      <w:lang w:val="en-US"/>
                    </w:rPr>
                  </w:pPr>
                  <w:r>
                    <w:rPr>
                      <w:rFonts w:hint="eastAsia" w:ascii="Times New Roman" w:hAnsi="Times New Roman" w:eastAsia="宋体" w:cs="Times New Roman"/>
                      <w:color w:val="auto"/>
                      <w:spacing w:val="-6"/>
                      <w:sz w:val="22"/>
                      <w:szCs w:val="22"/>
                      <w:lang w:val="en-US" w:eastAsia="zh-CN"/>
                    </w:rPr>
                    <w:t>0.165</w:t>
                  </w:r>
                </w:p>
              </w:tc>
              <w:tc>
                <w:tcPr>
                  <w:tcW w:w="873" w:type="dxa"/>
                  <w:tcBorders>
                    <w:tl2br w:val="nil"/>
                    <w:tr2bl w:val="nil"/>
                  </w:tcBorders>
                  <w:noWrap w:val="0"/>
                  <w:vAlign w:val="center"/>
                </w:tcPr>
                <w:p w14:paraId="5E9D7E60">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500</w:t>
                  </w:r>
                </w:p>
              </w:tc>
              <w:tc>
                <w:tcPr>
                  <w:tcW w:w="1305" w:type="dxa"/>
                  <w:vMerge w:val="continue"/>
                  <w:tcBorders>
                    <w:tl2br w:val="nil"/>
                    <w:tr2bl w:val="nil"/>
                  </w:tcBorders>
                  <w:noWrap w:val="0"/>
                  <w:vAlign w:val="center"/>
                </w:tcPr>
                <w:p w14:paraId="22D6D79A">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6"/>
                      <w:sz w:val="22"/>
                      <w:szCs w:val="22"/>
                      <w:lang w:val="en-US" w:eastAsia="zh-CN"/>
                    </w:rPr>
                  </w:pPr>
                </w:p>
              </w:tc>
              <w:tc>
                <w:tcPr>
                  <w:tcW w:w="554" w:type="dxa"/>
                  <w:tcBorders>
                    <w:tl2br w:val="nil"/>
                    <w:tr2bl w:val="nil"/>
                  </w:tcBorders>
                  <w:noWrap w:val="0"/>
                  <w:vAlign w:val="center"/>
                </w:tcPr>
                <w:p w14:paraId="636F241B">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达标</w:t>
                  </w:r>
                </w:p>
              </w:tc>
            </w:tr>
            <w:tr w14:paraId="0BDFC4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0" w:type="dxa"/>
                  <w:vMerge w:val="continue"/>
                  <w:tcBorders>
                    <w:tl2br w:val="nil"/>
                    <w:tr2bl w:val="nil"/>
                  </w:tcBorders>
                  <w:noWrap w:val="0"/>
                  <w:vAlign w:val="center"/>
                </w:tcPr>
                <w:p w14:paraId="68BC00CB">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p>
              </w:tc>
              <w:tc>
                <w:tcPr>
                  <w:tcW w:w="1445" w:type="dxa"/>
                  <w:vMerge w:val="continue"/>
                  <w:tcBorders>
                    <w:tl2br w:val="nil"/>
                    <w:tr2bl w:val="nil"/>
                  </w:tcBorders>
                  <w:noWrap w:val="0"/>
                  <w:vAlign w:val="center"/>
                </w:tcPr>
                <w:p w14:paraId="614428B9">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p>
              </w:tc>
              <w:tc>
                <w:tcPr>
                  <w:tcW w:w="635" w:type="dxa"/>
                  <w:vMerge w:val="continue"/>
                  <w:tcBorders>
                    <w:tl2br w:val="nil"/>
                    <w:tr2bl w:val="nil"/>
                  </w:tcBorders>
                  <w:noWrap w:val="0"/>
                  <w:vAlign w:val="center"/>
                </w:tcPr>
                <w:p w14:paraId="737249E0">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p>
              </w:tc>
              <w:tc>
                <w:tcPr>
                  <w:tcW w:w="671" w:type="dxa"/>
                  <w:tcBorders>
                    <w:tl2br w:val="nil"/>
                    <w:tr2bl w:val="nil"/>
                  </w:tcBorders>
                  <w:noWrap w:val="0"/>
                  <w:vAlign w:val="center"/>
                </w:tcPr>
                <w:p w14:paraId="79343E80">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BOD</w:t>
                  </w:r>
                  <w:r>
                    <w:rPr>
                      <w:rFonts w:hint="eastAsia" w:ascii="Times New Roman" w:hAnsi="Times New Roman" w:eastAsia="宋体" w:cs="Times New Roman"/>
                      <w:color w:val="auto"/>
                      <w:spacing w:val="-6"/>
                      <w:sz w:val="22"/>
                      <w:szCs w:val="22"/>
                      <w:vertAlign w:val="subscript"/>
                    </w:rPr>
                    <w:t>5</w:t>
                  </w:r>
                </w:p>
              </w:tc>
              <w:tc>
                <w:tcPr>
                  <w:tcW w:w="929" w:type="dxa"/>
                  <w:tcBorders>
                    <w:tl2br w:val="nil"/>
                    <w:tr2bl w:val="nil"/>
                  </w:tcBorders>
                  <w:noWrap w:val="0"/>
                  <w:vAlign w:val="center"/>
                </w:tcPr>
                <w:p w14:paraId="4B7B7AB2">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6"/>
                      <w:sz w:val="22"/>
                      <w:szCs w:val="22"/>
                      <w:lang w:val="en-US" w:eastAsia="zh-CN"/>
                    </w:rPr>
                  </w:pPr>
                  <w:r>
                    <w:rPr>
                      <w:rFonts w:hint="eastAsia" w:ascii="Times New Roman" w:hAnsi="Times New Roman" w:eastAsia="宋体" w:cs="Times New Roman"/>
                      <w:color w:val="auto"/>
                      <w:spacing w:val="-6"/>
                      <w:sz w:val="22"/>
                      <w:szCs w:val="22"/>
                      <w:lang w:val="en-US" w:eastAsia="zh-CN"/>
                    </w:rPr>
                    <w:t>86.4</w:t>
                  </w:r>
                </w:p>
              </w:tc>
              <w:tc>
                <w:tcPr>
                  <w:tcW w:w="808" w:type="dxa"/>
                  <w:tcBorders>
                    <w:tl2br w:val="nil"/>
                    <w:tr2bl w:val="nil"/>
                  </w:tcBorders>
                  <w:noWrap w:val="0"/>
                  <w:vAlign w:val="center"/>
                </w:tcPr>
                <w:p w14:paraId="6AB0943D">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6"/>
                      <w:sz w:val="22"/>
                      <w:szCs w:val="22"/>
                      <w:lang w:val="en-US"/>
                    </w:rPr>
                  </w:pPr>
                  <w:r>
                    <w:rPr>
                      <w:rFonts w:hint="eastAsia" w:ascii="Times New Roman" w:hAnsi="Times New Roman" w:eastAsia="宋体" w:cs="Times New Roman"/>
                      <w:color w:val="auto"/>
                      <w:spacing w:val="-6"/>
                      <w:sz w:val="22"/>
                      <w:szCs w:val="22"/>
                      <w:lang w:val="en-US" w:eastAsia="zh-CN"/>
                    </w:rPr>
                    <w:t>0.047</w:t>
                  </w:r>
                </w:p>
              </w:tc>
              <w:tc>
                <w:tcPr>
                  <w:tcW w:w="873" w:type="dxa"/>
                  <w:tcBorders>
                    <w:tl2br w:val="nil"/>
                    <w:tr2bl w:val="nil"/>
                  </w:tcBorders>
                  <w:noWrap w:val="0"/>
                  <w:vAlign w:val="center"/>
                </w:tcPr>
                <w:p w14:paraId="7AA28A5C">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300</w:t>
                  </w:r>
                </w:p>
              </w:tc>
              <w:tc>
                <w:tcPr>
                  <w:tcW w:w="1305" w:type="dxa"/>
                  <w:vMerge w:val="continue"/>
                  <w:tcBorders>
                    <w:tl2br w:val="nil"/>
                    <w:tr2bl w:val="nil"/>
                  </w:tcBorders>
                  <w:noWrap w:val="0"/>
                  <w:vAlign w:val="center"/>
                </w:tcPr>
                <w:p w14:paraId="00E3DE05">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p>
              </w:tc>
              <w:tc>
                <w:tcPr>
                  <w:tcW w:w="554" w:type="dxa"/>
                  <w:tcBorders>
                    <w:tl2br w:val="nil"/>
                    <w:tr2bl w:val="nil"/>
                  </w:tcBorders>
                  <w:noWrap w:val="0"/>
                  <w:vAlign w:val="center"/>
                </w:tcPr>
                <w:p w14:paraId="2999A56B">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达标</w:t>
                  </w:r>
                </w:p>
              </w:tc>
            </w:tr>
            <w:tr w14:paraId="78A177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0" w:type="dxa"/>
                  <w:vMerge w:val="continue"/>
                  <w:tcBorders>
                    <w:tl2br w:val="nil"/>
                    <w:tr2bl w:val="nil"/>
                  </w:tcBorders>
                  <w:noWrap w:val="0"/>
                  <w:vAlign w:val="center"/>
                </w:tcPr>
                <w:p w14:paraId="3CFCC301">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p>
              </w:tc>
              <w:tc>
                <w:tcPr>
                  <w:tcW w:w="1445" w:type="dxa"/>
                  <w:vMerge w:val="continue"/>
                  <w:tcBorders>
                    <w:tl2br w:val="nil"/>
                    <w:tr2bl w:val="nil"/>
                  </w:tcBorders>
                  <w:noWrap w:val="0"/>
                  <w:vAlign w:val="center"/>
                </w:tcPr>
                <w:p w14:paraId="48E7BDF1">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p>
              </w:tc>
              <w:tc>
                <w:tcPr>
                  <w:tcW w:w="635" w:type="dxa"/>
                  <w:vMerge w:val="continue"/>
                  <w:tcBorders>
                    <w:tl2br w:val="nil"/>
                    <w:tr2bl w:val="nil"/>
                  </w:tcBorders>
                  <w:noWrap w:val="0"/>
                  <w:vAlign w:val="center"/>
                </w:tcPr>
                <w:p w14:paraId="75691A8B">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p>
              </w:tc>
              <w:tc>
                <w:tcPr>
                  <w:tcW w:w="671" w:type="dxa"/>
                  <w:tcBorders>
                    <w:tl2br w:val="nil"/>
                    <w:tr2bl w:val="nil"/>
                  </w:tcBorders>
                  <w:noWrap w:val="0"/>
                  <w:vAlign w:val="center"/>
                </w:tcPr>
                <w:p w14:paraId="5E49EE27">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SS</w:t>
                  </w:r>
                </w:p>
              </w:tc>
              <w:tc>
                <w:tcPr>
                  <w:tcW w:w="929" w:type="dxa"/>
                  <w:tcBorders>
                    <w:tl2br w:val="nil"/>
                    <w:tr2bl w:val="nil"/>
                  </w:tcBorders>
                  <w:noWrap w:val="0"/>
                  <w:vAlign w:val="center"/>
                </w:tcPr>
                <w:p w14:paraId="058370BD">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6"/>
                      <w:sz w:val="22"/>
                      <w:szCs w:val="22"/>
                      <w:lang w:val="en-US" w:eastAsia="zh-CN"/>
                    </w:rPr>
                  </w:pPr>
                  <w:r>
                    <w:rPr>
                      <w:rFonts w:hint="eastAsia" w:ascii="Times New Roman" w:hAnsi="Times New Roman" w:eastAsia="宋体" w:cs="Times New Roman"/>
                      <w:color w:val="auto"/>
                      <w:spacing w:val="-6"/>
                      <w:sz w:val="22"/>
                      <w:szCs w:val="22"/>
                      <w:lang w:val="en-US" w:eastAsia="zh-CN"/>
                    </w:rPr>
                    <w:t>42</w:t>
                  </w:r>
                </w:p>
              </w:tc>
              <w:tc>
                <w:tcPr>
                  <w:tcW w:w="808" w:type="dxa"/>
                  <w:tcBorders>
                    <w:tl2br w:val="nil"/>
                    <w:tr2bl w:val="nil"/>
                  </w:tcBorders>
                  <w:noWrap w:val="0"/>
                  <w:vAlign w:val="center"/>
                </w:tcPr>
                <w:p w14:paraId="735B7024">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6"/>
                      <w:sz w:val="22"/>
                      <w:szCs w:val="22"/>
                      <w:lang w:val="en-US"/>
                    </w:rPr>
                  </w:pPr>
                  <w:r>
                    <w:rPr>
                      <w:rFonts w:hint="eastAsia" w:ascii="Times New Roman" w:hAnsi="Times New Roman" w:eastAsia="宋体" w:cs="Times New Roman"/>
                      <w:color w:val="auto"/>
                      <w:spacing w:val="-6"/>
                      <w:sz w:val="22"/>
                      <w:szCs w:val="22"/>
                      <w:lang w:val="en-US" w:eastAsia="zh-CN"/>
                    </w:rPr>
                    <w:t>0.023</w:t>
                  </w:r>
                </w:p>
              </w:tc>
              <w:tc>
                <w:tcPr>
                  <w:tcW w:w="873" w:type="dxa"/>
                  <w:tcBorders>
                    <w:tl2br w:val="nil"/>
                    <w:tr2bl w:val="nil"/>
                  </w:tcBorders>
                  <w:noWrap w:val="0"/>
                  <w:vAlign w:val="center"/>
                </w:tcPr>
                <w:p w14:paraId="0F4E9692">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400</w:t>
                  </w:r>
                </w:p>
              </w:tc>
              <w:tc>
                <w:tcPr>
                  <w:tcW w:w="1305" w:type="dxa"/>
                  <w:vMerge w:val="continue"/>
                  <w:tcBorders>
                    <w:tl2br w:val="nil"/>
                    <w:tr2bl w:val="nil"/>
                  </w:tcBorders>
                  <w:noWrap w:val="0"/>
                  <w:vAlign w:val="center"/>
                </w:tcPr>
                <w:p w14:paraId="385C5106">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p>
              </w:tc>
              <w:tc>
                <w:tcPr>
                  <w:tcW w:w="554" w:type="dxa"/>
                  <w:tcBorders>
                    <w:tl2br w:val="nil"/>
                    <w:tr2bl w:val="nil"/>
                  </w:tcBorders>
                  <w:noWrap w:val="0"/>
                  <w:vAlign w:val="center"/>
                </w:tcPr>
                <w:p w14:paraId="19B57295">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达标</w:t>
                  </w:r>
                </w:p>
              </w:tc>
            </w:tr>
            <w:tr w14:paraId="6DF5D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0" w:type="dxa"/>
                  <w:vMerge w:val="continue"/>
                  <w:tcBorders>
                    <w:tl2br w:val="nil"/>
                    <w:tr2bl w:val="nil"/>
                  </w:tcBorders>
                  <w:noWrap w:val="0"/>
                  <w:vAlign w:val="center"/>
                </w:tcPr>
                <w:p w14:paraId="01EE5784">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p>
              </w:tc>
              <w:tc>
                <w:tcPr>
                  <w:tcW w:w="1445" w:type="dxa"/>
                  <w:vMerge w:val="continue"/>
                  <w:tcBorders>
                    <w:tl2br w:val="nil"/>
                    <w:tr2bl w:val="nil"/>
                  </w:tcBorders>
                  <w:noWrap w:val="0"/>
                  <w:vAlign w:val="center"/>
                </w:tcPr>
                <w:p w14:paraId="154A4236">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p>
              </w:tc>
              <w:tc>
                <w:tcPr>
                  <w:tcW w:w="635" w:type="dxa"/>
                  <w:vMerge w:val="continue"/>
                  <w:tcBorders>
                    <w:tl2br w:val="nil"/>
                    <w:tr2bl w:val="nil"/>
                  </w:tcBorders>
                  <w:noWrap w:val="0"/>
                  <w:vAlign w:val="center"/>
                </w:tcPr>
                <w:p w14:paraId="17DD5A5D">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p>
              </w:tc>
              <w:tc>
                <w:tcPr>
                  <w:tcW w:w="671" w:type="dxa"/>
                  <w:tcBorders>
                    <w:tl2br w:val="nil"/>
                    <w:tr2bl w:val="nil"/>
                  </w:tcBorders>
                  <w:noWrap w:val="0"/>
                  <w:vAlign w:val="center"/>
                </w:tcPr>
                <w:p w14:paraId="4650C5DE">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氨氮</w:t>
                  </w:r>
                </w:p>
              </w:tc>
              <w:tc>
                <w:tcPr>
                  <w:tcW w:w="929" w:type="dxa"/>
                  <w:tcBorders>
                    <w:tl2br w:val="nil"/>
                    <w:tr2bl w:val="nil"/>
                  </w:tcBorders>
                  <w:noWrap w:val="0"/>
                  <w:vAlign w:val="center"/>
                </w:tcPr>
                <w:p w14:paraId="60328472">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6"/>
                      <w:sz w:val="22"/>
                      <w:szCs w:val="22"/>
                      <w:lang w:val="en-US" w:eastAsia="zh-CN"/>
                    </w:rPr>
                  </w:pPr>
                  <w:r>
                    <w:rPr>
                      <w:rFonts w:hint="eastAsia" w:ascii="Times New Roman" w:hAnsi="Times New Roman" w:eastAsia="宋体" w:cs="Times New Roman"/>
                      <w:color w:val="auto"/>
                      <w:spacing w:val="-6"/>
                      <w:sz w:val="22"/>
                      <w:szCs w:val="22"/>
                      <w:lang w:val="en-US" w:eastAsia="zh-CN"/>
                    </w:rPr>
                    <w:t>39.9</w:t>
                  </w:r>
                </w:p>
              </w:tc>
              <w:tc>
                <w:tcPr>
                  <w:tcW w:w="808" w:type="dxa"/>
                  <w:tcBorders>
                    <w:tl2br w:val="nil"/>
                    <w:tr2bl w:val="nil"/>
                  </w:tcBorders>
                  <w:noWrap w:val="0"/>
                  <w:vAlign w:val="center"/>
                </w:tcPr>
                <w:p w14:paraId="5F018398">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pacing w:val="-6"/>
                      <w:sz w:val="22"/>
                      <w:szCs w:val="22"/>
                      <w:lang w:val="en-US"/>
                    </w:rPr>
                  </w:pPr>
                  <w:r>
                    <w:rPr>
                      <w:rFonts w:hint="eastAsia" w:ascii="Times New Roman" w:hAnsi="Times New Roman" w:eastAsia="宋体" w:cs="Times New Roman"/>
                      <w:color w:val="auto"/>
                      <w:spacing w:val="-6"/>
                      <w:sz w:val="22"/>
                      <w:szCs w:val="22"/>
                      <w:lang w:val="en-US" w:eastAsia="zh-CN"/>
                    </w:rPr>
                    <w:t>0.02</w:t>
                  </w:r>
                </w:p>
              </w:tc>
              <w:tc>
                <w:tcPr>
                  <w:tcW w:w="873" w:type="dxa"/>
                  <w:tcBorders>
                    <w:tl2br w:val="nil"/>
                    <w:tr2bl w:val="nil"/>
                  </w:tcBorders>
                  <w:noWrap w:val="0"/>
                  <w:vAlign w:val="center"/>
                </w:tcPr>
                <w:p w14:paraId="1813F980">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45*</w:t>
                  </w:r>
                </w:p>
              </w:tc>
              <w:tc>
                <w:tcPr>
                  <w:tcW w:w="1305" w:type="dxa"/>
                  <w:vMerge w:val="continue"/>
                  <w:tcBorders>
                    <w:tl2br w:val="nil"/>
                    <w:tr2bl w:val="nil"/>
                  </w:tcBorders>
                  <w:noWrap w:val="0"/>
                  <w:vAlign w:val="center"/>
                </w:tcPr>
                <w:p w14:paraId="3CFF3DC3">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p>
              </w:tc>
              <w:tc>
                <w:tcPr>
                  <w:tcW w:w="554" w:type="dxa"/>
                  <w:tcBorders>
                    <w:tl2br w:val="nil"/>
                    <w:tr2bl w:val="nil"/>
                  </w:tcBorders>
                  <w:noWrap w:val="0"/>
                  <w:vAlign w:val="center"/>
                </w:tcPr>
                <w:p w14:paraId="05E01B66">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pacing w:val="-6"/>
                      <w:sz w:val="22"/>
                      <w:szCs w:val="22"/>
                    </w:rPr>
                  </w:pPr>
                  <w:r>
                    <w:rPr>
                      <w:rFonts w:hint="eastAsia" w:ascii="Times New Roman" w:hAnsi="Times New Roman" w:eastAsia="宋体" w:cs="Times New Roman"/>
                      <w:color w:val="auto"/>
                      <w:spacing w:val="-6"/>
                      <w:sz w:val="22"/>
                      <w:szCs w:val="22"/>
                    </w:rPr>
                    <w:t>达标</w:t>
                  </w:r>
                </w:p>
              </w:tc>
            </w:tr>
          </w:tbl>
          <w:p w14:paraId="60B8624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bCs/>
                <w:color w:val="auto"/>
                <w:sz w:val="26"/>
                <w:szCs w:val="26"/>
              </w:rPr>
            </w:pPr>
            <w:r>
              <w:rPr>
                <w:rFonts w:ascii="Times New Roman" w:hAnsi="Times New Roman"/>
                <w:color w:val="auto"/>
                <w:sz w:val="22"/>
              </w:rPr>
              <w:t>注：根据《国家环境保护总局关于纳污管排污单位氨氮执行标准的复函》（环函〔2005〕454 号），氨氮执行《污水排入城镇下水道水质标准》（GB/T31962-2015）。</w:t>
            </w:r>
          </w:p>
          <w:p w14:paraId="437AA1EC">
            <w:pPr>
              <w:adjustRightInd w:val="0"/>
              <w:snapToGrid w:val="0"/>
              <w:spacing w:line="460" w:lineRule="exact"/>
              <w:ind w:firstLine="520" w:firstLineChars="200"/>
              <w:jc w:val="both"/>
              <w:rPr>
                <w:rFonts w:hint="eastAsia" w:ascii="Times New Roman" w:hAnsi="Times New Roman"/>
                <w:bCs/>
                <w:color w:val="auto"/>
                <w:sz w:val="26"/>
                <w:szCs w:val="26"/>
              </w:rPr>
            </w:pPr>
            <w:r>
              <w:rPr>
                <w:rFonts w:hint="eastAsia" w:ascii="Times New Roman" w:hAnsi="Times New Roman"/>
                <w:bCs/>
                <w:color w:val="auto"/>
                <w:sz w:val="26"/>
                <w:szCs w:val="26"/>
              </w:rPr>
              <w:t>综上，现有项目</w:t>
            </w:r>
            <w:r>
              <w:rPr>
                <w:rFonts w:hint="eastAsia" w:ascii="Times New Roman" w:hAnsi="Times New Roman"/>
                <w:bCs/>
                <w:color w:val="auto"/>
                <w:sz w:val="26"/>
                <w:szCs w:val="26"/>
                <w:lang w:val="en-US" w:eastAsia="zh-CN"/>
              </w:rPr>
              <w:t>生化池</w:t>
            </w:r>
            <w:r>
              <w:rPr>
                <w:rFonts w:hint="eastAsia" w:ascii="Times New Roman" w:hAnsi="Times New Roman"/>
                <w:bCs/>
                <w:color w:val="auto"/>
                <w:sz w:val="26"/>
                <w:szCs w:val="26"/>
              </w:rPr>
              <w:t>排放口达《污水综合排放标准》（GB8978-1996）三级标准。</w:t>
            </w:r>
          </w:p>
          <w:p w14:paraId="5372751E">
            <w:pPr>
              <w:adjustRightInd w:val="0"/>
              <w:snapToGrid w:val="0"/>
              <w:spacing w:line="460" w:lineRule="exact"/>
              <w:ind w:firstLine="520" w:firstLineChars="200"/>
              <w:jc w:val="left"/>
              <w:rPr>
                <w:rFonts w:ascii="Times New Roman" w:hAnsi="Times New Roman"/>
                <w:bCs/>
                <w:color w:val="auto"/>
                <w:sz w:val="26"/>
                <w:szCs w:val="26"/>
              </w:rPr>
            </w:pPr>
            <w:r>
              <w:rPr>
                <w:rFonts w:hint="eastAsia" w:ascii="Times New Roman" w:hAnsi="Times New Roman"/>
                <w:bCs/>
                <w:color w:val="auto"/>
                <w:sz w:val="26"/>
                <w:szCs w:val="26"/>
              </w:rPr>
              <w:t>（3）噪声</w:t>
            </w:r>
          </w:p>
          <w:p w14:paraId="02A05ED9">
            <w:pPr>
              <w:adjustRightInd w:val="0"/>
              <w:snapToGrid w:val="0"/>
              <w:spacing w:line="460" w:lineRule="exact"/>
              <w:ind w:firstLine="520" w:firstLineChars="200"/>
              <w:jc w:val="left"/>
              <w:rPr>
                <w:rFonts w:hint="eastAsia" w:ascii="Times New Roman" w:hAnsi="Times New Roman"/>
                <w:bCs/>
                <w:color w:val="auto"/>
                <w:sz w:val="26"/>
                <w:szCs w:val="26"/>
              </w:rPr>
            </w:pPr>
            <w:r>
              <w:rPr>
                <w:rFonts w:hint="eastAsia" w:ascii="Times New Roman" w:hAnsi="Times New Roman"/>
                <w:bCs/>
                <w:color w:val="auto"/>
                <w:sz w:val="26"/>
                <w:szCs w:val="26"/>
              </w:rPr>
              <w:t>现有项目噪声污染主要来源于</w:t>
            </w:r>
            <w:r>
              <w:rPr>
                <w:rFonts w:hint="eastAsia" w:ascii="Times New Roman" w:hAnsi="Times New Roman"/>
                <w:bCs/>
                <w:color w:val="auto"/>
                <w:sz w:val="26"/>
                <w:szCs w:val="26"/>
                <w:lang w:val="en-US" w:eastAsia="zh-CN"/>
              </w:rPr>
              <w:t>熔炼炉、冷却塔、车床、带锯、圆盘锯、</w:t>
            </w:r>
            <w:r>
              <w:rPr>
                <w:rFonts w:hint="eastAsia" w:ascii="Times New Roman" w:hAnsi="Times New Roman"/>
                <w:bCs/>
                <w:color w:val="auto"/>
                <w:sz w:val="26"/>
                <w:szCs w:val="26"/>
              </w:rPr>
              <w:t>空压机、风机</w:t>
            </w:r>
            <w:r>
              <w:rPr>
                <w:rFonts w:hint="eastAsia" w:ascii="Times New Roman" w:hAnsi="Times New Roman"/>
                <w:bCs/>
                <w:color w:val="auto"/>
                <w:sz w:val="26"/>
                <w:szCs w:val="26"/>
                <w:lang w:val="en-US" w:eastAsia="zh-CN"/>
              </w:rPr>
              <w:t>及水泵</w:t>
            </w:r>
            <w:r>
              <w:rPr>
                <w:rFonts w:hint="eastAsia" w:ascii="Times New Roman" w:hAnsi="Times New Roman"/>
                <w:bCs/>
                <w:color w:val="auto"/>
                <w:sz w:val="26"/>
                <w:szCs w:val="26"/>
              </w:rPr>
              <w:t>等，其声源声级范围值为70~</w:t>
            </w:r>
            <w:r>
              <w:rPr>
                <w:rFonts w:hint="eastAsia" w:ascii="Times New Roman" w:hAnsi="Times New Roman"/>
                <w:bCs/>
                <w:color w:val="auto"/>
                <w:sz w:val="26"/>
                <w:szCs w:val="26"/>
                <w:lang w:val="en-US" w:eastAsia="zh-CN"/>
              </w:rPr>
              <w:t>9</w:t>
            </w:r>
            <w:r>
              <w:rPr>
                <w:rFonts w:hint="eastAsia" w:ascii="Times New Roman" w:hAnsi="Times New Roman"/>
                <w:bCs/>
                <w:color w:val="auto"/>
                <w:sz w:val="26"/>
                <w:szCs w:val="26"/>
              </w:rPr>
              <w:t>0dB（A），</w:t>
            </w:r>
            <w:r>
              <w:rPr>
                <w:rFonts w:hint="eastAsia" w:ascii="Times New Roman" w:hAnsi="Times New Roman"/>
                <w:bCs/>
                <w:color w:val="auto"/>
                <w:sz w:val="26"/>
                <w:szCs w:val="26"/>
                <w:lang w:val="en-US" w:eastAsia="zh-CN"/>
              </w:rPr>
              <w:t>设备</w:t>
            </w:r>
            <w:r>
              <w:rPr>
                <w:rFonts w:hint="eastAsia" w:ascii="Times New Roman" w:hAnsi="Times New Roman"/>
                <w:bCs/>
                <w:color w:val="auto"/>
                <w:sz w:val="26"/>
                <w:szCs w:val="26"/>
              </w:rPr>
              <w:t>已选用低噪声设备，通过基础减振、厂房隔声等措施。</w:t>
            </w:r>
          </w:p>
          <w:p w14:paraId="665BEDD3">
            <w:pPr>
              <w:adjustRightInd w:val="0"/>
              <w:snapToGrid w:val="0"/>
              <w:spacing w:line="460" w:lineRule="exact"/>
              <w:ind w:firstLine="520" w:firstLineChars="200"/>
              <w:jc w:val="left"/>
              <w:rPr>
                <w:rFonts w:hint="eastAsia" w:ascii="Times New Roman" w:hAnsi="Times New Roman"/>
                <w:bCs/>
                <w:color w:val="auto"/>
                <w:sz w:val="26"/>
                <w:szCs w:val="26"/>
              </w:rPr>
            </w:pPr>
            <w:r>
              <w:rPr>
                <w:rFonts w:hint="eastAsia" w:ascii="Times New Roman" w:hAnsi="Times New Roman"/>
                <w:bCs/>
                <w:color w:val="auto"/>
                <w:sz w:val="26"/>
                <w:szCs w:val="26"/>
                <w:lang w:val="en-US" w:eastAsia="zh-CN"/>
              </w:rPr>
              <w:t>建设单位已根据排污许可证自行监测要求定期进行自行监测，运行至今未出现超标情况。结合2025年9月自行监测数据（</w:t>
            </w:r>
            <w:r>
              <w:rPr>
                <w:rFonts w:hint="default" w:ascii="Times New Roman" w:hAnsi="Times New Roman" w:eastAsia="宋体" w:cs="Times New Roman"/>
                <w:bCs/>
                <w:color w:val="auto"/>
                <w:sz w:val="26"/>
                <w:szCs w:val="26"/>
                <w:lang w:val="en-US" w:eastAsia="zh-CN"/>
              </w:rPr>
              <w:t>惠源（检）字</w:t>
            </w:r>
            <w:r>
              <w:rPr>
                <w:rFonts w:hint="eastAsia" w:ascii="Times New Roman" w:hAnsi="Times New Roman" w:eastAsia="宋体" w:cs="Times New Roman"/>
                <w:bCs/>
                <w:color w:val="auto"/>
                <w:sz w:val="26"/>
                <w:szCs w:val="26"/>
                <w:lang w:val="en-US" w:eastAsia="zh-CN"/>
              </w:rPr>
              <w:t>[</w:t>
            </w:r>
            <w:r>
              <w:rPr>
                <w:rFonts w:hint="default" w:ascii="Times New Roman" w:hAnsi="Times New Roman" w:eastAsia="宋体" w:cs="Times New Roman"/>
                <w:bCs/>
                <w:color w:val="auto"/>
                <w:sz w:val="26"/>
                <w:szCs w:val="26"/>
                <w:lang w:val="en-US" w:eastAsia="zh-CN"/>
              </w:rPr>
              <w:t>2025</w:t>
            </w:r>
            <w:r>
              <w:rPr>
                <w:rFonts w:hint="eastAsia" w:ascii="Times New Roman" w:hAnsi="Times New Roman" w:eastAsia="宋体" w:cs="Times New Roman"/>
                <w:bCs/>
                <w:color w:val="auto"/>
                <w:sz w:val="26"/>
                <w:szCs w:val="26"/>
                <w:lang w:val="en-US" w:eastAsia="zh-CN"/>
              </w:rPr>
              <w:t>]</w:t>
            </w:r>
            <w:r>
              <w:rPr>
                <w:rFonts w:hint="default" w:ascii="Times New Roman" w:hAnsi="Times New Roman" w:eastAsia="宋体" w:cs="Times New Roman"/>
                <w:bCs/>
                <w:color w:val="auto"/>
                <w:sz w:val="26"/>
                <w:szCs w:val="26"/>
                <w:lang w:val="en-US" w:eastAsia="zh-CN"/>
              </w:rPr>
              <w:t>第WT1992号）</w:t>
            </w:r>
            <w:r>
              <w:rPr>
                <w:rFonts w:hint="eastAsia" w:ascii="Times New Roman" w:hAnsi="Times New Roman" w:cs="Calibri"/>
                <w:bCs/>
                <w:color w:val="auto"/>
                <w:sz w:val="26"/>
                <w:szCs w:val="26"/>
              </w:rPr>
              <w:t>，</w:t>
            </w:r>
            <w:r>
              <w:rPr>
                <w:rFonts w:hint="eastAsia" w:ascii="Times New Roman" w:hAnsi="Times New Roman"/>
                <w:bCs/>
                <w:color w:val="auto"/>
                <w:sz w:val="26"/>
                <w:szCs w:val="26"/>
              </w:rPr>
              <w:t>现有项目噪声排放情况分析及监测统计数据详见表</w:t>
            </w:r>
            <w:r>
              <w:rPr>
                <w:rFonts w:hint="eastAsia" w:ascii="Times New Roman" w:hAnsi="Times New Roman"/>
                <w:bCs/>
                <w:color w:val="auto"/>
                <w:sz w:val="26"/>
                <w:szCs w:val="26"/>
                <w:lang w:val="en-US" w:eastAsia="zh-CN"/>
              </w:rPr>
              <w:t>2.16-4</w:t>
            </w:r>
            <w:r>
              <w:rPr>
                <w:rFonts w:hint="eastAsia" w:ascii="Times New Roman" w:hAnsi="Times New Roman"/>
                <w:bCs/>
                <w:color w:val="auto"/>
                <w:sz w:val="26"/>
                <w:szCs w:val="26"/>
              </w:rPr>
              <w:t>。</w:t>
            </w:r>
          </w:p>
          <w:p w14:paraId="58CB5526">
            <w:pPr>
              <w:adjustRightInd w:val="0"/>
              <w:snapToGrid w:val="0"/>
              <w:spacing w:line="460" w:lineRule="exact"/>
              <w:jc w:val="center"/>
              <w:rPr>
                <w:rFonts w:hint="eastAsia" w:ascii="Times New Roman" w:hAnsi="Times New Roman"/>
                <w:b/>
                <w:bCs w:val="0"/>
                <w:color w:val="auto"/>
                <w:sz w:val="26"/>
                <w:szCs w:val="26"/>
              </w:rPr>
            </w:pPr>
            <w:r>
              <w:rPr>
                <w:rFonts w:hint="eastAsia" w:ascii="Times New Roman" w:hAnsi="Times New Roman"/>
                <w:b/>
                <w:bCs w:val="0"/>
                <w:color w:val="auto"/>
                <w:sz w:val="26"/>
                <w:szCs w:val="26"/>
              </w:rPr>
              <w:t>表2.1</w:t>
            </w:r>
            <w:r>
              <w:rPr>
                <w:rFonts w:hint="eastAsia" w:ascii="Times New Roman" w:hAnsi="Times New Roman"/>
                <w:b/>
                <w:bCs w:val="0"/>
                <w:color w:val="auto"/>
                <w:sz w:val="26"/>
                <w:szCs w:val="26"/>
                <w:lang w:val="en-US" w:eastAsia="zh-CN"/>
              </w:rPr>
              <w:t>6</w:t>
            </w:r>
            <w:r>
              <w:rPr>
                <w:rFonts w:hint="eastAsia" w:ascii="Times New Roman" w:hAnsi="Times New Roman"/>
                <w:b/>
                <w:bCs w:val="0"/>
                <w:color w:val="auto"/>
                <w:sz w:val="26"/>
                <w:szCs w:val="26"/>
              </w:rPr>
              <w:t>-</w:t>
            </w:r>
            <w:r>
              <w:rPr>
                <w:rFonts w:hint="eastAsia" w:ascii="Times New Roman" w:hAnsi="Times New Roman"/>
                <w:b/>
                <w:bCs w:val="0"/>
                <w:color w:val="auto"/>
                <w:sz w:val="26"/>
                <w:szCs w:val="26"/>
                <w:lang w:val="en-US" w:eastAsia="zh-CN"/>
              </w:rPr>
              <w:t>4</w:t>
            </w:r>
            <w:r>
              <w:rPr>
                <w:rFonts w:hint="eastAsia" w:ascii="Times New Roman" w:hAnsi="Times New Roman"/>
                <w:b/>
                <w:bCs w:val="0"/>
                <w:color w:val="auto"/>
                <w:sz w:val="26"/>
                <w:szCs w:val="26"/>
              </w:rPr>
              <w:t xml:space="preserve">  现有项目噪声排放情况分析表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034"/>
              <w:gridCol w:w="921"/>
              <w:gridCol w:w="863"/>
              <w:gridCol w:w="1144"/>
              <w:gridCol w:w="1141"/>
              <w:gridCol w:w="1113"/>
              <w:gridCol w:w="759"/>
            </w:tblGrid>
            <w:tr w14:paraId="6CFBE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5" w:type="dxa"/>
                  <w:tcBorders>
                    <w:tl2br w:val="nil"/>
                    <w:tr2bl w:val="nil"/>
                  </w:tcBorders>
                  <w:noWrap w:val="0"/>
                  <w:vAlign w:val="center"/>
                </w:tcPr>
                <w:p w14:paraId="1814F402">
                  <w:pPr>
                    <w:widowControl/>
                    <w:jc w:val="center"/>
                    <w:rPr>
                      <w:rFonts w:hint="eastAsia" w:ascii="Times New Roman" w:hAnsi="Times New Roman"/>
                      <w:color w:val="auto"/>
                      <w:spacing w:val="-6"/>
                      <w:sz w:val="22"/>
                      <w:szCs w:val="22"/>
                    </w:rPr>
                  </w:pPr>
                  <w:r>
                    <w:rPr>
                      <w:rFonts w:hint="eastAsia" w:ascii="Times New Roman" w:hAnsi="Times New Roman"/>
                      <w:color w:val="auto"/>
                      <w:spacing w:val="-6"/>
                      <w:sz w:val="22"/>
                      <w:szCs w:val="22"/>
                    </w:rPr>
                    <w:t>污染源</w:t>
                  </w:r>
                </w:p>
              </w:tc>
              <w:tc>
                <w:tcPr>
                  <w:tcW w:w="1034" w:type="dxa"/>
                  <w:tcBorders>
                    <w:tl2br w:val="nil"/>
                    <w:tr2bl w:val="nil"/>
                  </w:tcBorders>
                  <w:noWrap w:val="0"/>
                  <w:vAlign w:val="center"/>
                </w:tcPr>
                <w:p w14:paraId="5780175E">
                  <w:pPr>
                    <w:widowControl/>
                    <w:jc w:val="center"/>
                    <w:rPr>
                      <w:rFonts w:hint="eastAsia" w:ascii="Times New Roman" w:hAnsi="Times New Roman"/>
                      <w:color w:val="auto"/>
                      <w:spacing w:val="-6"/>
                      <w:sz w:val="22"/>
                      <w:szCs w:val="22"/>
                    </w:rPr>
                  </w:pPr>
                  <w:r>
                    <w:rPr>
                      <w:rFonts w:hint="eastAsia" w:ascii="Times New Roman" w:hAnsi="Times New Roman"/>
                      <w:color w:val="auto"/>
                      <w:spacing w:val="-6"/>
                      <w:sz w:val="22"/>
                      <w:szCs w:val="22"/>
                    </w:rPr>
                    <w:t>监测</w:t>
                  </w:r>
                </w:p>
                <w:p w14:paraId="17A840BF">
                  <w:pPr>
                    <w:widowControl/>
                    <w:jc w:val="center"/>
                    <w:rPr>
                      <w:rFonts w:hint="eastAsia" w:ascii="Times New Roman" w:hAnsi="Times New Roman"/>
                      <w:color w:val="auto"/>
                      <w:spacing w:val="-6"/>
                      <w:sz w:val="22"/>
                      <w:szCs w:val="22"/>
                    </w:rPr>
                  </w:pPr>
                  <w:r>
                    <w:rPr>
                      <w:rFonts w:hint="eastAsia" w:ascii="Times New Roman" w:hAnsi="Times New Roman"/>
                      <w:color w:val="auto"/>
                      <w:spacing w:val="-6"/>
                      <w:sz w:val="22"/>
                      <w:szCs w:val="22"/>
                    </w:rPr>
                    <w:t>时间</w:t>
                  </w:r>
                </w:p>
              </w:tc>
              <w:tc>
                <w:tcPr>
                  <w:tcW w:w="1784" w:type="dxa"/>
                  <w:gridSpan w:val="2"/>
                  <w:tcBorders>
                    <w:tl2br w:val="nil"/>
                    <w:tr2bl w:val="nil"/>
                  </w:tcBorders>
                  <w:noWrap w:val="0"/>
                  <w:vAlign w:val="center"/>
                </w:tcPr>
                <w:p w14:paraId="33215B05">
                  <w:pPr>
                    <w:widowControl/>
                    <w:jc w:val="center"/>
                    <w:rPr>
                      <w:rFonts w:hint="eastAsia" w:ascii="Times New Roman" w:hAnsi="Times New Roman"/>
                      <w:color w:val="auto"/>
                      <w:spacing w:val="-6"/>
                      <w:sz w:val="22"/>
                      <w:szCs w:val="22"/>
                    </w:rPr>
                  </w:pPr>
                  <w:r>
                    <w:rPr>
                      <w:rFonts w:hint="eastAsia" w:ascii="Times New Roman" w:hAnsi="Times New Roman"/>
                      <w:color w:val="auto"/>
                      <w:spacing w:val="-6"/>
                      <w:sz w:val="22"/>
                      <w:szCs w:val="22"/>
                    </w:rPr>
                    <w:t>项目</w:t>
                  </w:r>
                </w:p>
              </w:tc>
              <w:tc>
                <w:tcPr>
                  <w:tcW w:w="1144" w:type="dxa"/>
                  <w:tcBorders>
                    <w:tl2br w:val="nil"/>
                    <w:tr2bl w:val="nil"/>
                  </w:tcBorders>
                  <w:noWrap w:val="0"/>
                  <w:vAlign w:val="center"/>
                </w:tcPr>
                <w:p w14:paraId="18EBE848">
                  <w:pPr>
                    <w:widowControl/>
                    <w:jc w:val="center"/>
                    <w:rPr>
                      <w:rFonts w:hint="eastAsia" w:ascii="Times New Roman" w:hAnsi="Times New Roman"/>
                      <w:color w:val="auto"/>
                      <w:spacing w:val="-6"/>
                      <w:sz w:val="22"/>
                      <w:szCs w:val="22"/>
                    </w:rPr>
                  </w:pPr>
                  <w:r>
                    <w:rPr>
                      <w:rFonts w:hint="eastAsia" w:ascii="Times New Roman" w:hAnsi="Times New Roman"/>
                      <w:color w:val="auto"/>
                      <w:spacing w:val="-6"/>
                      <w:sz w:val="22"/>
                      <w:szCs w:val="22"/>
                    </w:rPr>
                    <w:t>最大排放值 (Leq（dB）)</w:t>
                  </w:r>
                </w:p>
              </w:tc>
              <w:tc>
                <w:tcPr>
                  <w:tcW w:w="1141" w:type="dxa"/>
                  <w:tcBorders>
                    <w:tl2br w:val="nil"/>
                    <w:tr2bl w:val="nil"/>
                  </w:tcBorders>
                  <w:noWrap w:val="0"/>
                  <w:vAlign w:val="center"/>
                </w:tcPr>
                <w:p w14:paraId="197A82BC">
                  <w:pPr>
                    <w:widowControl/>
                    <w:jc w:val="center"/>
                    <w:rPr>
                      <w:rFonts w:hint="eastAsia" w:ascii="Times New Roman" w:hAnsi="Times New Roman"/>
                      <w:color w:val="auto"/>
                      <w:spacing w:val="-6"/>
                      <w:sz w:val="22"/>
                      <w:szCs w:val="22"/>
                    </w:rPr>
                  </w:pPr>
                  <w:r>
                    <w:rPr>
                      <w:rFonts w:hint="eastAsia" w:ascii="Times New Roman" w:hAnsi="Times New Roman"/>
                      <w:color w:val="auto"/>
                      <w:spacing w:val="-6"/>
                      <w:sz w:val="22"/>
                      <w:szCs w:val="22"/>
                    </w:rPr>
                    <w:t>排放标准(Leq（dB）)</w:t>
                  </w:r>
                </w:p>
              </w:tc>
              <w:tc>
                <w:tcPr>
                  <w:tcW w:w="1113" w:type="dxa"/>
                  <w:tcBorders>
                    <w:tl2br w:val="nil"/>
                    <w:tr2bl w:val="nil"/>
                  </w:tcBorders>
                  <w:noWrap w:val="0"/>
                  <w:vAlign w:val="center"/>
                </w:tcPr>
                <w:p w14:paraId="67011B7A">
                  <w:pPr>
                    <w:widowControl/>
                    <w:jc w:val="center"/>
                    <w:rPr>
                      <w:rFonts w:hint="eastAsia" w:ascii="Times New Roman" w:hAnsi="Times New Roman"/>
                      <w:color w:val="auto"/>
                      <w:spacing w:val="-6"/>
                      <w:sz w:val="22"/>
                      <w:szCs w:val="22"/>
                    </w:rPr>
                  </w:pPr>
                  <w:r>
                    <w:rPr>
                      <w:rFonts w:hint="eastAsia" w:ascii="Times New Roman" w:hAnsi="Times New Roman"/>
                      <w:color w:val="auto"/>
                      <w:spacing w:val="-6"/>
                      <w:sz w:val="22"/>
                      <w:szCs w:val="22"/>
                    </w:rPr>
                    <w:t>环保设施及工艺</w:t>
                  </w:r>
                </w:p>
              </w:tc>
              <w:tc>
                <w:tcPr>
                  <w:tcW w:w="759" w:type="dxa"/>
                  <w:tcBorders>
                    <w:tl2br w:val="nil"/>
                    <w:tr2bl w:val="nil"/>
                  </w:tcBorders>
                  <w:noWrap w:val="0"/>
                  <w:vAlign w:val="center"/>
                </w:tcPr>
                <w:p w14:paraId="3E7BD59D">
                  <w:pPr>
                    <w:widowControl/>
                    <w:jc w:val="center"/>
                    <w:rPr>
                      <w:rFonts w:hint="eastAsia" w:ascii="Times New Roman" w:hAnsi="Times New Roman"/>
                      <w:color w:val="auto"/>
                      <w:spacing w:val="-6"/>
                      <w:sz w:val="22"/>
                      <w:szCs w:val="22"/>
                    </w:rPr>
                  </w:pPr>
                  <w:r>
                    <w:rPr>
                      <w:rFonts w:hint="eastAsia" w:ascii="Times New Roman" w:hAnsi="Times New Roman"/>
                      <w:color w:val="auto"/>
                      <w:spacing w:val="-6"/>
                      <w:sz w:val="22"/>
                      <w:szCs w:val="22"/>
                    </w:rPr>
                    <w:t>达标情况</w:t>
                  </w:r>
                </w:p>
              </w:tc>
            </w:tr>
            <w:tr w14:paraId="71CD16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dxa"/>
                  <w:vMerge w:val="restart"/>
                  <w:tcBorders>
                    <w:tl2br w:val="nil"/>
                    <w:tr2bl w:val="nil"/>
                  </w:tcBorders>
                  <w:noWrap w:val="0"/>
                  <w:vAlign w:val="center"/>
                </w:tcPr>
                <w:p w14:paraId="2C16EEED">
                  <w:pPr>
                    <w:widowControl/>
                    <w:jc w:val="center"/>
                    <w:rPr>
                      <w:rFonts w:hint="default" w:ascii="Times New Roman" w:hAnsi="Times New Roman" w:eastAsia="宋体"/>
                      <w:color w:val="auto"/>
                      <w:spacing w:val="-6"/>
                      <w:sz w:val="22"/>
                      <w:szCs w:val="22"/>
                      <w:lang w:val="en-US" w:eastAsia="zh-CN"/>
                    </w:rPr>
                  </w:pPr>
                  <w:r>
                    <w:rPr>
                      <w:rFonts w:hint="eastAsia" w:ascii="Times New Roman" w:hAnsi="Times New Roman"/>
                      <w:color w:val="auto"/>
                      <w:spacing w:val="-6"/>
                      <w:sz w:val="22"/>
                      <w:szCs w:val="22"/>
                      <w:lang w:val="en-US" w:eastAsia="zh-CN"/>
                    </w:rPr>
                    <w:t>生产设备</w:t>
                  </w:r>
                </w:p>
              </w:tc>
              <w:tc>
                <w:tcPr>
                  <w:tcW w:w="1034" w:type="dxa"/>
                  <w:vMerge w:val="restart"/>
                  <w:tcBorders>
                    <w:tl2br w:val="nil"/>
                    <w:tr2bl w:val="nil"/>
                  </w:tcBorders>
                  <w:noWrap w:val="0"/>
                  <w:vAlign w:val="center"/>
                </w:tcPr>
                <w:p w14:paraId="74BA38CA">
                  <w:pPr>
                    <w:widowControl/>
                    <w:jc w:val="center"/>
                    <w:rPr>
                      <w:rFonts w:hint="default" w:ascii="Times New Roman" w:hAnsi="Times New Roman"/>
                      <w:color w:val="auto"/>
                      <w:spacing w:val="-6"/>
                      <w:sz w:val="22"/>
                      <w:szCs w:val="22"/>
                      <w:lang w:val="en-US"/>
                    </w:rPr>
                  </w:pPr>
                  <w:r>
                    <w:rPr>
                      <w:rFonts w:hint="eastAsia" w:ascii="Times New Roman" w:hAnsi="Times New Roman"/>
                      <w:color w:val="auto"/>
                      <w:spacing w:val="-6"/>
                      <w:sz w:val="22"/>
                      <w:szCs w:val="22"/>
                      <w:lang w:val="en-US" w:eastAsia="zh-CN"/>
                    </w:rPr>
                    <w:t>2025.9.11</w:t>
                  </w:r>
                </w:p>
              </w:tc>
              <w:tc>
                <w:tcPr>
                  <w:tcW w:w="921" w:type="dxa"/>
                  <w:vMerge w:val="restart"/>
                  <w:tcBorders>
                    <w:tl2br w:val="nil"/>
                    <w:tr2bl w:val="nil"/>
                  </w:tcBorders>
                  <w:noWrap w:val="0"/>
                  <w:vAlign w:val="center"/>
                </w:tcPr>
                <w:p w14:paraId="51A3B215">
                  <w:pPr>
                    <w:widowControl/>
                    <w:jc w:val="center"/>
                    <w:rPr>
                      <w:rFonts w:hint="default" w:ascii="Times New Roman" w:hAnsi="Times New Roman" w:eastAsia="宋体"/>
                      <w:color w:val="auto"/>
                      <w:spacing w:val="-6"/>
                      <w:sz w:val="22"/>
                      <w:szCs w:val="22"/>
                      <w:lang w:val="en-US" w:eastAsia="zh-CN"/>
                    </w:rPr>
                  </w:pPr>
                  <w:r>
                    <w:rPr>
                      <w:rFonts w:hint="eastAsia" w:ascii="Times New Roman" w:hAnsi="Times New Roman"/>
                      <w:color w:val="auto"/>
                      <w:spacing w:val="-6"/>
                      <w:sz w:val="22"/>
                      <w:szCs w:val="22"/>
                      <w:lang w:val="en-US" w:eastAsia="zh-CN"/>
                    </w:rPr>
                    <w:t>东北侧厂界</w:t>
                  </w:r>
                </w:p>
              </w:tc>
              <w:tc>
                <w:tcPr>
                  <w:tcW w:w="863" w:type="dxa"/>
                  <w:tcBorders>
                    <w:tl2br w:val="nil"/>
                    <w:tr2bl w:val="nil"/>
                  </w:tcBorders>
                  <w:noWrap w:val="0"/>
                  <w:vAlign w:val="center"/>
                </w:tcPr>
                <w:p w14:paraId="54A0D803">
                  <w:pPr>
                    <w:widowControl/>
                    <w:jc w:val="center"/>
                    <w:rPr>
                      <w:rFonts w:hint="eastAsia" w:ascii="Times New Roman" w:hAnsi="Times New Roman"/>
                      <w:color w:val="auto"/>
                      <w:spacing w:val="-6"/>
                      <w:sz w:val="22"/>
                      <w:szCs w:val="22"/>
                    </w:rPr>
                  </w:pPr>
                  <w:r>
                    <w:rPr>
                      <w:rFonts w:hint="eastAsia" w:ascii="Times New Roman" w:hAnsi="Times New Roman"/>
                      <w:color w:val="auto"/>
                      <w:spacing w:val="-6"/>
                      <w:sz w:val="22"/>
                      <w:szCs w:val="22"/>
                    </w:rPr>
                    <w:t>昼间</w:t>
                  </w:r>
                </w:p>
              </w:tc>
              <w:tc>
                <w:tcPr>
                  <w:tcW w:w="1144" w:type="dxa"/>
                  <w:tcBorders>
                    <w:tl2br w:val="nil"/>
                    <w:tr2bl w:val="nil"/>
                  </w:tcBorders>
                  <w:noWrap w:val="0"/>
                  <w:vAlign w:val="center"/>
                </w:tcPr>
                <w:p w14:paraId="643408B6">
                  <w:pPr>
                    <w:widowControl/>
                    <w:jc w:val="center"/>
                    <w:rPr>
                      <w:rFonts w:hint="default" w:ascii="Times New Roman" w:hAnsi="Times New Roman" w:eastAsia="宋体"/>
                      <w:color w:val="auto"/>
                      <w:spacing w:val="-6"/>
                      <w:sz w:val="22"/>
                      <w:szCs w:val="22"/>
                      <w:lang w:val="en-US" w:eastAsia="zh-CN"/>
                    </w:rPr>
                  </w:pPr>
                  <w:r>
                    <w:rPr>
                      <w:rFonts w:hint="eastAsia" w:ascii="Times New Roman" w:hAnsi="Times New Roman" w:eastAsia="宋体"/>
                      <w:color w:val="auto"/>
                      <w:spacing w:val="-6"/>
                      <w:sz w:val="22"/>
                      <w:szCs w:val="22"/>
                      <w:lang w:val="en-US" w:eastAsia="zh-CN"/>
                    </w:rPr>
                    <w:t>55</w:t>
                  </w:r>
                </w:p>
              </w:tc>
              <w:tc>
                <w:tcPr>
                  <w:tcW w:w="1141" w:type="dxa"/>
                  <w:tcBorders>
                    <w:tl2br w:val="nil"/>
                    <w:tr2bl w:val="nil"/>
                  </w:tcBorders>
                  <w:noWrap w:val="0"/>
                  <w:vAlign w:val="center"/>
                </w:tcPr>
                <w:p w14:paraId="5CE8945C">
                  <w:pPr>
                    <w:widowControl/>
                    <w:jc w:val="center"/>
                    <w:rPr>
                      <w:rFonts w:ascii="Times New Roman" w:hAnsi="Times New Roman"/>
                      <w:color w:val="auto"/>
                      <w:spacing w:val="-6"/>
                      <w:sz w:val="22"/>
                      <w:szCs w:val="22"/>
                    </w:rPr>
                  </w:pPr>
                  <w:r>
                    <w:rPr>
                      <w:rFonts w:hint="eastAsia" w:ascii="Times New Roman" w:hAnsi="Times New Roman"/>
                      <w:color w:val="auto"/>
                      <w:spacing w:val="-6"/>
                      <w:sz w:val="22"/>
                      <w:szCs w:val="22"/>
                    </w:rPr>
                    <w:t>65</w:t>
                  </w:r>
                </w:p>
              </w:tc>
              <w:tc>
                <w:tcPr>
                  <w:tcW w:w="1113" w:type="dxa"/>
                  <w:vMerge w:val="restart"/>
                  <w:tcBorders>
                    <w:tl2br w:val="nil"/>
                    <w:tr2bl w:val="nil"/>
                  </w:tcBorders>
                  <w:noWrap w:val="0"/>
                  <w:vAlign w:val="center"/>
                </w:tcPr>
                <w:p w14:paraId="75F45C05">
                  <w:pPr>
                    <w:widowControl/>
                    <w:jc w:val="center"/>
                    <w:rPr>
                      <w:rFonts w:ascii="Times New Roman" w:hAnsi="Times New Roman"/>
                      <w:color w:val="auto"/>
                      <w:spacing w:val="-6"/>
                      <w:sz w:val="22"/>
                      <w:szCs w:val="22"/>
                    </w:rPr>
                  </w:pPr>
                  <w:r>
                    <w:rPr>
                      <w:rFonts w:hint="eastAsia" w:ascii="Times New Roman" w:hAnsi="Times New Roman"/>
                      <w:color w:val="auto"/>
                      <w:spacing w:val="-6"/>
                      <w:sz w:val="22"/>
                      <w:szCs w:val="22"/>
                    </w:rPr>
                    <w:t>厂房隔声、基础减震</w:t>
                  </w:r>
                </w:p>
              </w:tc>
              <w:tc>
                <w:tcPr>
                  <w:tcW w:w="759" w:type="dxa"/>
                  <w:tcBorders>
                    <w:tl2br w:val="nil"/>
                    <w:tr2bl w:val="nil"/>
                  </w:tcBorders>
                  <w:noWrap w:val="0"/>
                  <w:vAlign w:val="center"/>
                </w:tcPr>
                <w:p w14:paraId="616769E4">
                  <w:pPr>
                    <w:widowControl/>
                    <w:jc w:val="center"/>
                    <w:rPr>
                      <w:rFonts w:ascii="Times New Roman" w:hAnsi="Times New Roman"/>
                      <w:color w:val="auto"/>
                      <w:spacing w:val="-6"/>
                      <w:sz w:val="22"/>
                      <w:szCs w:val="22"/>
                    </w:rPr>
                  </w:pPr>
                  <w:r>
                    <w:rPr>
                      <w:rFonts w:hint="eastAsia" w:ascii="Times New Roman" w:hAnsi="Times New Roman"/>
                      <w:color w:val="auto"/>
                      <w:spacing w:val="-6"/>
                      <w:sz w:val="22"/>
                      <w:szCs w:val="22"/>
                    </w:rPr>
                    <w:t>达标</w:t>
                  </w:r>
                </w:p>
              </w:tc>
            </w:tr>
            <w:tr w14:paraId="7E72A2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dxa"/>
                  <w:vMerge w:val="continue"/>
                  <w:tcBorders>
                    <w:tl2br w:val="nil"/>
                    <w:tr2bl w:val="nil"/>
                  </w:tcBorders>
                  <w:noWrap w:val="0"/>
                  <w:vAlign w:val="center"/>
                </w:tcPr>
                <w:p w14:paraId="22E0D01E">
                  <w:pPr>
                    <w:widowControl/>
                    <w:jc w:val="center"/>
                    <w:rPr>
                      <w:rFonts w:hint="eastAsia" w:ascii="Times New Roman" w:hAnsi="Times New Roman"/>
                      <w:color w:val="auto"/>
                      <w:spacing w:val="-6"/>
                      <w:sz w:val="22"/>
                      <w:szCs w:val="22"/>
                    </w:rPr>
                  </w:pPr>
                </w:p>
              </w:tc>
              <w:tc>
                <w:tcPr>
                  <w:tcW w:w="1034" w:type="dxa"/>
                  <w:vMerge w:val="continue"/>
                  <w:tcBorders>
                    <w:tl2br w:val="nil"/>
                    <w:tr2bl w:val="nil"/>
                  </w:tcBorders>
                  <w:noWrap w:val="0"/>
                  <w:vAlign w:val="center"/>
                </w:tcPr>
                <w:p w14:paraId="6878246A">
                  <w:pPr>
                    <w:widowControl/>
                    <w:jc w:val="center"/>
                    <w:rPr>
                      <w:rFonts w:hint="eastAsia" w:ascii="Times New Roman" w:hAnsi="Times New Roman"/>
                      <w:color w:val="auto"/>
                      <w:spacing w:val="-6"/>
                      <w:sz w:val="22"/>
                      <w:szCs w:val="22"/>
                    </w:rPr>
                  </w:pPr>
                </w:p>
              </w:tc>
              <w:tc>
                <w:tcPr>
                  <w:tcW w:w="921" w:type="dxa"/>
                  <w:vMerge w:val="continue"/>
                  <w:tcBorders>
                    <w:tl2br w:val="nil"/>
                    <w:tr2bl w:val="nil"/>
                  </w:tcBorders>
                  <w:noWrap w:val="0"/>
                  <w:vAlign w:val="center"/>
                </w:tcPr>
                <w:p w14:paraId="1E490842">
                  <w:pPr>
                    <w:widowControl/>
                    <w:jc w:val="center"/>
                    <w:rPr>
                      <w:rFonts w:hint="eastAsia" w:ascii="Times New Roman" w:hAnsi="Times New Roman"/>
                      <w:color w:val="auto"/>
                      <w:spacing w:val="-6"/>
                      <w:sz w:val="22"/>
                      <w:szCs w:val="22"/>
                    </w:rPr>
                  </w:pPr>
                </w:p>
              </w:tc>
              <w:tc>
                <w:tcPr>
                  <w:tcW w:w="863" w:type="dxa"/>
                  <w:tcBorders>
                    <w:tl2br w:val="nil"/>
                    <w:tr2bl w:val="nil"/>
                  </w:tcBorders>
                  <w:noWrap w:val="0"/>
                  <w:vAlign w:val="center"/>
                </w:tcPr>
                <w:p w14:paraId="425F9433">
                  <w:pPr>
                    <w:widowControl/>
                    <w:jc w:val="center"/>
                    <w:rPr>
                      <w:rFonts w:hint="eastAsia" w:ascii="Times New Roman" w:hAnsi="Times New Roman"/>
                      <w:color w:val="auto"/>
                      <w:spacing w:val="-6"/>
                      <w:sz w:val="22"/>
                      <w:szCs w:val="22"/>
                    </w:rPr>
                  </w:pPr>
                  <w:r>
                    <w:rPr>
                      <w:rFonts w:hint="eastAsia" w:ascii="Times New Roman" w:hAnsi="Times New Roman"/>
                      <w:color w:val="auto"/>
                      <w:spacing w:val="-6"/>
                      <w:sz w:val="22"/>
                      <w:szCs w:val="22"/>
                      <w:lang w:val="en-US" w:eastAsia="zh-CN"/>
                    </w:rPr>
                    <w:t>夜</w:t>
                  </w:r>
                  <w:r>
                    <w:rPr>
                      <w:rFonts w:hint="eastAsia" w:ascii="Times New Roman" w:hAnsi="Times New Roman"/>
                      <w:color w:val="auto"/>
                      <w:spacing w:val="-6"/>
                      <w:sz w:val="22"/>
                      <w:szCs w:val="22"/>
                    </w:rPr>
                    <w:t>间</w:t>
                  </w:r>
                </w:p>
              </w:tc>
              <w:tc>
                <w:tcPr>
                  <w:tcW w:w="1144" w:type="dxa"/>
                  <w:tcBorders>
                    <w:tl2br w:val="nil"/>
                    <w:tr2bl w:val="nil"/>
                  </w:tcBorders>
                  <w:noWrap w:val="0"/>
                  <w:vAlign w:val="center"/>
                </w:tcPr>
                <w:p w14:paraId="6C1C3538">
                  <w:pPr>
                    <w:widowControl/>
                    <w:jc w:val="center"/>
                    <w:rPr>
                      <w:rFonts w:hint="default" w:ascii="Times New Roman" w:hAnsi="Times New Roman" w:eastAsia="宋体"/>
                      <w:color w:val="auto"/>
                      <w:spacing w:val="-6"/>
                      <w:sz w:val="22"/>
                      <w:szCs w:val="22"/>
                      <w:lang w:val="en-US" w:eastAsia="zh-CN"/>
                    </w:rPr>
                  </w:pPr>
                  <w:r>
                    <w:rPr>
                      <w:rFonts w:hint="eastAsia" w:ascii="Times New Roman" w:hAnsi="Times New Roman" w:eastAsia="宋体"/>
                      <w:color w:val="auto"/>
                      <w:spacing w:val="-6"/>
                      <w:sz w:val="22"/>
                      <w:szCs w:val="22"/>
                      <w:lang w:val="en-US" w:eastAsia="zh-CN"/>
                    </w:rPr>
                    <w:t>50</w:t>
                  </w:r>
                </w:p>
              </w:tc>
              <w:tc>
                <w:tcPr>
                  <w:tcW w:w="1141" w:type="dxa"/>
                  <w:tcBorders>
                    <w:tl2br w:val="nil"/>
                    <w:tr2bl w:val="nil"/>
                  </w:tcBorders>
                  <w:noWrap w:val="0"/>
                  <w:vAlign w:val="center"/>
                </w:tcPr>
                <w:p w14:paraId="0D2A0569">
                  <w:pPr>
                    <w:widowControl/>
                    <w:jc w:val="center"/>
                    <w:rPr>
                      <w:rFonts w:hint="default" w:ascii="Times New Roman" w:hAnsi="Times New Roman" w:eastAsia="宋体"/>
                      <w:color w:val="auto"/>
                      <w:spacing w:val="-6"/>
                      <w:sz w:val="22"/>
                      <w:szCs w:val="22"/>
                      <w:lang w:val="en-US" w:eastAsia="zh-CN"/>
                    </w:rPr>
                  </w:pPr>
                  <w:r>
                    <w:rPr>
                      <w:rFonts w:hint="eastAsia" w:ascii="Times New Roman" w:hAnsi="Times New Roman"/>
                      <w:color w:val="auto"/>
                      <w:spacing w:val="-6"/>
                      <w:sz w:val="22"/>
                      <w:szCs w:val="22"/>
                      <w:lang w:val="en-US" w:eastAsia="zh-CN"/>
                    </w:rPr>
                    <w:t>55</w:t>
                  </w:r>
                </w:p>
              </w:tc>
              <w:tc>
                <w:tcPr>
                  <w:tcW w:w="1113" w:type="dxa"/>
                  <w:vMerge w:val="continue"/>
                  <w:tcBorders>
                    <w:tl2br w:val="nil"/>
                    <w:tr2bl w:val="nil"/>
                  </w:tcBorders>
                  <w:noWrap w:val="0"/>
                  <w:vAlign w:val="center"/>
                </w:tcPr>
                <w:p w14:paraId="17C49D74">
                  <w:pPr>
                    <w:adjustRightInd w:val="0"/>
                    <w:snapToGrid w:val="0"/>
                    <w:spacing w:line="460" w:lineRule="exact"/>
                    <w:jc w:val="center"/>
                    <w:rPr>
                      <w:rFonts w:ascii="Times New Roman" w:hAnsi="Times New Roman"/>
                      <w:bCs/>
                      <w:color w:val="auto"/>
                      <w:sz w:val="24"/>
                    </w:rPr>
                  </w:pPr>
                </w:p>
              </w:tc>
              <w:tc>
                <w:tcPr>
                  <w:tcW w:w="759" w:type="dxa"/>
                  <w:tcBorders>
                    <w:tl2br w:val="nil"/>
                    <w:tr2bl w:val="nil"/>
                  </w:tcBorders>
                  <w:noWrap w:val="0"/>
                  <w:vAlign w:val="center"/>
                </w:tcPr>
                <w:p w14:paraId="0A442B4E">
                  <w:pPr>
                    <w:jc w:val="center"/>
                    <w:rPr>
                      <w:color w:val="auto"/>
                    </w:rPr>
                  </w:pPr>
                  <w:r>
                    <w:rPr>
                      <w:rFonts w:hint="eastAsia" w:ascii="Times New Roman" w:hAnsi="Times New Roman"/>
                      <w:color w:val="auto"/>
                      <w:spacing w:val="-6"/>
                      <w:sz w:val="22"/>
                      <w:szCs w:val="22"/>
                    </w:rPr>
                    <w:t>达标</w:t>
                  </w:r>
                </w:p>
              </w:tc>
            </w:tr>
            <w:tr w14:paraId="24AD8E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dxa"/>
                  <w:vMerge w:val="continue"/>
                  <w:tcBorders>
                    <w:tl2br w:val="nil"/>
                    <w:tr2bl w:val="nil"/>
                  </w:tcBorders>
                  <w:noWrap w:val="0"/>
                  <w:vAlign w:val="center"/>
                </w:tcPr>
                <w:p w14:paraId="4468ECB1">
                  <w:pPr>
                    <w:widowControl/>
                    <w:jc w:val="center"/>
                    <w:rPr>
                      <w:rFonts w:hint="eastAsia" w:ascii="Times New Roman" w:hAnsi="Times New Roman"/>
                      <w:color w:val="auto"/>
                      <w:spacing w:val="-6"/>
                      <w:sz w:val="22"/>
                      <w:szCs w:val="22"/>
                    </w:rPr>
                  </w:pPr>
                </w:p>
              </w:tc>
              <w:tc>
                <w:tcPr>
                  <w:tcW w:w="1034" w:type="dxa"/>
                  <w:vMerge w:val="continue"/>
                  <w:tcBorders>
                    <w:tl2br w:val="nil"/>
                    <w:tr2bl w:val="nil"/>
                  </w:tcBorders>
                  <w:noWrap w:val="0"/>
                  <w:vAlign w:val="center"/>
                </w:tcPr>
                <w:p w14:paraId="7F5B7FF0">
                  <w:pPr>
                    <w:widowControl/>
                    <w:jc w:val="center"/>
                    <w:rPr>
                      <w:rFonts w:hint="eastAsia" w:ascii="Times New Roman" w:hAnsi="Times New Roman"/>
                      <w:color w:val="auto"/>
                      <w:spacing w:val="-6"/>
                      <w:sz w:val="22"/>
                      <w:szCs w:val="22"/>
                    </w:rPr>
                  </w:pPr>
                </w:p>
              </w:tc>
              <w:tc>
                <w:tcPr>
                  <w:tcW w:w="921" w:type="dxa"/>
                  <w:vMerge w:val="restart"/>
                  <w:tcBorders>
                    <w:tl2br w:val="nil"/>
                    <w:tr2bl w:val="nil"/>
                  </w:tcBorders>
                  <w:noWrap w:val="0"/>
                  <w:vAlign w:val="center"/>
                </w:tcPr>
                <w:p w14:paraId="08E88168">
                  <w:pPr>
                    <w:widowControl/>
                    <w:jc w:val="center"/>
                    <w:rPr>
                      <w:rFonts w:hint="eastAsia" w:ascii="Times New Roman" w:hAnsi="Times New Roman" w:eastAsia="宋体"/>
                      <w:color w:val="auto"/>
                      <w:spacing w:val="-6"/>
                      <w:sz w:val="22"/>
                      <w:szCs w:val="22"/>
                      <w:lang w:eastAsia="zh-CN"/>
                    </w:rPr>
                  </w:pPr>
                  <w:r>
                    <w:rPr>
                      <w:rFonts w:hint="eastAsia" w:ascii="Times New Roman" w:hAnsi="Times New Roman"/>
                      <w:color w:val="auto"/>
                      <w:spacing w:val="-6"/>
                      <w:sz w:val="22"/>
                      <w:szCs w:val="22"/>
                      <w:lang w:eastAsia="zh-CN"/>
                    </w:rPr>
                    <w:t>西南侧厂界</w:t>
                  </w:r>
                </w:p>
              </w:tc>
              <w:tc>
                <w:tcPr>
                  <w:tcW w:w="863" w:type="dxa"/>
                  <w:tcBorders>
                    <w:tl2br w:val="nil"/>
                    <w:tr2bl w:val="nil"/>
                  </w:tcBorders>
                  <w:noWrap w:val="0"/>
                  <w:vAlign w:val="center"/>
                </w:tcPr>
                <w:p w14:paraId="4E99EEC2">
                  <w:pPr>
                    <w:widowControl/>
                    <w:jc w:val="center"/>
                    <w:rPr>
                      <w:rFonts w:hint="eastAsia" w:ascii="Times New Roman" w:hAnsi="Times New Roman"/>
                      <w:color w:val="auto"/>
                      <w:spacing w:val="-6"/>
                      <w:kern w:val="2"/>
                      <w:sz w:val="22"/>
                      <w:szCs w:val="22"/>
                      <w:lang w:val="en-US" w:eastAsia="zh-CN" w:bidi="ar-SA"/>
                    </w:rPr>
                  </w:pPr>
                  <w:r>
                    <w:rPr>
                      <w:rFonts w:hint="eastAsia" w:ascii="Times New Roman" w:hAnsi="Times New Roman"/>
                      <w:color w:val="auto"/>
                      <w:spacing w:val="-6"/>
                      <w:sz w:val="22"/>
                      <w:szCs w:val="22"/>
                    </w:rPr>
                    <w:t>昼间</w:t>
                  </w:r>
                </w:p>
              </w:tc>
              <w:tc>
                <w:tcPr>
                  <w:tcW w:w="1144" w:type="dxa"/>
                  <w:tcBorders>
                    <w:tl2br w:val="nil"/>
                    <w:tr2bl w:val="nil"/>
                  </w:tcBorders>
                  <w:noWrap w:val="0"/>
                  <w:vAlign w:val="center"/>
                </w:tcPr>
                <w:p w14:paraId="6CD96DA9">
                  <w:pPr>
                    <w:widowControl/>
                    <w:jc w:val="center"/>
                    <w:rPr>
                      <w:rFonts w:hint="default" w:ascii="Times New Roman" w:hAnsi="Times New Roman" w:eastAsia="宋体"/>
                      <w:color w:val="auto"/>
                      <w:spacing w:val="-6"/>
                      <w:sz w:val="22"/>
                      <w:szCs w:val="22"/>
                      <w:lang w:val="en-US" w:eastAsia="zh-CN"/>
                    </w:rPr>
                  </w:pPr>
                  <w:r>
                    <w:rPr>
                      <w:rFonts w:hint="eastAsia" w:ascii="Times New Roman" w:hAnsi="Times New Roman" w:eastAsia="宋体"/>
                      <w:color w:val="auto"/>
                      <w:spacing w:val="-6"/>
                      <w:sz w:val="22"/>
                      <w:szCs w:val="22"/>
                      <w:lang w:val="en-US" w:eastAsia="zh-CN"/>
                    </w:rPr>
                    <w:t>61</w:t>
                  </w:r>
                </w:p>
              </w:tc>
              <w:tc>
                <w:tcPr>
                  <w:tcW w:w="1141" w:type="dxa"/>
                  <w:tcBorders>
                    <w:tl2br w:val="nil"/>
                    <w:tr2bl w:val="nil"/>
                  </w:tcBorders>
                  <w:noWrap w:val="0"/>
                  <w:vAlign w:val="center"/>
                </w:tcPr>
                <w:p w14:paraId="65206A9C">
                  <w:pPr>
                    <w:widowControl/>
                    <w:jc w:val="center"/>
                    <w:rPr>
                      <w:rFonts w:hint="eastAsia" w:ascii="Times New Roman" w:hAnsi="Times New Roman"/>
                      <w:color w:val="auto"/>
                      <w:spacing w:val="-6"/>
                      <w:kern w:val="2"/>
                      <w:sz w:val="22"/>
                      <w:szCs w:val="22"/>
                      <w:lang w:val="en-US" w:eastAsia="zh-CN" w:bidi="ar-SA"/>
                    </w:rPr>
                  </w:pPr>
                  <w:r>
                    <w:rPr>
                      <w:rFonts w:hint="eastAsia" w:ascii="Times New Roman" w:hAnsi="Times New Roman"/>
                      <w:color w:val="auto"/>
                      <w:spacing w:val="-6"/>
                      <w:sz w:val="22"/>
                      <w:szCs w:val="22"/>
                    </w:rPr>
                    <w:t>65</w:t>
                  </w:r>
                </w:p>
              </w:tc>
              <w:tc>
                <w:tcPr>
                  <w:tcW w:w="1113" w:type="dxa"/>
                  <w:vMerge w:val="restart"/>
                  <w:tcBorders>
                    <w:tl2br w:val="nil"/>
                    <w:tr2bl w:val="nil"/>
                  </w:tcBorders>
                  <w:noWrap w:val="0"/>
                  <w:vAlign w:val="center"/>
                </w:tcPr>
                <w:p w14:paraId="7C1D1351">
                  <w:pPr>
                    <w:widowControl/>
                    <w:jc w:val="center"/>
                    <w:rPr>
                      <w:rFonts w:ascii="Times New Roman" w:hAnsi="Times New Roman"/>
                      <w:color w:val="auto"/>
                      <w:spacing w:val="-6"/>
                      <w:kern w:val="2"/>
                      <w:sz w:val="22"/>
                      <w:szCs w:val="22"/>
                      <w:lang w:val="en-US" w:eastAsia="zh-CN" w:bidi="ar-SA"/>
                    </w:rPr>
                  </w:pPr>
                  <w:r>
                    <w:rPr>
                      <w:rFonts w:hint="eastAsia" w:ascii="Times New Roman" w:hAnsi="Times New Roman"/>
                      <w:color w:val="auto"/>
                      <w:spacing w:val="-6"/>
                      <w:sz w:val="22"/>
                      <w:szCs w:val="22"/>
                    </w:rPr>
                    <w:t>厂房隔声、基础减震</w:t>
                  </w:r>
                </w:p>
              </w:tc>
              <w:tc>
                <w:tcPr>
                  <w:tcW w:w="759" w:type="dxa"/>
                  <w:tcBorders>
                    <w:tl2br w:val="nil"/>
                    <w:tr2bl w:val="nil"/>
                  </w:tcBorders>
                  <w:noWrap w:val="0"/>
                  <w:vAlign w:val="center"/>
                </w:tcPr>
                <w:p w14:paraId="2267DB88">
                  <w:pPr>
                    <w:widowControl/>
                    <w:jc w:val="center"/>
                    <w:rPr>
                      <w:rFonts w:hint="eastAsia" w:ascii="Times New Roman" w:hAnsi="Times New Roman"/>
                      <w:color w:val="auto"/>
                      <w:spacing w:val="-6"/>
                      <w:kern w:val="2"/>
                      <w:sz w:val="22"/>
                      <w:szCs w:val="22"/>
                      <w:lang w:val="en-US" w:eastAsia="zh-CN" w:bidi="ar-SA"/>
                    </w:rPr>
                  </w:pPr>
                  <w:r>
                    <w:rPr>
                      <w:rFonts w:hint="eastAsia" w:ascii="Times New Roman" w:hAnsi="Times New Roman"/>
                      <w:color w:val="auto"/>
                      <w:spacing w:val="-6"/>
                      <w:sz w:val="22"/>
                      <w:szCs w:val="22"/>
                    </w:rPr>
                    <w:t>达标</w:t>
                  </w:r>
                </w:p>
              </w:tc>
            </w:tr>
            <w:tr w14:paraId="144311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dxa"/>
                  <w:vMerge w:val="continue"/>
                  <w:tcBorders>
                    <w:tl2br w:val="nil"/>
                    <w:tr2bl w:val="nil"/>
                  </w:tcBorders>
                  <w:noWrap w:val="0"/>
                  <w:vAlign w:val="center"/>
                </w:tcPr>
                <w:p w14:paraId="718659F0">
                  <w:pPr>
                    <w:widowControl/>
                    <w:jc w:val="center"/>
                    <w:rPr>
                      <w:rFonts w:hint="eastAsia" w:ascii="Times New Roman" w:hAnsi="Times New Roman"/>
                      <w:color w:val="auto"/>
                      <w:spacing w:val="-6"/>
                      <w:sz w:val="22"/>
                      <w:szCs w:val="22"/>
                    </w:rPr>
                  </w:pPr>
                </w:p>
              </w:tc>
              <w:tc>
                <w:tcPr>
                  <w:tcW w:w="1034" w:type="dxa"/>
                  <w:vMerge w:val="continue"/>
                  <w:tcBorders>
                    <w:tl2br w:val="nil"/>
                    <w:tr2bl w:val="nil"/>
                  </w:tcBorders>
                  <w:noWrap w:val="0"/>
                  <w:vAlign w:val="center"/>
                </w:tcPr>
                <w:p w14:paraId="17BA6B2C">
                  <w:pPr>
                    <w:widowControl/>
                    <w:jc w:val="center"/>
                    <w:rPr>
                      <w:rFonts w:hint="eastAsia" w:ascii="Times New Roman" w:hAnsi="Times New Roman"/>
                      <w:color w:val="auto"/>
                      <w:spacing w:val="-6"/>
                      <w:sz w:val="22"/>
                      <w:szCs w:val="22"/>
                    </w:rPr>
                  </w:pPr>
                </w:p>
              </w:tc>
              <w:tc>
                <w:tcPr>
                  <w:tcW w:w="921" w:type="dxa"/>
                  <w:vMerge w:val="continue"/>
                  <w:tcBorders>
                    <w:tl2br w:val="nil"/>
                    <w:tr2bl w:val="nil"/>
                  </w:tcBorders>
                  <w:noWrap w:val="0"/>
                  <w:vAlign w:val="center"/>
                </w:tcPr>
                <w:p w14:paraId="07A54912">
                  <w:pPr>
                    <w:widowControl/>
                    <w:jc w:val="center"/>
                    <w:rPr>
                      <w:rFonts w:hint="eastAsia" w:ascii="Times New Roman" w:hAnsi="Times New Roman"/>
                      <w:color w:val="auto"/>
                      <w:spacing w:val="-6"/>
                      <w:sz w:val="22"/>
                      <w:szCs w:val="22"/>
                    </w:rPr>
                  </w:pPr>
                </w:p>
              </w:tc>
              <w:tc>
                <w:tcPr>
                  <w:tcW w:w="863" w:type="dxa"/>
                  <w:tcBorders>
                    <w:tl2br w:val="nil"/>
                    <w:tr2bl w:val="nil"/>
                  </w:tcBorders>
                  <w:noWrap w:val="0"/>
                  <w:vAlign w:val="center"/>
                </w:tcPr>
                <w:p w14:paraId="34E4830E">
                  <w:pPr>
                    <w:widowControl/>
                    <w:jc w:val="center"/>
                    <w:rPr>
                      <w:rFonts w:hint="eastAsia" w:ascii="Times New Roman" w:hAnsi="Times New Roman"/>
                      <w:color w:val="auto"/>
                      <w:spacing w:val="-6"/>
                      <w:kern w:val="2"/>
                      <w:sz w:val="22"/>
                      <w:szCs w:val="22"/>
                      <w:lang w:val="en-US" w:eastAsia="zh-CN" w:bidi="ar-SA"/>
                    </w:rPr>
                  </w:pPr>
                  <w:r>
                    <w:rPr>
                      <w:rFonts w:hint="eastAsia" w:ascii="Times New Roman" w:hAnsi="Times New Roman"/>
                      <w:color w:val="auto"/>
                      <w:spacing w:val="-6"/>
                      <w:sz w:val="22"/>
                      <w:szCs w:val="22"/>
                      <w:lang w:val="en-US" w:eastAsia="zh-CN"/>
                    </w:rPr>
                    <w:t>夜</w:t>
                  </w:r>
                  <w:r>
                    <w:rPr>
                      <w:rFonts w:hint="eastAsia" w:ascii="Times New Roman" w:hAnsi="Times New Roman"/>
                      <w:color w:val="auto"/>
                      <w:spacing w:val="-6"/>
                      <w:sz w:val="22"/>
                      <w:szCs w:val="22"/>
                    </w:rPr>
                    <w:t>间</w:t>
                  </w:r>
                </w:p>
              </w:tc>
              <w:tc>
                <w:tcPr>
                  <w:tcW w:w="1144" w:type="dxa"/>
                  <w:tcBorders>
                    <w:tl2br w:val="nil"/>
                    <w:tr2bl w:val="nil"/>
                  </w:tcBorders>
                  <w:noWrap w:val="0"/>
                  <w:vAlign w:val="center"/>
                </w:tcPr>
                <w:p w14:paraId="77D065FD">
                  <w:pPr>
                    <w:widowControl/>
                    <w:jc w:val="center"/>
                    <w:rPr>
                      <w:rFonts w:hint="default" w:ascii="Times New Roman" w:hAnsi="Times New Roman" w:eastAsia="宋体"/>
                      <w:color w:val="auto"/>
                      <w:spacing w:val="-6"/>
                      <w:sz w:val="22"/>
                      <w:szCs w:val="22"/>
                      <w:lang w:val="en-US" w:eastAsia="zh-CN"/>
                    </w:rPr>
                  </w:pPr>
                  <w:r>
                    <w:rPr>
                      <w:rFonts w:hint="eastAsia" w:ascii="Times New Roman" w:hAnsi="Times New Roman" w:eastAsia="宋体"/>
                      <w:color w:val="auto"/>
                      <w:spacing w:val="-6"/>
                      <w:sz w:val="22"/>
                      <w:szCs w:val="22"/>
                      <w:lang w:val="en-US" w:eastAsia="zh-CN"/>
                    </w:rPr>
                    <w:t>54</w:t>
                  </w:r>
                </w:p>
              </w:tc>
              <w:tc>
                <w:tcPr>
                  <w:tcW w:w="1141" w:type="dxa"/>
                  <w:tcBorders>
                    <w:tl2br w:val="nil"/>
                    <w:tr2bl w:val="nil"/>
                  </w:tcBorders>
                  <w:noWrap w:val="0"/>
                  <w:vAlign w:val="center"/>
                </w:tcPr>
                <w:p w14:paraId="17829BA1">
                  <w:pPr>
                    <w:widowControl/>
                    <w:jc w:val="center"/>
                    <w:rPr>
                      <w:rFonts w:hint="eastAsia" w:ascii="Times New Roman" w:hAnsi="Times New Roman" w:eastAsia="宋体"/>
                      <w:color w:val="auto"/>
                      <w:spacing w:val="-6"/>
                      <w:kern w:val="2"/>
                      <w:sz w:val="22"/>
                      <w:szCs w:val="22"/>
                      <w:lang w:val="en-US" w:eastAsia="zh-CN" w:bidi="ar-SA"/>
                    </w:rPr>
                  </w:pPr>
                  <w:r>
                    <w:rPr>
                      <w:rFonts w:hint="eastAsia" w:ascii="Times New Roman" w:hAnsi="Times New Roman"/>
                      <w:color w:val="auto"/>
                      <w:spacing w:val="-6"/>
                      <w:sz w:val="22"/>
                      <w:szCs w:val="22"/>
                      <w:lang w:val="en-US" w:eastAsia="zh-CN"/>
                    </w:rPr>
                    <w:t>55</w:t>
                  </w:r>
                </w:p>
              </w:tc>
              <w:tc>
                <w:tcPr>
                  <w:tcW w:w="1113" w:type="dxa"/>
                  <w:vMerge w:val="continue"/>
                  <w:tcBorders>
                    <w:tl2br w:val="nil"/>
                    <w:tr2bl w:val="nil"/>
                  </w:tcBorders>
                  <w:noWrap w:val="0"/>
                  <w:vAlign w:val="center"/>
                </w:tcPr>
                <w:p w14:paraId="1D855AD2">
                  <w:pPr>
                    <w:adjustRightInd w:val="0"/>
                    <w:snapToGrid w:val="0"/>
                    <w:spacing w:line="460" w:lineRule="exact"/>
                    <w:jc w:val="center"/>
                    <w:rPr>
                      <w:rFonts w:ascii="Times New Roman" w:hAnsi="Times New Roman"/>
                      <w:bCs/>
                      <w:color w:val="auto"/>
                      <w:sz w:val="24"/>
                    </w:rPr>
                  </w:pPr>
                </w:p>
              </w:tc>
              <w:tc>
                <w:tcPr>
                  <w:tcW w:w="759" w:type="dxa"/>
                  <w:tcBorders>
                    <w:tl2br w:val="nil"/>
                    <w:tr2bl w:val="nil"/>
                  </w:tcBorders>
                  <w:noWrap w:val="0"/>
                  <w:vAlign w:val="center"/>
                </w:tcPr>
                <w:p w14:paraId="21FBFEF3">
                  <w:pPr>
                    <w:jc w:val="center"/>
                    <w:rPr>
                      <w:rFonts w:hint="eastAsia"/>
                      <w:color w:val="auto"/>
                      <w:kern w:val="2"/>
                      <w:sz w:val="21"/>
                      <w:szCs w:val="24"/>
                      <w:lang w:val="en-US" w:eastAsia="zh-CN" w:bidi="ar-SA"/>
                    </w:rPr>
                  </w:pPr>
                  <w:r>
                    <w:rPr>
                      <w:rFonts w:hint="eastAsia" w:ascii="Times New Roman" w:hAnsi="Times New Roman"/>
                      <w:color w:val="auto"/>
                      <w:spacing w:val="-6"/>
                      <w:sz w:val="22"/>
                      <w:szCs w:val="22"/>
                    </w:rPr>
                    <w:t>达标</w:t>
                  </w:r>
                </w:p>
              </w:tc>
            </w:tr>
          </w:tbl>
          <w:p w14:paraId="2D41B102">
            <w:pPr>
              <w:adjustRightInd w:val="0"/>
              <w:snapToGrid w:val="0"/>
              <w:spacing w:line="460" w:lineRule="exact"/>
              <w:ind w:firstLine="520" w:firstLineChars="200"/>
              <w:jc w:val="left"/>
              <w:rPr>
                <w:rFonts w:hint="eastAsia" w:ascii="Times New Roman" w:hAnsi="Times New Roman" w:eastAsia="宋体" w:cs="Times New Roman"/>
                <w:bCs/>
                <w:color w:val="auto"/>
                <w:sz w:val="26"/>
                <w:szCs w:val="26"/>
              </w:rPr>
            </w:pPr>
          </w:p>
          <w:p w14:paraId="4EAEFEDC">
            <w:pPr>
              <w:adjustRightInd w:val="0"/>
              <w:snapToGrid w:val="0"/>
              <w:spacing w:line="460" w:lineRule="exact"/>
              <w:ind w:firstLine="520" w:firstLineChars="200"/>
              <w:jc w:val="left"/>
              <w:rPr>
                <w:rFonts w:hint="eastAsia" w:ascii="Times New Roman" w:hAnsi="Times New Roman" w:eastAsia="宋体" w:cs="Times New Roman"/>
                <w:bCs/>
                <w:color w:val="auto"/>
                <w:sz w:val="26"/>
                <w:szCs w:val="26"/>
              </w:rPr>
            </w:pPr>
            <w:r>
              <w:rPr>
                <w:rFonts w:hint="eastAsia" w:ascii="Times New Roman" w:hAnsi="Times New Roman" w:eastAsia="宋体" w:cs="Times New Roman"/>
                <w:bCs/>
                <w:color w:val="auto"/>
                <w:sz w:val="26"/>
                <w:szCs w:val="26"/>
              </w:rPr>
              <w:t>（4）固废</w:t>
            </w:r>
          </w:p>
          <w:p w14:paraId="63324651">
            <w:pPr>
              <w:adjustRightInd w:val="0"/>
              <w:snapToGrid w:val="0"/>
              <w:spacing w:line="460" w:lineRule="exact"/>
              <w:ind w:firstLine="520" w:firstLineChars="200"/>
              <w:jc w:val="left"/>
              <w:rPr>
                <w:rFonts w:hint="eastAsia" w:ascii="Times New Roman" w:hAnsi="Times New Roman"/>
                <w:bCs/>
                <w:color w:val="auto"/>
                <w:sz w:val="26"/>
                <w:szCs w:val="26"/>
              </w:rPr>
            </w:pPr>
            <w:r>
              <w:rPr>
                <w:rFonts w:hint="eastAsia" w:ascii="Times New Roman" w:hAnsi="Times New Roman"/>
                <w:bCs/>
                <w:color w:val="auto"/>
                <w:sz w:val="26"/>
                <w:szCs w:val="26"/>
                <w:lang w:eastAsia="zh-CN"/>
              </w:rPr>
              <w:t>现有项目</w:t>
            </w:r>
            <w:r>
              <w:rPr>
                <w:rFonts w:hint="eastAsia" w:ascii="Times New Roman" w:hAnsi="Times New Roman"/>
                <w:bCs/>
                <w:color w:val="auto"/>
                <w:sz w:val="26"/>
                <w:szCs w:val="26"/>
              </w:rPr>
              <w:t>运营过程中一般工业固</w:t>
            </w:r>
            <w:r>
              <w:rPr>
                <w:rFonts w:hint="eastAsia" w:ascii="Times New Roman" w:hAnsi="Times New Roman" w:eastAsia="宋体" w:cs="Times New Roman"/>
                <w:bCs/>
                <w:color w:val="auto"/>
                <w:sz w:val="26"/>
                <w:szCs w:val="26"/>
              </w:rPr>
              <w:t>废主要为废耐火</w:t>
            </w:r>
            <w:r>
              <w:rPr>
                <w:rFonts w:hint="eastAsia" w:ascii="Times New Roman" w:hAnsi="Times New Roman" w:eastAsia="宋体" w:cs="Times New Roman"/>
                <w:bCs/>
                <w:color w:val="auto"/>
                <w:sz w:val="26"/>
                <w:szCs w:val="26"/>
                <w:lang w:eastAsia="zh-CN"/>
              </w:rPr>
              <w:t>材料</w:t>
            </w:r>
            <w:r>
              <w:rPr>
                <w:rFonts w:hint="eastAsia" w:ascii="Times New Roman" w:hAnsi="Times New Roman" w:eastAsia="宋体" w:cs="Times New Roman"/>
                <w:bCs/>
                <w:color w:val="auto"/>
                <w:sz w:val="26"/>
                <w:szCs w:val="26"/>
              </w:rPr>
              <w:t>、废陶瓷过滤板</w:t>
            </w:r>
            <w:r>
              <w:rPr>
                <w:rFonts w:hint="eastAsia" w:ascii="Times New Roman" w:hAnsi="Times New Roman" w:eastAsia="宋体" w:cs="Times New Roman"/>
                <w:bCs/>
                <w:color w:val="auto"/>
                <w:sz w:val="26"/>
                <w:szCs w:val="26"/>
                <w:lang w:eastAsia="zh-CN"/>
              </w:rPr>
              <w:t>等，产生量约</w:t>
            </w:r>
            <w:r>
              <w:rPr>
                <w:rFonts w:hint="eastAsia" w:ascii="Times New Roman" w:hAnsi="Times New Roman" w:eastAsia="宋体" w:cs="Times New Roman"/>
                <w:bCs/>
                <w:color w:val="auto"/>
                <w:sz w:val="26"/>
                <w:szCs w:val="26"/>
                <w:lang w:val="en-US" w:eastAsia="zh-CN"/>
              </w:rPr>
              <w:t>8267.119t/a</w:t>
            </w:r>
            <w:r>
              <w:rPr>
                <w:rFonts w:hint="eastAsia" w:ascii="Times New Roman" w:hAnsi="Times New Roman"/>
                <w:bCs/>
                <w:color w:val="auto"/>
                <w:sz w:val="26"/>
                <w:szCs w:val="26"/>
              </w:rPr>
              <w:t>，一般工业固废暂存于一般固废暂存</w:t>
            </w:r>
            <w:r>
              <w:rPr>
                <w:rFonts w:hint="eastAsia" w:ascii="Times New Roman" w:hAnsi="Times New Roman"/>
                <w:bCs/>
                <w:color w:val="auto"/>
                <w:sz w:val="26"/>
                <w:szCs w:val="26"/>
                <w:lang w:val="en-US" w:eastAsia="zh-CN"/>
              </w:rPr>
              <w:t>区</w:t>
            </w:r>
            <w:r>
              <w:rPr>
                <w:rFonts w:hint="eastAsia" w:ascii="Times New Roman" w:hAnsi="Times New Roman"/>
                <w:bCs/>
                <w:color w:val="auto"/>
                <w:sz w:val="26"/>
                <w:szCs w:val="26"/>
              </w:rPr>
              <w:t>，</w:t>
            </w:r>
            <w:r>
              <w:rPr>
                <w:rFonts w:hint="eastAsia" w:ascii="Times New Roman" w:hAnsi="Times New Roman"/>
                <w:bCs/>
                <w:color w:val="auto"/>
                <w:sz w:val="26"/>
                <w:szCs w:val="26"/>
                <w:lang w:val="en-US" w:eastAsia="zh-CN"/>
              </w:rPr>
              <w:t>一般工业固废部分回用生产，部分出售给资源回收公司</w:t>
            </w:r>
            <w:r>
              <w:rPr>
                <w:rFonts w:hint="eastAsia" w:ascii="Times New Roman" w:hAnsi="Times New Roman"/>
                <w:bCs/>
                <w:color w:val="auto"/>
                <w:sz w:val="26"/>
                <w:szCs w:val="26"/>
              </w:rPr>
              <w:t>。</w:t>
            </w:r>
          </w:p>
          <w:p w14:paraId="13292C7B">
            <w:pPr>
              <w:adjustRightInd w:val="0"/>
              <w:snapToGrid w:val="0"/>
              <w:spacing w:line="460" w:lineRule="exact"/>
              <w:ind w:firstLine="520" w:firstLineChars="200"/>
              <w:jc w:val="left"/>
              <w:rPr>
                <w:rFonts w:hint="eastAsia" w:ascii="Times New Roman" w:hAnsi="Times New Roman" w:eastAsia="宋体" w:cs="Times New Roman"/>
                <w:bCs/>
                <w:color w:val="auto"/>
                <w:sz w:val="26"/>
                <w:szCs w:val="26"/>
              </w:rPr>
            </w:pPr>
            <w:r>
              <w:rPr>
                <w:rFonts w:hint="eastAsia" w:ascii="Times New Roman" w:hAnsi="Times New Roman"/>
                <w:bCs/>
                <w:color w:val="auto"/>
                <w:sz w:val="26"/>
                <w:szCs w:val="26"/>
                <w:lang w:eastAsia="zh-CN"/>
              </w:rPr>
              <w:t>现有项目</w:t>
            </w:r>
            <w:r>
              <w:rPr>
                <w:rFonts w:hint="eastAsia" w:ascii="Times New Roman" w:hAnsi="Times New Roman"/>
                <w:bCs/>
                <w:color w:val="auto"/>
                <w:sz w:val="26"/>
                <w:szCs w:val="26"/>
              </w:rPr>
              <w:t>运营过程中</w:t>
            </w:r>
            <w:r>
              <w:rPr>
                <w:rFonts w:hint="eastAsia" w:ascii="Times New Roman" w:hAnsi="Times New Roman" w:eastAsia="宋体" w:cs="Times New Roman"/>
                <w:bCs/>
                <w:color w:val="auto"/>
                <w:sz w:val="26"/>
                <w:szCs w:val="26"/>
              </w:rPr>
              <w:t>危险废物主要为除尘系统除尘灰、铝灰渣、废液压油及废含油棉纱、手套等，危险</w:t>
            </w:r>
            <w:r>
              <w:rPr>
                <w:rFonts w:hint="eastAsia" w:ascii="Times New Roman" w:hAnsi="Times New Roman"/>
                <w:bCs/>
                <w:color w:val="auto"/>
                <w:sz w:val="26"/>
                <w:szCs w:val="26"/>
              </w:rPr>
              <w:t>废物的产生量约</w:t>
            </w:r>
            <w:r>
              <w:rPr>
                <w:rFonts w:hint="eastAsia" w:ascii="Times New Roman" w:hAnsi="Times New Roman"/>
                <w:bCs/>
                <w:color w:val="auto"/>
                <w:sz w:val="26"/>
                <w:szCs w:val="26"/>
                <w:lang w:val="en-US" w:eastAsia="zh-CN"/>
              </w:rPr>
              <w:t>3391.132</w:t>
            </w:r>
            <w:r>
              <w:rPr>
                <w:rFonts w:hint="eastAsia" w:ascii="Times New Roman" w:hAnsi="Times New Roman"/>
                <w:bCs/>
                <w:color w:val="auto"/>
                <w:sz w:val="26"/>
                <w:szCs w:val="26"/>
              </w:rPr>
              <w:t>t/a，危险废物</w:t>
            </w:r>
            <w:r>
              <w:rPr>
                <w:rFonts w:hint="eastAsia" w:ascii="Times New Roman" w:hAnsi="Times New Roman" w:eastAsia="宋体" w:cs="Times New Roman"/>
                <w:bCs/>
                <w:color w:val="auto"/>
                <w:sz w:val="26"/>
                <w:szCs w:val="26"/>
              </w:rPr>
              <w:t>分类收集后暂存于</w:t>
            </w:r>
            <w:r>
              <w:rPr>
                <w:rFonts w:hint="eastAsia" w:ascii="Times New Roman" w:hAnsi="Times New Roman" w:eastAsia="宋体" w:cs="Times New Roman"/>
                <w:bCs/>
                <w:color w:val="auto"/>
                <w:sz w:val="26"/>
                <w:szCs w:val="26"/>
                <w:lang w:val="en-US" w:eastAsia="zh-CN"/>
              </w:rPr>
              <w:t>危废贮存库</w:t>
            </w:r>
            <w:r>
              <w:rPr>
                <w:rFonts w:hint="eastAsia" w:ascii="Times New Roman" w:hAnsi="Times New Roman" w:eastAsia="宋体" w:cs="Times New Roman"/>
                <w:bCs/>
                <w:color w:val="auto"/>
                <w:sz w:val="26"/>
                <w:szCs w:val="26"/>
              </w:rPr>
              <w:t>，定期交有资质单位处理，</w:t>
            </w:r>
            <w:r>
              <w:rPr>
                <w:rFonts w:hint="eastAsia" w:ascii="Times New Roman" w:hAnsi="Times New Roman" w:eastAsia="宋体" w:cs="Times New Roman"/>
                <w:bCs/>
                <w:color w:val="auto"/>
                <w:sz w:val="26"/>
                <w:szCs w:val="26"/>
                <w:lang w:val="en-US" w:eastAsia="zh-CN"/>
              </w:rPr>
              <w:t>其中</w:t>
            </w:r>
            <w:r>
              <w:rPr>
                <w:rFonts w:hint="eastAsia" w:ascii="Times New Roman" w:hAnsi="Times New Roman" w:eastAsia="宋体" w:cs="Times New Roman"/>
                <w:bCs/>
                <w:color w:val="auto"/>
                <w:sz w:val="26"/>
                <w:szCs w:val="26"/>
              </w:rPr>
              <w:t>除尘系统除尘灰</w:t>
            </w:r>
            <w:r>
              <w:rPr>
                <w:rFonts w:hint="eastAsia" w:ascii="Times New Roman" w:hAnsi="Times New Roman" w:eastAsia="宋体" w:cs="Times New Roman"/>
                <w:bCs/>
                <w:color w:val="auto"/>
                <w:sz w:val="26"/>
                <w:szCs w:val="26"/>
                <w:lang w:eastAsia="zh-CN"/>
              </w:rPr>
              <w:t>、</w:t>
            </w:r>
            <w:r>
              <w:rPr>
                <w:rFonts w:hint="eastAsia" w:ascii="Times New Roman" w:hAnsi="Times New Roman" w:eastAsia="宋体" w:cs="Times New Roman"/>
                <w:bCs/>
                <w:color w:val="auto"/>
                <w:sz w:val="26"/>
                <w:szCs w:val="26"/>
              </w:rPr>
              <w:t>铝灰渣交云南睿朗环保工程有限公司处置</w:t>
            </w:r>
            <w:r>
              <w:rPr>
                <w:rFonts w:hint="eastAsia" w:ascii="Times New Roman" w:hAnsi="Times New Roman" w:eastAsia="宋体" w:cs="Times New Roman"/>
                <w:bCs/>
                <w:color w:val="auto"/>
                <w:sz w:val="26"/>
                <w:szCs w:val="26"/>
                <w:lang w:eastAsia="zh-CN"/>
              </w:rPr>
              <w:t>，</w:t>
            </w:r>
            <w:r>
              <w:rPr>
                <w:rFonts w:hint="eastAsia" w:ascii="Times New Roman" w:hAnsi="Times New Roman" w:eastAsia="宋体" w:cs="Times New Roman"/>
                <w:bCs/>
                <w:color w:val="auto"/>
                <w:sz w:val="26"/>
                <w:szCs w:val="26"/>
                <w:lang w:val="en-US" w:eastAsia="zh-CN"/>
              </w:rPr>
              <w:t>含油废铝料交</w:t>
            </w:r>
            <w:r>
              <w:rPr>
                <w:rFonts w:hint="eastAsia" w:ascii="Times New Roman" w:hAnsi="Times New Roman" w:eastAsia="宋体" w:cs="Times New Roman"/>
                <w:bCs/>
                <w:color w:val="auto"/>
                <w:sz w:val="26"/>
                <w:szCs w:val="26"/>
              </w:rPr>
              <w:t>重庆</w:t>
            </w:r>
            <w:r>
              <w:rPr>
                <w:rFonts w:hint="eastAsia" w:ascii="Times New Roman" w:hAnsi="Times New Roman" w:eastAsia="宋体" w:cs="Times New Roman"/>
                <w:bCs/>
                <w:color w:val="auto"/>
                <w:sz w:val="26"/>
                <w:szCs w:val="26"/>
                <w:lang w:val="en-US" w:eastAsia="zh-CN"/>
              </w:rPr>
              <w:t>琴</w:t>
            </w:r>
            <w:r>
              <w:rPr>
                <w:rFonts w:hint="eastAsia" w:ascii="Times New Roman" w:hAnsi="Times New Roman" w:eastAsia="宋体" w:cs="Times New Roman"/>
                <w:bCs/>
                <w:color w:val="auto"/>
                <w:sz w:val="26"/>
                <w:szCs w:val="26"/>
              </w:rPr>
              <w:t>江铝合金有限公司单位处置</w:t>
            </w:r>
            <w:r>
              <w:rPr>
                <w:rFonts w:hint="eastAsia" w:ascii="Times New Roman" w:hAnsi="Times New Roman" w:eastAsia="宋体" w:cs="Times New Roman"/>
                <w:bCs/>
                <w:color w:val="auto"/>
                <w:sz w:val="26"/>
                <w:szCs w:val="26"/>
                <w:lang w:eastAsia="zh-CN"/>
              </w:rPr>
              <w:t>，</w:t>
            </w:r>
            <w:r>
              <w:rPr>
                <w:rFonts w:hint="eastAsia" w:ascii="Times New Roman" w:hAnsi="Times New Roman" w:eastAsia="宋体" w:cs="Times New Roman"/>
                <w:bCs/>
                <w:color w:val="auto"/>
                <w:sz w:val="26"/>
                <w:szCs w:val="26"/>
                <w:lang w:val="en-US" w:eastAsia="zh-CN"/>
              </w:rPr>
              <w:t>废液压油交</w:t>
            </w:r>
            <w:r>
              <w:rPr>
                <w:rFonts w:hint="eastAsia" w:ascii="Times New Roman" w:hAnsi="Times New Roman" w:eastAsia="宋体" w:cs="Times New Roman"/>
                <w:bCs/>
                <w:color w:val="auto"/>
                <w:sz w:val="26"/>
                <w:szCs w:val="26"/>
              </w:rPr>
              <w:t>重庆涂维环保科技有限公司单位处置</w:t>
            </w:r>
            <w:r>
              <w:rPr>
                <w:rFonts w:hint="eastAsia" w:ascii="Times New Roman" w:hAnsi="Times New Roman" w:eastAsia="宋体" w:cs="Times New Roman"/>
                <w:bCs/>
                <w:color w:val="auto"/>
                <w:sz w:val="26"/>
                <w:szCs w:val="26"/>
                <w:lang w:eastAsia="zh-CN"/>
              </w:rPr>
              <w:t>，</w:t>
            </w:r>
            <w:r>
              <w:rPr>
                <w:rFonts w:hint="eastAsia" w:ascii="Times New Roman" w:hAnsi="Times New Roman" w:eastAsia="宋体" w:cs="Times New Roman"/>
                <w:bCs/>
                <w:color w:val="auto"/>
                <w:sz w:val="26"/>
                <w:szCs w:val="26"/>
              </w:rPr>
              <w:t>废含油棉纱、手套重庆中明港桥环保有限责任公司处理。</w:t>
            </w:r>
          </w:p>
          <w:p w14:paraId="38C2AB5C">
            <w:pPr>
              <w:adjustRightInd w:val="0"/>
              <w:snapToGrid w:val="0"/>
              <w:spacing w:line="460" w:lineRule="exact"/>
              <w:ind w:firstLine="520" w:firstLineChars="200"/>
              <w:jc w:val="left"/>
              <w:rPr>
                <w:rFonts w:hint="eastAsia" w:ascii="Times New Roman" w:hAnsi="Times New Roman"/>
                <w:bCs/>
                <w:color w:val="auto"/>
                <w:sz w:val="26"/>
                <w:szCs w:val="26"/>
              </w:rPr>
            </w:pPr>
            <w:r>
              <w:rPr>
                <w:rFonts w:hint="eastAsia" w:ascii="Times New Roman" w:hAnsi="Times New Roman" w:eastAsia="宋体" w:cs="Times New Roman"/>
                <w:bCs/>
                <w:color w:val="auto"/>
                <w:sz w:val="26"/>
                <w:szCs w:val="26"/>
              </w:rPr>
              <w:t>生活垃圾经收集后交由环卫部门统一处理。</w:t>
            </w:r>
          </w:p>
          <w:p w14:paraId="1ECE5A33">
            <w:pPr>
              <w:adjustRightInd w:val="0"/>
              <w:snapToGrid w:val="0"/>
              <w:spacing w:line="460" w:lineRule="exact"/>
              <w:ind w:firstLine="520" w:firstLineChars="200"/>
              <w:jc w:val="left"/>
              <w:rPr>
                <w:rFonts w:hint="eastAsia" w:ascii="Times New Roman" w:hAnsi="Times New Roman"/>
                <w:bCs/>
                <w:color w:val="auto"/>
                <w:sz w:val="26"/>
                <w:szCs w:val="26"/>
              </w:rPr>
            </w:pPr>
            <w:r>
              <w:rPr>
                <w:rFonts w:hint="eastAsia" w:ascii="Times New Roman" w:hAnsi="Times New Roman"/>
                <w:bCs/>
                <w:color w:val="auto"/>
                <w:sz w:val="26"/>
                <w:szCs w:val="26"/>
              </w:rPr>
              <w:t>现有项目污染物排放汇总详见</w:t>
            </w:r>
            <w:r>
              <w:rPr>
                <w:rFonts w:hint="eastAsia" w:ascii="Times New Roman" w:hAnsi="Times New Roman"/>
                <w:bCs/>
                <w:color w:val="auto"/>
                <w:sz w:val="26"/>
                <w:szCs w:val="26"/>
                <w:lang w:eastAsia="zh-CN"/>
              </w:rPr>
              <w:t>下表</w:t>
            </w:r>
            <w:r>
              <w:rPr>
                <w:rFonts w:hint="eastAsia" w:ascii="Times New Roman" w:hAnsi="Times New Roman"/>
                <w:bCs/>
                <w:color w:val="auto"/>
                <w:sz w:val="26"/>
                <w:szCs w:val="26"/>
              </w:rPr>
              <w:t>。</w:t>
            </w:r>
          </w:p>
          <w:p w14:paraId="01EBFCB1">
            <w:pPr>
              <w:adjustRightInd w:val="0"/>
              <w:snapToGrid w:val="0"/>
              <w:spacing w:line="460" w:lineRule="exact"/>
              <w:jc w:val="center"/>
              <w:rPr>
                <w:rFonts w:hint="eastAsia" w:ascii="Times New Roman" w:hAnsi="Times New Roman"/>
                <w:b/>
                <w:bCs w:val="0"/>
                <w:color w:val="auto"/>
                <w:sz w:val="26"/>
                <w:szCs w:val="26"/>
                <w:highlight w:val="none"/>
              </w:rPr>
            </w:pPr>
            <w:r>
              <w:rPr>
                <w:rFonts w:hint="eastAsia" w:ascii="Times New Roman" w:hAnsi="Times New Roman"/>
                <w:b/>
                <w:bCs w:val="0"/>
                <w:color w:val="auto"/>
                <w:sz w:val="26"/>
                <w:szCs w:val="26"/>
                <w:highlight w:val="none"/>
              </w:rPr>
              <w:t>表2.1</w:t>
            </w:r>
            <w:r>
              <w:rPr>
                <w:rFonts w:hint="eastAsia" w:ascii="Times New Roman" w:hAnsi="Times New Roman"/>
                <w:b/>
                <w:bCs w:val="0"/>
                <w:color w:val="auto"/>
                <w:sz w:val="26"/>
                <w:szCs w:val="26"/>
                <w:highlight w:val="none"/>
                <w:lang w:val="en-US" w:eastAsia="zh-CN"/>
              </w:rPr>
              <w:t>6</w:t>
            </w:r>
            <w:r>
              <w:rPr>
                <w:rFonts w:hint="eastAsia" w:ascii="Times New Roman" w:hAnsi="Times New Roman"/>
                <w:b/>
                <w:bCs w:val="0"/>
                <w:color w:val="auto"/>
                <w:sz w:val="26"/>
                <w:szCs w:val="26"/>
                <w:highlight w:val="none"/>
              </w:rPr>
              <w:t>-</w:t>
            </w:r>
            <w:r>
              <w:rPr>
                <w:rFonts w:hint="eastAsia" w:ascii="Times New Roman" w:hAnsi="Times New Roman"/>
                <w:b/>
                <w:bCs w:val="0"/>
                <w:color w:val="auto"/>
                <w:sz w:val="26"/>
                <w:szCs w:val="26"/>
                <w:highlight w:val="none"/>
                <w:lang w:val="en-US" w:eastAsia="zh-CN"/>
              </w:rPr>
              <w:t>5</w:t>
            </w:r>
            <w:r>
              <w:rPr>
                <w:rFonts w:hint="eastAsia" w:ascii="Times New Roman" w:hAnsi="Times New Roman"/>
                <w:b/>
                <w:bCs w:val="0"/>
                <w:color w:val="auto"/>
                <w:sz w:val="26"/>
                <w:szCs w:val="26"/>
                <w:highlight w:val="none"/>
              </w:rPr>
              <w:t xml:space="preserve">  现有项目污染物排放总量统计</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61"/>
              <w:gridCol w:w="2097"/>
              <w:gridCol w:w="878"/>
              <w:gridCol w:w="1847"/>
              <w:gridCol w:w="1847"/>
            </w:tblGrid>
            <w:tr w14:paraId="17D2AE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2" w:type="dxa"/>
                  <w:tcBorders>
                    <w:tl2br w:val="nil"/>
                    <w:tr2bl w:val="nil"/>
                  </w:tcBorders>
                  <w:noWrap w:val="0"/>
                  <w:vAlign w:val="center"/>
                </w:tcPr>
                <w:p w14:paraId="36BEBD4D">
                  <w:pPr>
                    <w:widowControl/>
                    <w:jc w:val="center"/>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spacing w:val="-6"/>
                      <w:sz w:val="22"/>
                      <w:szCs w:val="22"/>
                    </w:rPr>
                    <w:t>污染</w:t>
                  </w:r>
                </w:p>
                <w:p w14:paraId="1DB63DEA">
                  <w:pPr>
                    <w:widowControl/>
                    <w:jc w:val="center"/>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spacing w:val="-6"/>
                      <w:sz w:val="22"/>
                      <w:szCs w:val="22"/>
                    </w:rPr>
                    <w:t>类别</w:t>
                  </w:r>
                </w:p>
              </w:tc>
              <w:tc>
                <w:tcPr>
                  <w:tcW w:w="1743" w:type="dxa"/>
                  <w:tcBorders>
                    <w:tl2br w:val="nil"/>
                    <w:tr2bl w:val="nil"/>
                  </w:tcBorders>
                  <w:noWrap w:val="0"/>
                  <w:vAlign w:val="center"/>
                </w:tcPr>
                <w:p w14:paraId="6178F395">
                  <w:pPr>
                    <w:widowControl/>
                    <w:jc w:val="center"/>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spacing w:val="-6"/>
                      <w:sz w:val="22"/>
                      <w:szCs w:val="22"/>
                    </w:rPr>
                    <w:t>污染物</w:t>
                  </w:r>
                </w:p>
              </w:tc>
              <w:tc>
                <w:tcPr>
                  <w:tcW w:w="730" w:type="dxa"/>
                  <w:tcBorders>
                    <w:tl2br w:val="nil"/>
                    <w:tr2bl w:val="nil"/>
                  </w:tcBorders>
                  <w:noWrap w:val="0"/>
                  <w:vAlign w:val="center"/>
                </w:tcPr>
                <w:p w14:paraId="77915281">
                  <w:pPr>
                    <w:widowControl/>
                    <w:jc w:val="center"/>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spacing w:val="-6"/>
                      <w:sz w:val="22"/>
                      <w:szCs w:val="22"/>
                    </w:rPr>
                    <w:t>单位</w:t>
                  </w:r>
                </w:p>
              </w:tc>
              <w:tc>
                <w:tcPr>
                  <w:tcW w:w="1535" w:type="dxa"/>
                  <w:tcBorders>
                    <w:tl2br w:val="nil"/>
                    <w:tr2bl w:val="nil"/>
                  </w:tcBorders>
                  <w:noWrap w:val="0"/>
                  <w:vAlign w:val="center"/>
                </w:tcPr>
                <w:p w14:paraId="141B2D6D">
                  <w:pPr>
                    <w:widowControl/>
                    <w:jc w:val="center"/>
                    <w:rPr>
                      <w:rFonts w:hint="default" w:ascii="Times New Roman" w:hAnsi="Times New Roman" w:eastAsia="宋体" w:cs="Times New Roman"/>
                      <w:color w:val="auto"/>
                      <w:spacing w:val="-6"/>
                      <w:kern w:val="2"/>
                      <w:sz w:val="22"/>
                      <w:szCs w:val="22"/>
                      <w:lang w:val="en-US" w:eastAsia="zh-CN" w:bidi="ar-SA"/>
                    </w:rPr>
                  </w:pPr>
                  <w:r>
                    <w:rPr>
                      <w:rFonts w:hint="default" w:ascii="Times New Roman" w:hAnsi="Times New Roman" w:eastAsia="宋体" w:cs="Times New Roman"/>
                      <w:color w:val="auto"/>
                      <w:spacing w:val="-6"/>
                      <w:sz w:val="22"/>
                      <w:szCs w:val="22"/>
                    </w:rPr>
                    <w:t>环评计算</w:t>
                  </w:r>
                  <w:r>
                    <w:rPr>
                      <w:rFonts w:hint="default" w:ascii="Times New Roman" w:hAnsi="Times New Roman" w:eastAsia="宋体" w:cs="Times New Roman"/>
                      <w:color w:val="auto"/>
                      <w:spacing w:val="-6"/>
                      <w:sz w:val="22"/>
                      <w:szCs w:val="22"/>
                      <w:lang w:val="en-US" w:eastAsia="zh-CN"/>
                    </w:rPr>
                    <w:t>全厂</w:t>
                  </w:r>
                  <w:r>
                    <w:rPr>
                      <w:rFonts w:hint="default" w:ascii="Times New Roman" w:hAnsi="Times New Roman" w:eastAsia="宋体" w:cs="Times New Roman"/>
                      <w:color w:val="auto"/>
                      <w:spacing w:val="-6"/>
                      <w:sz w:val="22"/>
                      <w:szCs w:val="22"/>
                    </w:rPr>
                    <w:t>污染物排放量</w:t>
                  </w:r>
                </w:p>
              </w:tc>
              <w:tc>
                <w:tcPr>
                  <w:tcW w:w="1535" w:type="dxa"/>
                  <w:tcBorders>
                    <w:tl2br w:val="nil"/>
                    <w:tr2bl w:val="nil"/>
                  </w:tcBorders>
                  <w:noWrap w:val="0"/>
                  <w:vAlign w:val="center"/>
                </w:tcPr>
                <w:p w14:paraId="41F59CD8">
                  <w:pPr>
                    <w:widowControl/>
                    <w:jc w:val="center"/>
                    <w:rPr>
                      <w:rFonts w:hint="default" w:ascii="Times New Roman" w:hAnsi="Times New Roman" w:eastAsia="宋体" w:cs="Times New Roman"/>
                      <w:color w:val="auto"/>
                      <w:spacing w:val="-6"/>
                      <w:sz w:val="22"/>
                      <w:szCs w:val="22"/>
                      <w:lang w:val="en-US" w:eastAsia="zh-CN"/>
                    </w:rPr>
                  </w:pPr>
                  <w:r>
                    <w:rPr>
                      <w:rFonts w:hint="default" w:ascii="Times New Roman" w:hAnsi="Times New Roman" w:eastAsia="宋体" w:cs="Times New Roman"/>
                      <w:color w:val="auto"/>
                      <w:spacing w:val="-6"/>
                      <w:sz w:val="22"/>
                      <w:szCs w:val="22"/>
                    </w:rPr>
                    <w:t>环评计算</w:t>
                  </w:r>
                  <w:r>
                    <w:rPr>
                      <w:rFonts w:hint="default" w:ascii="Times New Roman" w:hAnsi="Times New Roman" w:eastAsia="宋体" w:cs="Times New Roman"/>
                      <w:color w:val="auto"/>
                      <w:spacing w:val="-6"/>
                      <w:sz w:val="22"/>
                      <w:szCs w:val="22"/>
                      <w:lang w:val="en-US" w:eastAsia="zh-CN"/>
                    </w:rPr>
                    <w:t>排入环境</w:t>
                  </w:r>
                  <w:r>
                    <w:rPr>
                      <w:rFonts w:hint="default" w:ascii="Times New Roman" w:hAnsi="Times New Roman" w:eastAsia="宋体" w:cs="Times New Roman"/>
                      <w:color w:val="auto"/>
                      <w:spacing w:val="-6"/>
                      <w:sz w:val="22"/>
                      <w:szCs w:val="22"/>
                    </w:rPr>
                    <w:t>污染物量</w:t>
                  </w:r>
                </w:p>
              </w:tc>
            </w:tr>
            <w:tr w14:paraId="0B38C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2" w:type="dxa"/>
                  <w:vMerge w:val="restart"/>
                  <w:tcBorders>
                    <w:tl2br w:val="nil"/>
                    <w:tr2bl w:val="nil"/>
                  </w:tcBorders>
                  <w:noWrap w:val="0"/>
                  <w:vAlign w:val="center"/>
                </w:tcPr>
                <w:p w14:paraId="4CFA077C">
                  <w:pPr>
                    <w:widowControl/>
                    <w:jc w:val="center"/>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spacing w:val="-6"/>
                      <w:sz w:val="22"/>
                      <w:szCs w:val="22"/>
                      <w:highlight w:val="none"/>
                    </w:rPr>
                    <w:t>废气</w:t>
                  </w:r>
                </w:p>
              </w:tc>
              <w:tc>
                <w:tcPr>
                  <w:tcW w:w="1743" w:type="dxa"/>
                  <w:tcBorders>
                    <w:tl2br w:val="nil"/>
                    <w:tr2bl w:val="nil"/>
                  </w:tcBorders>
                  <w:noWrap w:val="0"/>
                  <w:vAlign w:val="center"/>
                </w:tcPr>
                <w:p w14:paraId="7C4DA3BF">
                  <w:pPr>
                    <w:widowControl/>
                    <w:jc w:val="center"/>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kern w:val="0"/>
                      <w:sz w:val="22"/>
                      <w:szCs w:val="22"/>
                    </w:rPr>
                    <w:t>PM</w:t>
                  </w:r>
                  <w:r>
                    <w:rPr>
                      <w:rFonts w:hint="default" w:ascii="Times New Roman" w:hAnsi="Times New Roman" w:eastAsia="宋体" w:cs="Times New Roman"/>
                      <w:color w:val="auto"/>
                      <w:kern w:val="0"/>
                      <w:sz w:val="22"/>
                      <w:szCs w:val="22"/>
                      <w:vertAlign w:val="subscript"/>
                    </w:rPr>
                    <w:t>10</w:t>
                  </w:r>
                </w:p>
              </w:tc>
              <w:tc>
                <w:tcPr>
                  <w:tcW w:w="730" w:type="dxa"/>
                  <w:tcBorders>
                    <w:tl2br w:val="nil"/>
                    <w:tr2bl w:val="nil"/>
                  </w:tcBorders>
                  <w:noWrap w:val="0"/>
                  <w:vAlign w:val="center"/>
                </w:tcPr>
                <w:p w14:paraId="0C31FDBC">
                  <w:pPr>
                    <w:widowControl/>
                    <w:jc w:val="center"/>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spacing w:val="-6"/>
                      <w:sz w:val="22"/>
                      <w:szCs w:val="22"/>
                    </w:rPr>
                    <w:t>t/a</w:t>
                  </w:r>
                </w:p>
              </w:tc>
              <w:tc>
                <w:tcPr>
                  <w:tcW w:w="1535" w:type="dxa"/>
                  <w:tcBorders>
                    <w:tl2br w:val="nil"/>
                    <w:tr2bl w:val="nil"/>
                  </w:tcBorders>
                  <w:noWrap w:val="0"/>
                  <w:vAlign w:val="center"/>
                </w:tcPr>
                <w:p w14:paraId="76180A7F">
                  <w:pPr>
                    <w:widowControl/>
                    <w:jc w:val="center"/>
                    <w:rPr>
                      <w:rFonts w:hint="default" w:ascii="Times New Roman" w:hAnsi="Times New Roman" w:eastAsia="宋体" w:cs="Times New Roman"/>
                      <w:color w:val="auto"/>
                      <w:spacing w:val="-6"/>
                      <w:kern w:val="2"/>
                      <w:sz w:val="22"/>
                      <w:szCs w:val="22"/>
                      <w:lang w:val="en-US" w:eastAsia="zh-CN" w:bidi="ar-SA"/>
                    </w:rPr>
                  </w:pPr>
                  <w:r>
                    <w:rPr>
                      <w:rFonts w:hint="default" w:ascii="Times New Roman" w:hAnsi="Times New Roman" w:eastAsia="宋体" w:cs="Times New Roman"/>
                      <w:color w:val="auto"/>
                      <w:spacing w:val="-6"/>
                      <w:sz w:val="22"/>
                      <w:szCs w:val="22"/>
                      <w:lang w:val="en-US" w:eastAsia="zh-CN"/>
                    </w:rPr>
                    <w:t>8.883</w:t>
                  </w:r>
                </w:p>
              </w:tc>
              <w:tc>
                <w:tcPr>
                  <w:tcW w:w="1535" w:type="dxa"/>
                  <w:tcBorders>
                    <w:tl2br w:val="nil"/>
                    <w:tr2bl w:val="nil"/>
                  </w:tcBorders>
                  <w:noWrap w:val="0"/>
                  <w:vAlign w:val="center"/>
                </w:tcPr>
                <w:p w14:paraId="082D0035">
                  <w:pPr>
                    <w:widowControl/>
                    <w:jc w:val="center"/>
                    <w:rPr>
                      <w:rFonts w:hint="default" w:ascii="Times New Roman" w:hAnsi="Times New Roman" w:eastAsia="宋体" w:cs="Times New Roman"/>
                      <w:color w:val="auto"/>
                      <w:spacing w:val="-6"/>
                      <w:sz w:val="22"/>
                      <w:szCs w:val="22"/>
                      <w:lang w:val="en-US" w:eastAsia="zh-CN"/>
                    </w:rPr>
                  </w:pPr>
                  <w:r>
                    <w:rPr>
                      <w:rFonts w:hint="default" w:ascii="Times New Roman" w:hAnsi="Times New Roman" w:eastAsia="宋体" w:cs="Times New Roman"/>
                      <w:color w:val="auto"/>
                      <w:spacing w:val="-6"/>
                      <w:sz w:val="22"/>
                      <w:szCs w:val="22"/>
                      <w:lang w:val="en-US" w:eastAsia="zh-CN"/>
                    </w:rPr>
                    <w:t>8.883</w:t>
                  </w:r>
                </w:p>
              </w:tc>
            </w:tr>
            <w:tr w14:paraId="0E285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2" w:type="dxa"/>
                  <w:vMerge w:val="continue"/>
                  <w:tcBorders>
                    <w:tl2br w:val="nil"/>
                    <w:tr2bl w:val="nil"/>
                  </w:tcBorders>
                  <w:noWrap w:val="0"/>
                  <w:vAlign w:val="center"/>
                </w:tcPr>
                <w:p w14:paraId="65BD4741">
                  <w:pPr>
                    <w:widowControl/>
                    <w:jc w:val="center"/>
                    <w:rPr>
                      <w:rFonts w:hint="default" w:ascii="Times New Roman" w:hAnsi="Times New Roman" w:eastAsia="宋体" w:cs="Times New Roman"/>
                      <w:color w:val="auto"/>
                      <w:spacing w:val="-6"/>
                      <w:sz w:val="22"/>
                      <w:szCs w:val="22"/>
                    </w:rPr>
                  </w:pPr>
                </w:p>
              </w:tc>
              <w:tc>
                <w:tcPr>
                  <w:tcW w:w="1743" w:type="dxa"/>
                  <w:tcBorders>
                    <w:tl2br w:val="nil"/>
                    <w:tr2bl w:val="nil"/>
                  </w:tcBorders>
                  <w:noWrap w:val="0"/>
                  <w:vAlign w:val="center"/>
                </w:tcPr>
                <w:p w14:paraId="04FDC3C0">
                  <w:pPr>
                    <w:widowControl/>
                    <w:jc w:val="center"/>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kern w:val="0"/>
                      <w:sz w:val="22"/>
                      <w:szCs w:val="22"/>
                    </w:rPr>
                    <w:t>NOx</w:t>
                  </w:r>
                </w:p>
              </w:tc>
              <w:tc>
                <w:tcPr>
                  <w:tcW w:w="730" w:type="dxa"/>
                  <w:tcBorders>
                    <w:tl2br w:val="nil"/>
                    <w:tr2bl w:val="nil"/>
                  </w:tcBorders>
                  <w:noWrap w:val="0"/>
                  <w:vAlign w:val="center"/>
                </w:tcPr>
                <w:p w14:paraId="3A87AD08">
                  <w:pPr>
                    <w:widowControl/>
                    <w:jc w:val="center"/>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spacing w:val="-6"/>
                      <w:sz w:val="22"/>
                      <w:szCs w:val="22"/>
                    </w:rPr>
                    <w:t>t/a</w:t>
                  </w:r>
                </w:p>
              </w:tc>
              <w:tc>
                <w:tcPr>
                  <w:tcW w:w="1535" w:type="dxa"/>
                  <w:tcBorders>
                    <w:tl2br w:val="nil"/>
                    <w:tr2bl w:val="nil"/>
                  </w:tcBorders>
                  <w:noWrap w:val="0"/>
                  <w:vAlign w:val="center"/>
                </w:tcPr>
                <w:p w14:paraId="3ABBB682">
                  <w:pPr>
                    <w:widowControl/>
                    <w:jc w:val="center"/>
                    <w:rPr>
                      <w:rFonts w:hint="default" w:ascii="Times New Roman" w:hAnsi="Times New Roman" w:eastAsia="宋体" w:cs="Times New Roman"/>
                      <w:color w:val="auto"/>
                      <w:spacing w:val="-6"/>
                      <w:kern w:val="2"/>
                      <w:sz w:val="22"/>
                      <w:szCs w:val="22"/>
                      <w:lang w:val="en-US" w:eastAsia="zh-CN" w:bidi="ar-SA"/>
                    </w:rPr>
                  </w:pPr>
                  <w:r>
                    <w:rPr>
                      <w:rFonts w:hint="default" w:ascii="Times New Roman" w:hAnsi="Times New Roman" w:eastAsia="宋体" w:cs="Times New Roman"/>
                      <w:color w:val="auto"/>
                      <w:spacing w:val="-6"/>
                      <w:sz w:val="22"/>
                      <w:szCs w:val="22"/>
                      <w:lang w:val="en-US" w:eastAsia="zh-CN"/>
                    </w:rPr>
                    <w:t>23.286</w:t>
                  </w:r>
                </w:p>
              </w:tc>
              <w:tc>
                <w:tcPr>
                  <w:tcW w:w="1535" w:type="dxa"/>
                  <w:tcBorders>
                    <w:tl2br w:val="nil"/>
                    <w:tr2bl w:val="nil"/>
                  </w:tcBorders>
                  <w:noWrap w:val="0"/>
                  <w:vAlign w:val="center"/>
                </w:tcPr>
                <w:p w14:paraId="58C2AEE0">
                  <w:pPr>
                    <w:widowControl/>
                    <w:jc w:val="center"/>
                    <w:rPr>
                      <w:rFonts w:hint="default" w:ascii="Times New Roman" w:hAnsi="Times New Roman" w:eastAsia="宋体" w:cs="Times New Roman"/>
                      <w:color w:val="auto"/>
                      <w:spacing w:val="-6"/>
                      <w:sz w:val="22"/>
                      <w:szCs w:val="22"/>
                      <w:lang w:val="en-US" w:eastAsia="zh-CN"/>
                    </w:rPr>
                  </w:pPr>
                  <w:r>
                    <w:rPr>
                      <w:rFonts w:hint="default" w:ascii="Times New Roman" w:hAnsi="Times New Roman" w:eastAsia="宋体" w:cs="Times New Roman"/>
                      <w:color w:val="auto"/>
                      <w:spacing w:val="-6"/>
                      <w:sz w:val="22"/>
                      <w:szCs w:val="22"/>
                      <w:lang w:val="en-US" w:eastAsia="zh-CN"/>
                    </w:rPr>
                    <w:t>23.286</w:t>
                  </w:r>
                </w:p>
              </w:tc>
            </w:tr>
            <w:tr w14:paraId="07CDB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2" w:type="dxa"/>
                  <w:vMerge w:val="continue"/>
                  <w:tcBorders>
                    <w:tl2br w:val="nil"/>
                    <w:tr2bl w:val="nil"/>
                  </w:tcBorders>
                  <w:noWrap w:val="0"/>
                  <w:vAlign w:val="center"/>
                </w:tcPr>
                <w:p w14:paraId="44A3957A">
                  <w:pPr>
                    <w:widowControl/>
                    <w:jc w:val="center"/>
                    <w:rPr>
                      <w:rFonts w:hint="default" w:ascii="Times New Roman" w:hAnsi="Times New Roman" w:eastAsia="宋体" w:cs="Times New Roman"/>
                      <w:color w:val="auto"/>
                      <w:spacing w:val="-6"/>
                      <w:sz w:val="22"/>
                      <w:szCs w:val="22"/>
                    </w:rPr>
                  </w:pPr>
                </w:p>
              </w:tc>
              <w:tc>
                <w:tcPr>
                  <w:tcW w:w="1743" w:type="dxa"/>
                  <w:tcBorders>
                    <w:tl2br w:val="nil"/>
                    <w:tr2bl w:val="nil"/>
                  </w:tcBorders>
                  <w:noWrap w:val="0"/>
                  <w:vAlign w:val="center"/>
                </w:tcPr>
                <w:p w14:paraId="6E59C8FE">
                  <w:pPr>
                    <w:widowControl/>
                    <w:jc w:val="center"/>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kern w:val="0"/>
                      <w:sz w:val="22"/>
                      <w:szCs w:val="22"/>
                    </w:rPr>
                    <w:t>SO</w:t>
                  </w:r>
                  <w:r>
                    <w:rPr>
                      <w:rFonts w:hint="default" w:ascii="Times New Roman" w:hAnsi="Times New Roman" w:eastAsia="宋体" w:cs="Times New Roman"/>
                      <w:color w:val="auto"/>
                      <w:kern w:val="0"/>
                      <w:sz w:val="22"/>
                      <w:szCs w:val="22"/>
                      <w:vertAlign w:val="subscript"/>
                    </w:rPr>
                    <w:t>2</w:t>
                  </w:r>
                </w:p>
              </w:tc>
              <w:tc>
                <w:tcPr>
                  <w:tcW w:w="730" w:type="dxa"/>
                  <w:tcBorders>
                    <w:tl2br w:val="nil"/>
                    <w:tr2bl w:val="nil"/>
                  </w:tcBorders>
                  <w:noWrap w:val="0"/>
                  <w:vAlign w:val="center"/>
                </w:tcPr>
                <w:p w14:paraId="347BBC0B">
                  <w:pPr>
                    <w:widowControl/>
                    <w:jc w:val="center"/>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spacing w:val="-6"/>
                      <w:sz w:val="22"/>
                      <w:szCs w:val="22"/>
                    </w:rPr>
                    <w:t>t/a</w:t>
                  </w:r>
                </w:p>
              </w:tc>
              <w:tc>
                <w:tcPr>
                  <w:tcW w:w="1535" w:type="dxa"/>
                  <w:tcBorders>
                    <w:tl2br w:val="nil"/>
                    <w:tr2bl w:val="nil"/>
                  </w:tcBorders>
                  <w:noWrap w:val="0"/>
                  <w:vAlign w:val="center"/>
                </w:tcPr>
                <w:p w14:paraId="77F20FC2">
                  <w:pPr>
                    <w:widowControl/>
                    <w:jc w:val="center"/>
                    <w:rPr>
                      <w:rFonts w:hint="default" w:ascii="Times New Roman" w:hAnsi="Times New Roman" w:eastAsia="宋体" w:cs="Times New Roman"/>
                      <w:color w:val="auto"/>
                      <w:spacing w:val="-6"/>
                      <w:kern w:val="2"/>
                      <w:sz w:val="22"/>
                      <w:szCs w:val="22"/>
                      <w:lang w:val="en-US" w:eastAsia="zh-CN" w:bidi="ar-SA"/>
                    </w:rPr>
                  </w:pPr>
                  <w:r>
                    <w:rPr>
                      <w:rFonts w:hint="default" w:ascii="Times New Roman" w:hAnsi="Times New Roman" w:eastAsia="宋体" w:cs="Times New Roman"/>
                      <w:color w:val="auto"/>
                      <w:spacing w:val="-6"/>
                      <w:kern w:val="2"/>
                      <w:sz w:val="22"/>
                      <w:szCs w:val="22"/>
                      <w:lang w:val="en-US" w:eastAsia="zh-CN" w:bidi="ar-SA"/>
                    </w:rPr>
                    <w:t>2.042</w:t>
                  </w:r>
                </w:p>
              </w:tc>
              <w:tc>
                <w:tcPr>
                  <w:tcW w:w="1535" w:type="dxa"/>
                  <w:tcBorders>
                    <w:tl2br w:val="nil"/>
                    <w:tr2bl w:val="nil"/>
                  </w:tcBorders>
                  <w:noWrap w:val="0"/>
                  <w:vAlign w:val="center"/>
                </w:tcPr>
                <w:p w14:paraId="32EFEBB4">
                  <w:pPr>
                    <w:widowControl/>
                    <w:jc w:val="center"/>
                    <w:rPr>
                      <w:rFonts w:hint="default" w:ascii="Times New Roman" w:hAnsi="Times New Roman" w:eastAsia="宋体" w:cs="Times New Roman"/>
                      <w:color w:val="auto"/>
                      <w:spacing w:val="-6"/>
                      <w:sz w:val="22"/>
                      <w:szCs w:val="22"/>
                      <w:lang w:val="en-US" w:eastAsia="zh-CN"/>
                    </w:rPr>
                  </w:pPr>
                  <w:r>
                    <w:rPr>
                      <w:rFonts w:hint="default" w:ascii="Times New Roman" w:hAnsi="Times New Roman" w:eastAsia="宋体" w:cs="Times New Roman"/>
                      <w:color w:val="auto"/>
                      <w:spacing w:val="-6"/>
                      <w:kern w:val="2"/>
                      <w:sz w:val="22"/>
                      <w:szCs w:val="22"/>
                      <w:lang w:val="en-US" w:eastAsia="zh-CN" w:bidi="ar-SA"/>
                    </w:rPr>
                    <w:t>2.042</w:t>
                  </w:r>
                </w:p>
              </w:tc>
            </w:tr>
            <w:tr w14:paraId="126BF9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2" w:type="dxa"/>
                  <w:vMerge w:val="continue"/>
                  <w:tcBorders>
                    <w:tl2br w:val="nil"/>
                    <w:tr2bl w:val="nil"/>
                  </w:tcBorders>
                  <w:noWrap w:val="0"/>
                  <w:vAlign w:val="center"/>
                </w:tcPr>
                <w:p w14:paraId="0B6645CE">
                  <w:pPr>
                    <w:widowControl/>
                    <w:jc w:val="center"/>
                    <w:rPr>
                      <w:rFonts w:hint="default" w:ascii="Times New Roman" w:hAnsi="Times New Roman" w:eastAsia="宋体" w:cs="Times New Roman"/>
                      <w:color w:val="auto"/>
                      <w:spacing w:val="-6"/>
                      <w:sz w:val="22"/>
                      <w:szCs w:val="22"/>
                    </w:rPr>
                  </w:pPr>
                </w:p>
              </w:tc>
              <w:tc>
                <w:tcPr>
                  <w:tcW w:w="1743" w:type="dxa"/>
                  <w:tcBorders>
                    <w:tl2br w:val="nil"/>
                    <w:tr2bl w:val="nil"/>
                  </w:tcBorders>
                  <w:noWrap w:val="0"/>
                  <w:vAlign w:val="center"/>
                </w:tcPr>
                <w:p w14:paraId="076401C4">
                  <w:pPr>
                    <w:widowControl/>
                    <w:jc w:val="center"/>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kern w:val="0"/>
                      <w:sz w:val="22"/>
                      <w:szCs w:val="22"/>
                    </w:rPr>
                    <w:t>氟化物</w:t>
                  </w:r>
                </w:p>
              </w:tc>
              <w:tc>
                <w:tcPr>
                  <w:tcW w:w="730" w:type="dxa"/>
                  <w:tcBorders>
                    <w:tl2br w:val="nil"/>
                    <w:tr2bl w:val="nil"/>
                  </w:tcBorders>
                  <w:noWrap w:val="0"/>
                  <w:vAlign w:val="center"/>
                </w:tcPr>
                <w:p w14:paraId="2E7C259E">
                  <w:pPr>
                    <w:widowControl/>
                    <w:jc w:val="center"/>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spacing w:val="-6"/>
                      <w:sz w:val="22"/>
                      <w:szCs w:val="22"/>
                    </w:rPr>
                    <w:t>t/a</w:t>
                  </w:r>
                </w:p>
              </w:tc>
              <w:tc>
                <w:tcPr>
                  <w:tcW w:w="1535" w:type="dxa"/>
                  <w:tcBorders>
                    <w:tl2br w:val="nil"/>
                    <w:tr2bl w:val="nil"/>
                  </w:tcBorders>
                  <w:noWrap w:val="0"/>
                  <w:vAlign w:val="center"/>
                </w:tcPr>
                <w:p w14:paraId="62B0D786">
                  <w:pPr>
                    <w:widowControl/>
                    <w:jc w:val="center"/>
                    <w:rPr>
                      <w:rFonts w:hint="default" w:ascii="Times New Roman" w:hAnsi="Times New Roman" w:eastAsia="宋体" w:cs="Times New Roman"/>
                      <w:color w:val="auto"/>
                      <w:spacing w:val="-6"/>
                      <w:kern w:val="2"/>
                      <w:sz w:val="22"/>
                      <w:szCs w:val="22"/>
                      <w:lang w:val="en-US" w:eastAsia="zh-CN" w:bidi="ar-SA"/>
                    </w:rPr>
                  </w:pPr>
                  <w:r>
                    <w:rPr>
                      <w:rFonts w:hint="default" w:ascii="Times New Roman" w:hAnsi="Times New Roman" w:eastAsia="宋体" w:cs="Times New Roman"/>
                      <w:color w:val="auto"/>
                      <w:spacing w:val="-6"/>
                      <w:kern w:val="2"/>
                      <w:sz w:val="22"/>
                      <w:szCs w:val="22"/>
                      <w:lang w:val="en-US" w:eastAsia="zh-CN" w:bidi="ar-SA"/>
                    </w:rPr>
                    <w:t>1.628</w:t>
                  </w:r>
                </w:p>
              </w:tc>
              <w:tc>
                <w:tcPr>
                  <w:tcW w:w="1535" w:type="dxa"/>
                  <w:tcBorders>
                    <w:tl2br w:val="nil"/>
                    <w:tr2bl w:val="nil"/>
                  </w:tcBorders>
                  <w:noWrap w:val="0"/>
                  <w:vAlign w:val="center"/>
                </w:tcPr>
                <w:p w14:paraId="6E18932F">
                  <w:pPr>
                    <w:widowControl/>
                    <w:jc w:val="center"/>
                    <w:rPr>
                      <w:rFonts w:hint="default" w:ascii="Times New Roman" w:hAnsi="Times New Roman" w:eastAsia="宋体" w:cs="Times New Roman"/>
                      <w:color w:val="auto"/>
                      <w:spacing w:val="-6"/>
                      <w:sz w:val="22"/>
                      <w:szCs w:val="22"/>
                      <w:lang w:val="en-US" w:eastAsia="zh-CN"/>
                    </w:rPr>
                  </w:pPr>
                  <w:r>
                    <w:rPr>
                      <w:rFonts w:hint="default" w:ascii="Times New Roman" w:hAnsi="Times New Roman" w:eastAsia="宋体" w:cs="Times New Roman"/>
                      <w:color w:val="auto"/>
                      <w:spacing w:val="-6"/>
                      <w:kern w:val="2"/>
                      <w:sz w:val="22"/>
                      <w:szCs w:val="22"/>
                      <w:lang w:val="en-US" w:eastAsia="zh-CN" w:bidi="ar-SA"/>
                    </w:rPr>
                    <w:t>1.628</w:t>
                  </w:r>
                </w:p>
              </w:tc>
            </w:tr>
            <w:tr w14:paraId="65EE21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2" w:type="dxa"/>
                  <w:vMerge w:val="continue"/>
                  <w:tcBorders>
                    <w:tl2br w:val="nil"/>
                    <w:tr2bl w:val="nil"/>
                  </w:tcBorders>
                  <w:noWrap w:val="0"/>
                  <w:vAlign w:val="center"/>
                </w:tcPr>
                <w:p w14:paraId="586184DB">
                  <w:pPr>
                    <w:widowControl/>
                    <w:jc w:val="center"/>
                    <w:rPr>
                      <w:rFonts w:hint="default" w:ascii="Times New Roman" w:hAnsi="Times New Roman" w:eastAsia="宋体" w:cs="Times New Roman"/>
                      <w:color w:val="auto"/>
                      <w:spacing w:val="-6"/>
                      <w:sz w:val="22"/>
                      <w:szCs w:val="22"/>
                    </w:rPr>
                  </w:pPr>
                </w:p>
              </w:tc>
              <w:tc>
                <w:tcPr>
                  <w:tcW w:w="1743" w:type="dxa"/>
                  <w:tcBorders>
                    <w:tl2br w:val="nil"/>
                    <w:tr2bl w:val="nil"/>
                  </w:tcBorders>
                  <w:noWrap w:val="0"/>
                  <w:vAlign w:val="center"/>
                </w:tcPr>
                <w:p w14:paraId="7FDB38BC">
                  <w:pPr>
                    <w:widowControl/>
                    <w:jc w:val="center"/>
                    <w:rPr>
                      <w:rFonts w:hint="default" w:ascii="Times New Roman" w:hAnsi="Times New Roman" w:eastAsia="宋体" w:cs="Times New Roman"/>
                      <w:color w:val="auto"/>
                      <w:kern w:val="0"/>
                      <w:sz w:val="22"/>
                      <w:szCs w:val="22"/>
                      <w:lang w:eastAsia="zh-CN"/>
                    </w:rPr>
                  </w:pPr>
                  <w:r>
                    <w:rPr>
                      <w:rFonts w:hint="default" w:ascii="Times New Roman" w:hAnsi="Times New Roman" w:eastAsia="宋体" w:cs="Times New Roman"/>
                      <w:color w:val="auto"/>
                      <w:kern w:val="0"/>
                      <w:sz w:val="22"/>
                      <w:szCs w:val="22"/>
                      <w:lang w:eastAsia="zh-CN"/>
                    </w:rPr>
                    <w:t>氯化氢</w:t>
                  </w:r>
                </w:p>
              </w:tc>
              <w:tc>
                <w:tcPr>
                  <w:tcW w:w="730" w:type="dxa"/>
                  <w:tcBorders>
                    <w:tl2br w:val="nil"/>
                    <w:tr2bl w:val="nil"/>
                  </w:tcBorders>
                  <w:noWrap w:val="0"/>
                  <w:vAlign w:val="center"/>
                </w:tcPr>
                <w:p w14:paraId="4F21EFA7">
                  <w:pPr>
                    <w:widowControl/>
                    <w:jc w:val="center"/>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spacing w:val="-6"/>
                      <w:sz w:val="22"/>
                      <w:szCs w:val="22"/>
                    </w:rPr>
                    <w:t>t/a</w:t>
                  </w:r>
                </w:p>
              </w:tc>
              <w:tc>
                <w:tcPr>
                  <w:tcW w:w="1535" w:type="dxa"/>
                  <w:tcBorders>
                    <w:tl2br w:val="nil"/>
                    <w:tr2bl w:val="nil"/>
                  </w:tcBorders>
                  <w:noWrap w:val="0"/>
                  <w:vAlign w:val="center"/>
                </w:tcPr>
                <w:p w14:paraId="2D626B49">
                  <w:pPr>
                    <w:widowControl/>
                    <w:jc w:val="center"/>
                    <w:rPr>
                      <w:rFonts w:hint="default" w:ascii="Times New Roman" w:hAnsi="Times New Roman" w:eastAsia="宋体" w:cs="Times New Roman"/>
                      <w:color w:val="auto"/>
                      <w:spacing w:val="-6"/>
                      <w:kern w:val="2"/>
                      <w:sz w:val="22"/>
                      <w:szCs w:val="22"/>
                      <w:lang w:val="en-US" w:eastAsia="zh-CN" w:bidi="ar-SA"/>
                    </w:rPr>
                  </w:pPr>
                  <w:r>
                    <w:rPr>
                      <w:rFonts w:hint="default" w:ascii="Times New Roman" w:hAnsi="Times New Roman" w:eastAsia="宋体" w:cs="Times New Roman"/>
                      <w:color w:val="auto"/>
                      <w:spacing w:val="-6"/>
                      <w:kern w:val="2"/>
                      <w:sz w:val="22"/>
                      <w:szCs w:val="22"/>
                      <w:lang w:val="en-US" w:eastAsia="zh-CN" w:bidi="ar-SA"/>
                    </w:rPr>
                    <w:t>5.627</w:t>
                  </w:r>
                </w:p>
              </w:tc>
              <w:tc>
                <w:tcPr>
                  <w:tcW w:w="1535" w:type="dxa"/>
                  <w:tcBorders>
                    <w:tl2br w:val="nil"/>
                    <w:tr2bl w:val="nil"/>
                  </w:tcBorders>
                  <w:noWrap w:val="0"/>
                  <w:vAlign w:val="center"/>
                </w:tcPr>
                <w:p w14:paraId="0F303091">
                  <w:pPr>
                    <w:widowControl/>
                    <w:jc w:val="center"/>
                    <w:rPr>
                      <w:rFonts w:hint="default" w:ascii="Times New Roman" w:hAnsi="Times New Roman" w:eastAsia="宋体" w:cs="Times New Roman"/>
                      <w:color w:val="auto"/>
                      <w:spacing w:val="-6"/>
                      <w:sz w:val="22"/>
                      <w:szCs w:val="22"/>
                      <w:lang w:val="en-US" w:eastAsia="zh-CN"/>
                    </w:rPr>
                  </w:pPr>
                  <w:r>
                    <w:rPr>
                      <w:rFonts w:hint="default" w:ascii="Times New Roman" w:hAnsi="Times New Roman" w:eastAsia="宋体" w:cs="Times New Roman"/>
                      <w:color w:val="auto"/>
                      <w:spacing w:val="-6"/>
                      <w:kern w:val="2"/>
                      <w:sz w:val="22"/>
                      <w:szCs w:val="22"/>
                      <w:lang w:val="en-US" w:eastAsia="zh-CN" w:bidi="ar-SA"/>
                    </w:rPr>
                    <w:t>5.627</w:t>
                  </w:r>
                </w:p>
              </w:tc>
            </w:tr>
            <w:tr w14:paraId="4B2BF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2" w:type="dxa"/>
                  <w:vMerge w:val="restart"/>
                  <w:tcBorders>
                    <w:tl2br w:val="nil"/>
                    <w:tr2bl w:val="nil"/>
                  </w:tcBorders>
                  <w:noWrap w:val="0"/>
                  <w:vAlign w:val="center"/>
                </w:tcPr>
                <w:p w14:paraId="4405EBE7">
                  <w:pPr>
                    <w:widowControl/>
                    <w:jc w:val="center"/>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spacing w:val="-6"/>
                      <w:sz w:val="22"/>
                      <w:szCs w:val="22"/>
                    </w:rPr>
                    <w:t>废水</w:t>
                  </w:r>
                </w:p>
              </w:tc>
              <w:tc>
                <w:tcPr>
                  <w:tcW w:w="1743" w:type="dxa"/>
                  <w:tcBorders>
                    <w:tl2br w:val="nil"/>
                    <w:tr2bl w:val="nil"/>
                  </w:tcBorders>
                  <w:noWrap w:val="0"/>
                  <w:vAlign w:val="center"/>
                </w:tcPr>
                <w:p w14:paraId="597CC52B">
                  <w:pPr>
                    <w:widowControl/>
                    <w:jc w:val="center"/>
                    <w:rPr>
                      <w:rFonts w:hint="default" w:ascii="Times New Roman" w:hAnsi="Times New Roman" w:eastAsia="宋体" w:cs="Times New Roman"/>
                      <w:color w:val="auto"/>
                      <w:spacing w:val="-6"/>
                      <w:sz w:val="22"/>
                      <w:szCs w:val="22"/>
                      <w:highlight w:val="none"/>
                    </w:rPr>
                  </w:pPr>
                  <w:r>
                    <w:rPr>
                      <w:rFonts w:hint="default" w:ascii="Times New Roman" w:hAnsi="Times New Roman" w:eastAsia="宋体" w:cs="Times New Roman"/>
                      <w:color w:val="auto"/>
                      <w:spacing w:val="-6"/>
                      <w:sz w:val="22"/>
                      <w:szCs w:val="22"/>
                      <w:highlight w:val="none"/>
                    </w:rPr>
                    <w:t>COD</w:t>
                  </w:r>
                </w:p>
              </w:tc>
              <w:tc>
                <w:tcPr>
                  <w:tcW w:w="730" w:type="dxa"/>
                  <w:tcBorders>
                    <w:tl2br w:val="nil"/>
                    <w:tr2bl w:val="nil"/>
                  </w:tcBorders>
                  <w:noWrap w:val="0"/>
                  <w:vAlign w:val="center"/>
                </w:tcPr>
                <w:p w14:paraId="1A461DF4">
                  <w:pPr>
                    <w:widowControl/>
                    <w:jc w:val="center"/>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spacing w:val="-6"/>
                      <w:sz w:val="22"/>
                      <w:szCs w:val="22"/>
                    </w:rPr>
                    <w:t>t/a</w:t>
                  </w:r>
                </w:p>
              </w:tc>
              <w:tc>
                <w:tcPr>
                  <w:tcW w:w="1535" w:type="dxa"/>
                  <w:tcBorders>
                    <w:tl2br w:val="nil"/>
                    <w:tr2bl w:val="nil"/>
                  </w:tcBorders>
                  <w:noWrap w:val="0"/>
                  <w:vAlign w:val="center"/>
                </w:tcPr>
                <w:p w14:paraId="0F8B2B60">
                  <w:pPr>
                    <w:widowControl/>
                    <w:jc w:val="center"/>
                    <w:rPr>
                      <w:rFonts w:hint="default" w:ascii="Times New Roman" w:hAnsi="Times New Roman" w:eastAsia="宋体" w:cs="Times New Roman"/>
                      <w:color w:val="auto"/>
                      <w:spacing w:val="-6"/>
                      <w:kern w:val="2"/>
                      <w:sz w:val="22"/>
                      <w:szCs w:val="22"/>
                      <w:lang w:val="en-US" w:eastAsia="zh-CN" w:bidi="ar-SA"/>
                    </w:rPr>
                  </w:pPr>
                  <w:r>
                    <w:rPr>
                      <w:rFonts w:hint="default" w:ascii="Times New Roman" w:hAnsi="Times New Roman" w:eastAsia="宋体" w:cs="Times New Roman"/>
                      <w:color w:val="auto"/>
                      <w:spacing w:val="-6"/>
                      <w:kern w:val="2"/>
                      <w:sz w:val="22"/>
                      <w:szCs w:val="22"/>
                      <w:lang w:val="en-US" w:eastAsia="zh-CN" w:bidi="ar-SA"/>
                    </w:rPr>
                    <w:t>0.799</w:t>
                  </w:r>
                </w:p>
              </w:tc>
              <w:tc>
                <w:tcPr>
                  <w:tcW w:w="1535" w:type="dxa"/>
                  <w:tcBorders>
                    <w:tl2br w:val="nil"/>
                    <w:tr2bl w:val="nil"/>
                  </w:tcBorders>
                  <w:noWrap w:val="0"/>
                  <w:vAlign w:val="center"/>
                </w:tcPr>
                <w:p w14:paraId="5BB72184">
                  <w:pPr>
                    <w:widowControl/>
                    <w:jc w:val="center"/>
                    <w:rPr>
                      <w:rFonts w:hint="default" w:ascii="Times New Roman" w:hAnsi="Times New Roman" w:eastAsia="宋体" w:cs="Times New Roman"/>
                      <w:color w:val="auto"/>
                      <w:spacing w:val="-6"/>
                      <w:kern w:val="2"/>
                      <w:sz w:val="22"/>
                      <w:szCs w:val="22"/>
                      <w:lang w:val="en-US" w:eastAsia="zh-CN" w:bidi="ar-SA"/>
                    </w:rPr>
                  </w:pPr>
                  <w:r>
                    <w:rPr>
                      <w:rFonts w:hint="default" w:ascii="Times New Roman" w:hAnsi="Times New Roman" w:eastAsia="宋体" w:cs="Times New Roman"/>
                      <w:color w:val="auto"/>
                      <w:spacing w:val="-6"/>
                      <w:kern w:val="2"/>
                      <w:sz w:val="22"/>
                      <w:szCs w:val="22"/>
                      <w:lang w:val="en-US" w:eastAsia="zh-CN" w:bidi="ar-SA"/>
                    </w:rPr>
                    <w:t>0.08</w:t>
                  </w:r>
                </w:p>
              </w:tc>
            </w:tr>
            <w:tr w14:paraId="0CA074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2" w:type="dxa"/>
                  <w:vMerge w:val="continue"/>
                  <w:tcBorders>
                    <w:tl2br w:val="nil"/>
                    <w:tr2bl w:val="nil"/>
                  </w:tcBorders>
                  <w:noWrap w:val="0"/>
                  <w:vAlign w:val="center"/>
                </w:tcPr>
                <w:p w14:paraId="73837E74">
                  <w:pPr>
                    <w:widowControl/>
                    <w:jc w:val="center"/>
                    <w:rPr>
                      <w:rFonts w:hint="default" w:ascii="Times New Roman" w:hAnsi="Times New Roman" w:eastAsia="宋体" w:cs="Times New Roman"/>
                      <w:color w:val="auto"/>
                      <w:spacing w:val="-6"/>
                      <w:sz w:val="22"/>
                      <w:szCs w:val="22"/>
                    </w:rPr>
                  </w:pPr>
                </w:p>
              </w:tc>
              <w:tc>
                <w:tcPr>
                  <w:tcW w:w="1743" w:type="dxa"/>
                  <w:tcBorders>
                    <w:tl2br w:val="nil"/>
                    <w:tr2bl w:val="nil"/>
                  </w:tcBorders>
                  <w:noWrap w:val="0"/>
                  <w:vAlign w:val="center"/>
                </w:tcPr>
                <w:p w14:paraId="349C5865">
                  <w:pPr>
                    <w:widowControl/>
                    <w:jc w:val="center"/>
                    <w:rPr>
                      <w:rFonts w:hint="default" w:ascii="Times New Roman" w:hAnsi="Times New Roman" w:eastAsia="宋体" w:cs="Times New Roman"/>
                      <w:color w:val="auto"/>
                      <w:spacing w:val="-6"/>
                      <w:sz w:val="22"/>
                      <w:szCs w:val="22"/>
                      <w:highlight w:val="none"/>
                    </w:rPr>
                  </w:pPr>
                  <w:r>
                    <w:rPr>
                      <w:rFonts w:hint="default" w:ascii="Times New Roman" w:hAnsi="Times New Roman" w:eastAsia="宋体" w:cs="Times New Roman"/>
                      <w:color w:val="auto"/>
                      <w:spacing w:val="-6"/>
                      <w:sz w:val="22"/>
                      <w:szCs w:val="22"/>
                      <w:highlight w:val="none"/>
                    </w:rPr>
                    <w:t>BOD</w:t>
                  </w:r>
                  <w:r>
                    <w:rPr>
                      <w:rFonts w:hint="default" w:ascii="Times New Roman" w:hAnsi="Times New Roman" w:eastAsia="宋体" w:cs="Times New Roman"/>
                      <w:color w:val="auto"/>
                      <w:spacing w:val="-6"/>
                      <w:sz w:val="22"/>
                      <w:szCs w:val="22"/>
                      <w:highlight w:val="none"/>
                      <w:vertAlign w:val="subscript"/>
                    </w:rPr>
                    <w:t>5</w:t>
                  </w:r>
                </w:p>
              </w:tc>
              <w:tc>
                <w:tcPr>
                  <w:tcW w:w="730" w:type="dxa"/>
                  <w:tcBorders>
                    <w:tl2br w:val="nil"/>
                    <w:tr2bl w:val="nil"/>
                  </w:tcBorders>
                  <w:noWrap w:val="0"/>
                  <w:vAlign w:val="center"/>
                </w:tcPr>
                <w:p w14:paraId="48307EED">
                  <w:pPr>
                    <w:widowControl/>
                    <w:jc w:val="center"/>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spacing w:val="-6"/>
                      <w:sz w:val="22"/>
                      <w:szCs w:val="22"/>
                    </w:rPr>
                    <w:t>t/a</w:t>
                  </w:r>
                </w:p>
              </w:tc>
              <w:tc>
                <w:tcPr>
                  <w:tcW w:w="1535" w:type="dxa"/>
                  <w:tcBorders>
                    <w:tl2br w:val="nil"/>
                    <w:tr2bl w:val="nil"/>
                  </w:tcBorders>
                  <w:noWrap w:val="0"/>
                  <w:vAlign w:val="center"/>
                </w:tcPr>
                <w:p w14:paraId="1B9AB675">
                  <w:pPr>
                    <w:widowControl/>
                    <w:jc w:val="center"/>
                    <w:rPr>
                      <w:rFonts w:hint="default" w:ascii="Times New Roman" w:hAnsi="Times New Roman" w:eastAsia="宋体" w:cs="Times New Roman"/>
                      <w:color w:val="auto"/>
                      <w:spacing w:val="-6"/>
                      <w:kern w:val="2"/>
                      <w:sz w:val="22"/>
                      <w:szCs w:val="22"/>
                      <w:lang w:val="en-US" w:eastAsia="zh-CN" w:bidi="ar-SA"/>
                    </w:rPr>
                  </w:pPr>
                  <w:r>
                    <w:rPr>
                      <w:rFonts w:hint="default" w:ascii="Times New Roman" w:hAnsi="Times New Roman" w:eastAsia="宋体" w:cs="Times New Roman"/>
                      <w:color w:val="auto"/>
                      <w:spacing w:val="-6"/>
                      <w:kern w:val="2"/>
                      <w:sz w:val="22"/>
                      <w:szCs w:val="22"/>
                      <w:lang w:val="en-US" w:eastAsia="zh-CN" w:bidi="ar-SA"/>
                    </w:rPr>
                    <w:t>0.479</w:t>
                  </w:r>
                </w:p>
              </w:tc>
              <w:tc>
                <w:tcPr>
                  <w:tcW w:w="1535" w:type="dxa"/>
                  <w:tcBorders>
                    <w:tl2br w:val="nil"/>
                    <w:tr2bl w:val="nil"/>
                  </w:tcBorders>
                  <w:noWrap w:val="0"/>
                  <w:vAlign w:val="center"/>
                </w:tcPr>
                <w:p w14:paraId="0164A2AD">
                  <w:pPr>
                    <w:widowControl/>
                    <w:jc w:val="center"/>
                    <w:rPr>
                      <w:rFonts w:hint="default" w:ascii="Times New Roman" w:hAnsi="Times New Roman" w:eastAsia="宋体" w:cs="Times New Roman"/>
                      <w:color w:val="auto"/>
                      <w:spacing w:val="-6"/>
                      <w:kern w:val="2"/>
                      <w:sz w:val="22"/>
                      <w:szCs w:val="22"/>
                      <w:lang w:val="en-US" w:eastAsia="zh-CN" w:bidi="ar-SA"/>
                    </w:rPr>
                  </w:pPr>
                  <w:r>
                    <w:rPr>
                      <w:rFonts w:hint="default" w:ascii="Times New Roman" w:hAnsi="Times New Roman" w:eastAsia="宋体" w:cs="Times New Roman"/>
                      <w:color w:val="auto"/>
                      <w:spacing w:val="-6"/>
                      <w:kern w:val="2"/>
                      <w:sz w:val="22"/>
                      <w:szCs w:val="22"/>
                      <w:lang w:val="en-US" w:eastAsia="zh-CN" w:bidi="ar-SA"/>
                    </w:rPr>
                    <w:t>0.016</w:t>
                  </w:r>
                </w:p>
              </w:tc>
            </w:tr>
            <w:tr w14:paraId="1C5C97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2" w:type="dxa"/>
                  <w:vMerge w:val="continue"/>
                  <w:tcBorders>
                    <w:tl2br w:val="nil"/>
                    <w:tr2bl w:val="nil"/>
                  </w:tcBorders>
                  <w:noWrap w:val="0"/>
                  <w:vAlign w:val="center"/>
                </w:tcPr>
                <w:p w14:paraId="2F36E120">
                  <w:pPr>
                    <w:widowControl/>
                    <w:jc w:val="center"/>
                    <w:rPr>
                      <w:rFonts w:hint="default" w:ascii="Times New Roman" w:hAnsi="Times New Roman" w:eastAsia="宋体" w:cs="Times New Roman"/>
                      <w:color w:val="auto"/>
                      <w:spacing w:val="-6"/>
                      <w:sz w:val="22"/>
                      <w:szCs w:val="22"/>
                    </w:rPr>
                  </w:pPr>
                </w:p>
              </w:tc>
              <w:tc>
                <w:tcPr>
                  <w:tcW w:w="1743" w:type="dxa"/>
                  <w:tcBorders>
                    <w:tl2br w:val="nil"/>
                    <w:tr2bl w:val="nil"/>
                  </w:tcBorders>
                  <w:noWrap w:val="0"/>
                  <w:vAlign w:val="center"/>
                </w:tcPr>
                <w:p w14:paraId="1F0CF20D">
                  <w:pPr>
                    <w:widowControl/>
                    <w:jc w:val="center"/>
                    <w:rPr>
                      <w:rFonts w:hint="default" w:ascii="Times New Roman" w:hAnsi="Times New Roman" w:eastAsia="宋体" w:cs="Times New Roman"/>
                      <w:color w:val="auto"/>
                      <w:spacing w:val="-6"/>
                      <w:sz w:val="22"/>
                      <w:szCs w:val="22"/>
                      <w:highlight w:val="none"/>
                    </w:rPr>
                  </w:pPr>
                  <w:r>
                    <w:rPr>
                      <w:rFonts w:hint="default" w:ascii="Times New Roman" w:hAnsi="Times New Roman" w:eastAsia="宋体" w:cs="Times New Roman"/>
                      <w:color w:val="auto"/>
                      <w:spacing w:val="-6"/>
                      <w:sz w:val="22"/>
                      <w:szCs w:val="22"/>
                      <w:highlight w:val="none"/>
                    </w:rPr>
                    <w:t>SS</w:t>
                  </w:r>
                </w:p>
              </w:tc>
              <w:tc>
                <w:tcPr>
                  <w:tcW w:w="730" w:type="dxa"/>
                  <w:tcBorders>
                    <w:tl2br w:val="nil"/>
                    <w:tr2bl w:val="nil"/>
                  </w:tcBorders>
                  <w:noWrap w:val="0"/>
                  <w:vAlign w:val="center"/>
                </w:tcPr>
                <w:p w14:paraId="30132567">
                  <w:pPr>
                    <w:widowControl/>
                    <w:jc w:val="center"/>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spacing w:val="-6"/>
                      <w:sz w:val="22"/>
                      <w:szCs w:val="22"/>
                    </w:rPr>
                    <w:t>t/a</w:t>
                  </w:r>
                </w:p>
              </w:tc>
              <w:tc>
                <w:tcPr>
                  <w:tcW w:w="1535" w:type="dxa"/>
                  <w:tcBorders>
                    <w:tl2br w:val="nil"/>
                    <w:tr2bl w:val="nil"/>
                  </w:tcBorders>
                  <w:noWrap w:val="0"/>
                  <w:vAlign w:val="center"/>
                </w:tcPr>
                <w:p w14:paraId="36E5B910">
                  <w:pPr>
                    <w:widowControl/>
                    <w:jc w:val="center"/>
                    <w:rPr>
                      <w:rFonts w:hint="default" w:ascii="Times New Roman" w:hAnsi="Times New Roman" w:eastAsia="宋体" w:cs="Times New Roman"/>
                      <w:color w:val="auto"/>
                      <w:spacing w:val="-6"/>
                      <w:kern w:val="2"/>
                      <w:sz w:val="22"/>
                      <w:szCs w:val="22"/>
                      <w:lang w:val="en-US" w:eastAsia="zh-CN" w:bidi="ar-SA"/>
                    </w:rPr>
                  </w:pPr>
                  <w:r>
                    <w:rPr>
                      <w:rFonts w:hint="default" w:ascii="Times New Roman" w:hAnsi="Times New Roman" w:eastAsia="宋体" w:cs="Times New Roman"/>
                      <w:color w:val="auto"/>
                      <w:spacing w:val="-6"/>
                      <w:kern w:val="2"/>
                      <w:sz w:val="22"/>
                      <w:szCs w:val="22"/>
                      <w:lang w:val="en-US" w:eastAsia="zh-CN" w:bidi="ar-SA"/>
                    </w:rPr>
                    <w:t>0.639</w:t>
                  </w:r>
                </w:p>
              </w:tc>
              <w:tc>
                <w:tcPr>
                  <w:tcW w:w="1535" w:type="dxa"/>
                  <w:tcBorders>
                    <w:tl2br w:val="nil"/>
                    <w:tr2bl w:val="nil"/>
                  </w:tcBorders>
                  <w:noWrap w:val="0"/>
                  <w:vAlign w:val="center"/>
                </w:tcPr>
                <w:p w14:paraId="0FC73626">
                  <w:pPr>
                    <w:widowControl/>
                    <w:jc w:val="center"/>
                    <w:rPr>
                      <w:rFonts w:hint="default" w:ascii="Times New Roman" w:hAnsi="Times New Roman" w:eastAsia="宋体" w:cs="Times New Roman"/>
                      <w:color w:val="auto"/>
                      <w:spacing w:val="-6"/>
                      <w:kern w:val="2"/>
                      <w:sz w:val="22"/>
                      <w:szCs w:val="22"/>
                      <w:lang w:val="en-US" w:eastAsia="zh-CN" w:bidi="ar-SA"/>
                    </w:rPr>
                  </w:pPr>
                  <w:r>
                    <w:rPr>
                      <w:rFonts w:hint="default" w:ascii="Times New Roman" w:hAnsi="Times New Roman" w:eastAsia="宋体" w:cs="Times New Roman"/>
                      <w:color w:val="auto"/>
                      <w:spacing w:val="-6"/>
                      <w:kern w:val="2"/>
                      <w:sz w:val="22"/>
                      <w:szCs w:val="22"/>
                      <w:lang w:val="en-US" w:eastAsia="zh-CN" w:bidi="ar-SA"/>
                    </w:rPr>
                    <w:t>0.016</w:t>
                  </w:r>
                </w:p>
              </w:tc>
            </w:tr>
            <w:tr w14:paraId="4E9F4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2" w:type="dxa"/>
                  <w:vMerge w:val="continue"/>
                  <w:tcBorders>
                    <w:tl2br w:val="nil"/>
                    <w:tr2bl w:val="nil"/>
                  </w:tcBorders>
                  <w:noWrap w:val="0"/>
                  <w:vAlign w:val="center"/>
                </w:tcPr>
                <w:p w14:paraId="77B16A6D">
                  <w:pPr>
                    <w:widowControl/>
                    <w:jc w:val="center"/>
                    <w:rPr>
                      <w:rFonts w:hint="default" w:ascii="Times New Roman" w:hAnsi="Times New Roman" w:eastAsia="宋体" w:cs="Times New Roman"/>
                      <w:color w:val="auto"/>
                      <w:spacing w:val="-6"/>
                      <w:sz w:val="22"/>
                      <w:szCs w:val="22"/>
                    </w:rPr>
                  </w:pPr>
                </w:p>
              </w:tc>
              <w:tc>
                <w:tcPr>
                  <w:tcW w:w="1743" w:type="dxa"/>
                  <w:tcBorders>
                    <w:tl2br w:val="nil"/>
                    <w:tr2bl w:val="nil"/>
                  </w:tcBorders>
                  <w:noWrap w:val="0"/>
                  <w:vAlign w:val="center"/>
                </w:tcPr>
                <w:p w14:paraId="2549364E">
                  <w:pPr>
                    <w:widowControl/>
                    <w:jc w:val="center"/>
                    <w:rPr>
                      <w:rFonts w:hint="default" w:ascii="Times New Roman" w:hAnsi="Times New Roman" w:eastAsia="宋体" w:cs="Times New Roman"/>
                      <w:color w:val="auto"/>
                      <w:spacing w:val="-6"/>
                      <w:sz w:val="22"/>
                      <w:szCs w:val="22"/>
                      <w:highlight w:val="none"/>
                    </w:rPr>
                  </w:pPr>
                  <w:r>
                    <w:rPr>
                      <w:rFonts w:hint="default" w:ascii="Times New Roman" w:hAnsi="Times New Roman" w:eastAsia="宋体" w:cs="Times New Roman"/>
                      <w:color w:val="auto"/>
                      <w:spacing w:val="-6"/>
                      <w:sz w:val="22"/>
                      <w:szCs w:val="22"/>
                      <w:highlight w:val="none"/>
                    </w:rPr>
                    <w:t>氨氮</w:t>
                  </w:r>
                </w:p>
              </w:tc>
              <w:tc>
                <w:tcPr>
                  <w:tcW w:w="730" w:type="dxa"/>
                  <w:tcBorders>
                    <w:tl2br w:val="nil"/>
                    <w:tr2bl w:val="nil"/>
                  </w:tcBorders>
                  <w:noWrap w:val="0"/>
                  <w:vAlign w:val="center"/>
                </w:tcPr>
                <w:p w14:paraId="59601A94">
                  <w:pPr>
                    <w:widowControl/>
                    <w:jc w:val="center"/>
                    <w:rPr>
                      <w:rFonts w:hint="default" w:ascii="Times New Roman" w:hAnsi="Times New Roman" w:eastAsia="宋体" w:cs="Times New Roman"/>
                      <w:color w:val="auto"/>
                      <w:spacing w:val="-6"/>
                      <w:sz w:val="22"/>
                      <w:szCs w:val="22"/>
                    </w:rPr>
                  </w:pPr>
                  <w:r>
                    <w:rPr>
                      <w:rFonts w:hint="default" w:ascii="Times New Roman" w:hAnsi="Times New Roman" w:eastAsia="宋体" w:cs="Times New Roman"/>
                      <w:color w:val="auto"/>
                      <w:spacing w:val="-6"/>
                      <w:sz w:val="22"/>
                      <w:szCs w:val="22"/>
                    </w:rPr>
                    <w:t>t/a</w:t>
                  </w:r>
                </w:p>
              </w:tc>
              <w:tc>
                <w:tcPr>
                  <w:tcW w:w="1535" w:type="dxa"/>
                  <w:tcBorders>
                    <w:tl2br w:val="nil"/>
                    <w:tr2bl w:val="nil"/>
                  </w:tcBorders>
                  <w:noWrap w:val="0"/>
                  <w:vAlign w:val="center"/>
                </w:tcPr>
                <w:p w14:paraId="3BBB19F2">
                  <w:pPr>
                    <w:widowControl/>
                    <w:jc w:val="center"/>
                    <w:rPr>
                      <w:rFonts w:hint="default" w:ascii="Times New Roman" w:hAnsi="Times New Roman" w:eastAsia="宋体" w:cs="Times New Roman"/>
                      <w:color w:val="auto"/>
                      <w:spacing w:val="-6"/>
                      <w:kern w:val="2"/>
                      <w:sz w:val="22"/>
                      <w:szCs w:val="22"/>
                      <w:lang w:val="en-US" w:eastAsia="zh-CN" w:bidi="ar-SA"/>
                    </w:rPr>
                  </w:pPr>
                  <w:r>
                    <w:rPr>
                      <w:rFonts w:hint="default" w:ascii="Times New Roman" w:hAnsi="Times New Roman" w:eastAsia="宋体" w:cs="Times New Roman"/>
                      <w:color w:val="auto"/>
                      <w:spacing w:val="-6"/>
                      <w:kern w:val="2"/>
                      <w:sz w:val="22"/>
                      <w:szCs w:val="22"/>
                      <w:lang w:val="en-US" w:eastAsia="zh-CN" w:bidi="ar-SA"/>
                    </w:rPr>
                    <w:t>0.072</w:t>
                  </w:r>
                </w:p>
              </w:tc>
              <w:tc>
                <w:tcPr>
                  <w:tcW w:w="1535" w:type="dxa"/>
                  <w:tcBorders>
                    <w:tl2br w:val="nil"/>
                    <w:tr2bl w:val="nil"/>
                  </w:tcBorders>
                  <w:noWrap w:val="0"/>
                  <w:vAlign w:val="center"/>
                </w:tcPr>
                <w:p w14:paraId="3190F8A9">
                  <w:pPr>
                    <w:widowControl/>
                    <w:jc w:val="center"/>
                    <w:rPr>
                      <w:rFonts w:hint="default" w:ascii="Times New Roman" w:hAnsi="Times New Roman" w:eastAsia="宋体" w:cs="Times New Roman"/>
                      <w:color w:val="auto"/>
                      <w:spacing w:val="-6"/>
                      <w:kern w:val="2"/>
                      <w:sz w:val="22"/>
                      <w:szCs w:val="22"/>
                      <w:lang w:val="en-US" w:eastAsia="zh-CN" w:bidi="ar-SA"/>
                    </w:rPr>
                  </w:pPr>
                  <w:r>
                    <w:rPr>
                      <w:rFonts w:hint="default" w:ascii="Times New Roman" w:hAnsi="Times New Roman" w:eastAsia="宋体" w:cs="Times New Roman"/>
                      <w:color w:val="auto"/>
                      <w:spacing w:val="-6"/>
                      <w:kern w:val="2"/>
                      <w:sz w:val="22"/>
                      <w:szCs w:val="22"/>
                      <w:lang w:val="en-US" w:eastAsia="zh-CN" w:bidi="ar-SA"/>
                    </w:rPr>
                    <w:t>0.008</w:t>
                  </w:r>
                </w:p>
              </w:tc>
            </w:tr>
          </w:tbl>
          <w:p w14:paraId="439F03F3">
            <w:pPr>
              <w:adjustRightInd w:val="0"/>
              <w:snapToGrid w:val="0"/>
              <w:spacing w:line="460" w:lineRule="exact"/>
              <w:ind w:firstLine="520" w:firstLineChars="200"/>
              <w:jc w:val="left"/>
              <w:rPr>
                <w:rFonts w:hint="default" w:ascii="Times New Roman" w:hAnsi="Times New Roman" w:eastAsia="宋体" w:cs="Times New Roman"/>
                <w:color w:val="auto"/>
                <w:sz w:val="26"/>
                <w:szCs w:val="26"/>
                <w:lang w:val="en-US" w:eastAsia="zh-CN"/>
              </w:rPr>
            </w:pPr>
          </w:p>
          <w:p w14:paraId="5642A457">
            <w:pPr>
              <w:spacing w:line="460" w:lineRule="exact"/>
              <w:rPr>
                <w:rFonts w:ascii="Times New Roman" w:hAnsi="Times New Roman"/>
                <w:b/>
                <w:color w:val="auto"/>
                <w:sz w:val="26"/>
                <w:szCs w:val="26"/>
              </w:rPr>
            </w:pPr>
            <w:r>
              <w:rPr>
                <w:rFonts w:hint="eastAsia" w:ascii="Times New Roman" w:hAnsi="Times New Roman"/>
                <w:b/>
                <w:color w:val="auto"/>
                <w:sz w:val="26"/>
                <w:szCs w:val="26"/>
              </w:rPr>
              <w:t>2.1</w:t>
            </w:r>
            <w:r>
              <w:rPr>
                <w:rFonts w:hint="eastAsia" w:ascii="Times New Roman" w:hAnsi="Times New Roman"/>
                <w:b/>
                <w:color w:val="auto"/>
                <w:sz w:val="26"/>
                <w:szCs w:val="26"/>
                <w:lang w:val="en-US" w:eastAsia="zh-CN"/>
              </w:rPr>
              <w:t>7</w:t>
            </w:r>
            <w:r>
              <w:rPr>
                <w:rFonts w:ascii="Times New Roman" w:hAnsi="Times New Roman"/>
                <w:b/>
                <w:color w:val="auto"/>
                <w:sz w:val="26"/>
                <w:szCs w:val="26"/>
              </w:rPr>
              <w:t>与现有项目有关的主要环境问题及整改措施</w:t>
            </w:r>
          </w:p>
          <w:p w14:paraId="054F52C8">
            <w:pPr>
              <w:adjustRightInd w:val="0"/>
              <w:snapToGrid w:val="0"/>
              <w:spacing w:line="460" w:lineRule="exact"/>
              <w:ind w:firstLine="520" w:firstLineChars="200"/>
              <w:jc w:val="left"/>
              <w:rPr>
                <w:rFonts w:hint="eastAsia" w:ascii="Times New Roman" w:hAnsi="Times New Roman" w:eastAsia="宋体" w:cs="Times New Roman"/>
                <w:bCs/>
                <w:color w:val="auto"/>
                <w:sz w:val="26"/>
                <w:szCs w:val="26"/>
                <w:lang w:eastAsia="zh-CN"/>
              </w:rPr>
            </w:pPr>
            <w:r>
              <w:rPr>
                <w:rFonts w:hint="eastAsia" w:ascii="Times New Roman" w:hAnsi="Times New Roman" w:eastAsia="宋体" w:cs="Times New Roman"/>
                <w:bCs/>
                <w:color w:val="auto"/>
                <w:sz w:val="26"/>
                <w:szCs w:val="26"/>
              </w:rPr>
              <w:t>根据现场踏勘和收集的资料，现厂区无环保投诉，未发生环境污染事故，不存在与本项目有关的原有环境污染问题</w:t>
            </w:r>
            <w:r>
              <w:rPr>
                <w:rFonts w:hint="eastAsia" w:ascii="Times New Roman" w:hAnsi="Times New Roman" w:eastAsia="宋体" w:cs="Times New Roman"/>
                <w:bCs/>
                <w:color w:val="auto"/>
                <w:sz w:val="26"/>
                <w:szCs w:val="26"/>
                <w:lang w:eastAsia="zh-CN"/>
              </w:rPr>
              <w:t>。</w:t>
            </w:r>
          </w:p>
          <w:p w14:paraId="41EA7213">
            <w:pPr>
              <w:pStyle w:val="20"/>
              <w:jc w:val="center"/>
              <w:outlineLvl w:val="0"/>
              <w:rPr>
                <w:rFonts w:hint="default" w:ascii="Times New Roman" w:hAnsi="Times New Roman" w:eastAsia="黑体" w:cs="Times New Roman"/>
                <w:snapToGrid w:val="0"/>
                <w:color w:val="auto"/>
                <w:sz w:val="30"/>
                <w:szCs w:val="30"/>
                <w:vertAlign w:val="baseline"/>
              </w:rPr>
            </w:pPr>
          </w:p>
          <w:p w14:paraId="372224A6">
            <w:pPr>
              <w:pStyle w:val="20"/>
              <w:jc w:val="center"/>
              <w:outlineLvl w:val="0"/>
              <w:rPr>
                <w:rFonts w:hint="default" w:ascii="Times New Roman" w:hAnsi="Times New Roman" w:eastAsia="黑体" w:cs="Times New Roman"/>
                <w:snapToGrid w:val="0"/>
                <w:color w:val="auto"/>
                <w:sz w:val="30"/>
                <w:szCs w:val="30"/>
                <w:vertAlign w:val="baseline"/>
              </w:rPr>
            </w:pPr>
          </w:p>
          <w:p w14:paraId="428EA5CE">
            <w:pPr>
              <w:pStyle w:val="20"/>
              <w:jc w:val="center"/>
              <w:outlineLvl w:val="0"/>
              <w:rPr>
                <w:rFonts w:hint="default" w:ascii="Times New Roman" w:hAnsi="Times New Roman" w:eastAsia="黑体" w:cs="Times New Roman"/>
                <w:snapToGrid w:val="0"/>
                <w:color w:val="auto"/>
                <w:sz w:val="30"/>
                <w:szCs w:val="30"/>
                <w:vertAlign w:val="baseline"/>
              </w:rPr>
            </w:pPr>
          </w:p>
          <w:p w14:paraId="62EC4A4E">
            <w:pPr>
              <w:pStyle w:val="20"/>
              <w:jc w:val="center"/>
              <w:outlineLvl w:val="0"/>
              <w:rPr>
                <w:rFonts w:hint="default" w:ascii="Times New Roman" w:hAnsi="Times New Roman" w:eastAsia="黑体" w:cs="Times New Roman"/>
                <w:snapToGrid w:val="0"/>
                <w:color w:val="auto"/>
                <w:sz w:val="30"/>
                <w:szCs w:val="30"/>
                <w:vertAlign w:val="baseline"/>
              </w:rPr>
            </w:pPr>
          </w:p>
          <w:p w14:paraId="74315443">
            <w:pPr>
              <w:pStyle w:val="20"/>
              <w:jc w:val="both"/>
              <w:outlineLvl w:val="0"/>
              <w:rPr>
                <w:rFonts w:hint="default" w:ascii="Times New Roman" w:hAnsi="Times New Roman" w:eastAsia="黑体" w:cs="Times New Roman"/>
                <w:snapToGrid w:val="0"/>
                <w:color w:val="auto"/>
                <w:sz w:val="30"/>
                <w:szCs w:val="30"/>
                <w:vertAlign w:val="baseline"/>
              </w:rPr>
            </w:pPr>
          </w:p>
        </w:tc>
      </w:tr>
    </w:tbl>
    <w:p w14:paraId="1B233CCC">
      <w:pPr>
        <w:pStyle w:val="20"/>
        <w:jc w:val="center"/>
        <w:outlineLvl w:val="0"/>
        <w:rPr>
          <w:rFonts w:hint="default" w:ascii="Times New Roman" w:hAnsi="Times New Roman" w:eastAsia="黑体" w:cs="Times New Roman"/>
          <w:snapToGrid w:val="0"/>
          <w:color w:val="auto"/>
          <w:sz w:val="30"/>
          <w:szCs w:val="30"/>
        </w:rPr>
      </w:pPr>
    </w:p>
    <w:p w14:paraId="5CC41D57">
      <w:pPr>
        <w:pStyle w:val="20"/>
        <w:jc w:val="center"/>
        <w:outlineLvl w:val="0"/>
        <w:rPr>
          <w:rFonts w:hint="default" w:ascii="Times New Roman" w:hAnsi="Times New Roman" w:eastAsia="黑体" w:cs="Times New Roman"/>
          <w:snapToGrid w:val="0"/>
          <w:color w:val="auto"/>
          <w:sz w:val="30"/>
          <w:szCs w:val="30"/>
        </w:rPr>
      </w:pPr>
    </w:p>
    <w:p w14:paraId="78B709E8">
      <w:pPr>
        <w:pStyle w:val="20"/>
        <w:jc w:val="center"/>
        <w:outlineLvl w:val="0"/>
        <w:rPr>
          <w:rFonts w:hint="default" w:ascii="Times New Roman" w:hAnsi="Times New Roman" w:eastAsia="黑体" w:cs="Times New Roman"/>
          <w:snapToGrid w:val="0"/>
          <w:color w:val="auto"/>
          <w:sz w:val="30"/>
          <w:szCs w:val="30"/>
        </w:rPr>
      </w:pPr>
    </w:p>
    <w:p w14:paraId="71509E8C">
      <w:pPr>
        <w:pStyle w:val="20"/>
        <w:jc w:val="center"/>
        <w:outlineLvl w:val="0"/>
        <w:rPr>
          <w:rFonts w:hint="default" w:ascii="Times New Roman" w:hAnsi="Times New Roman" w:eastAsia="黑体" w:cs="Times New Roman"/>
          <w:snapToGrid w:val="0"/>
          <w:color w:val="auto"/>
          <w:sz w:val="30"/>
          <w:szCs w:val="30"/>
        </w:rPr>
      </w:pPr>
    </w:p>
    <w:p w14:paraId="0F31FDAB">
      <w:pPr>
        <w:pStyle w:val="2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三、区域环境质量现状、环境保护目标及评价标准</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44168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525" w:hRule="atLeast"/>
          <w:jc w:val="center"/>
        </w:trPr>
        <w:tc>
          <w:tcPr>
            <w:tcW w:w="800" w:type="dxa"/>
            <w:tcBorders>
              <w:tl2br w:val="nil"/>
              <w:tr2bl w:val="nil"/>
            </w:tcBorders>
            <w:noWrap w:val="0"/>
            <w:vAlign w:val="center"/>
          </w:tcPr>
          <w:p w14:paraId="25985397">
            <w:pPr>
              <w:adjustRightInd w:val="0"/>
              <w:snapToGrid w:val="0"/>
              <w:jc w:val="center"/>
              <w:rPr>
                <w:rFonts w:hint="default" w:ascii="Times New Roman" w:hAnsi="Times New Roman" w:cs="Times New Roman"/>
                <w:color w:val="auto"/>
                <w:kern w:val="0"/>
                <w:sz w:val="26"/>
                <w:szCs w:val="26"/>
              </w:rPr>
            </w:pPr>
            <w:r>
              <w:rPr>
                <w:rFonts w:hint="default" w:ascii="Times New Roman" w:hAnsi="Times New Roman" w:cs="Times New Roman"/>
                <w:color w:val="auto"/>
                <w:kern w:val="0"/>
                <w:sz w:val="26"/>
                <w:szCs w:val="26"/>
              </w:rPr>
              <w:t>区域</w:t>
            </w:r>
          </w:p>
          <w:p w14:paraId="61ACCBFA">
            <w:pPr>
              <w:adjustRightInd w:val="0"/>
              <w:snapToGrid w:val="0"/>
              <w:jc w:val="center"/>
              <w:rPr>
                <w:rFonts w:hint="default" w:ascii="Times New Roman" w:hAnsi="Times New Roman" w:cs="Times New Roman"/>
                <w:color w:val="auto"/>
                <w:kern w:val="0"/>
                <w:sz w:val="26"/>
                <w:szCs w:val="26"/>
              </w:rPr>
            </w:pPr>
            <w:r>
              <w:rPr>
                <w:rFonts w:hint="default" w:ascii="Times New Roman" w:hAnsi="Times New Roman" w:cs="Times New Roman"/>
                <w:color w:val="auto"/>
                <w:kern w:val="0"/>
                <w:sz w:val="26"/>
                <w:szCs w:val="26"/>
              </w:rPr>
              <w:t>环境</w:t>
            </w:r>
          </w:p>
          <w:p w14:paraId="5C0E702C">
            <w:pPr>
              <w:adjustRightInd w:val="0"/>
              <w:snapToGrid w:val="0"/>
              <w:jc w:val="center"/>
              <w:rPr>
                <w:rFonts w:hint="default" w:ascii="Times New Roman" w:hAnsi="Times New Roman" w:cs="Times New Roman"/>
                <w:color w:val="auto"/>
                <w:kern w:val="0"/>
                <w:sz w:val="26"/>
                <w:szCs w:val="26"/>
              </w:rPr>
            </w:pPr>
            <w:r>
              <w:rPr>
                <w:rFonts w:hint="default" w:ascii="Times New Roman" w:hAnsi="Times New Roman" w:cs="Times New Roman"/>
                <w:color w:val="auto"/>
                <w:kern w:val="0"/>
                <w:sz w:val="26"/>
                <w:szCs w:val="26"/>
              </w:rPr>
              <w:t>质量</w:t>
            </w:r>
          </w:p>
          <w:p w14:paraId="402E62F2">
            <w:pPr>
              <w:adjustRightInd w:val="0"/>
              <w:snapToGrid w:val="0"/>
              <w:jc w:val="center"/>
              <w:rPr>
                <w:rFonts w:hint="default" w:ascii="Times New Roman" w:hAnsi="Times New Roman" w:cs="Times New Roman"/>
                <w:color w:val="auto"/>
                <w:kern w:val="0"/>
                <w:sz w:val="26"/>
                <w:szCs w:val="26"/>
              </w:rPr>
            </w:pPr>
            <w:r>
              <w:rPr>
                <w:rFonts w:hint="default" w:ascii="Times New Roman" w:hAnsi="Times New Roman" w:cs="Times New Roman"/>
                <w:color w:val="auto"/>
                <w:kern w:val="0"/>
                <w:sz w:val="26"/>
                <w:szCs w:val="26"/>
              </w:rPr>
              <w:t>现状</w:t>
            </w:r>
          </w:p>
        </w:tc>
        <w:tc>
          <w:tcPr>
            <w:tcW w:w="8190" w:type="dxa"/>
            <w:tcBorders>
              <w:tl2br w:val="nil"/>
              <w:tr2bl w:val="nil"/>
            </w:tcBorders>
            <w:noWrap w:val="0"/>
            <w:vAlign w:val="center"/>
          </w:tcPr>
          <w:p w14:paraId="3DBE210B">
            <w:pPr>
              <w:adjustRightInd w:val="0"/>
              <w:snapToGrid w:val="0"/>
              <w:spacing w:line="460" w:lineRule="exact"/>
              <w:jc w:val="left"/>
              <w:rPr>
                <w:rFonts w:ascii="Times New Roman" w:hAnsi="Times New Roman"/>
                <w:b/>
                <w:bCs/>
                <w:color w:val="auto"/>
                <w:sz w:val="26"/>
                <w:szCs w:val="26"/>
              </w:rPr>
            </w:pPr>
            <w:r>
              <w:rPr>
                <w:rFonts w:ascii="Times New Roman" w:hAnsi="Times New Roman"/>
                <w:b/>
                <w:bCs/>
                <w:color w:val="auto"/>
                <w:sz w:val="26"/>
                <w:szCs w:val="26"/>
              </w:rPr>
              <w:t>3.1区域环境质量现状</w:t>
            </w:r>
          </w:p>
          <w:p w14:paraId="45AB1254">
            <w:pPr>
              <w:adjustRightInd w:val="0"/>
              <w:snapToGrid w:val="0"/>
              <w:spacing w:line="460" w:lineRule="exact"/>
              <w:jc w:val="left"/>
              <w:rPr>
                <w:rFonts w:hint="default" w:ascii="Times New Roman" w:hAnsi="Times New Roman" w:eastAsia="宋体"/>
                <w:b/>
                <w:color w:val="auto"/>
                <w:sz w:val="26"/>
                <w:szCs w:val="26"/>
                <w:lang w:val="en-US" w:eastAsia="zh-CN"/>
              </w:rPr>
            </w:pPr>
            <w:r>
              <w:rPr>
                <w:rFonts w:ascii="Times New Roman" w:hAnsi="Times New Roman"/>
                <w:b/>
                <w:color w:val="auto"/>
                <w:sz w:val="26"/>
                <w:szCs w:val="26"/>
              </w:rPr>
              <w:t>3.1.1</w:t>
            </w:r>
            <w:r>
              <w:rPr>
                <w:rFonts w:hint="eastAsia" w:ascii="Times New Roman" w:hAnsi="Times New Roman"/>
                <w:b/>
                <w:color w:val="auto"/>
                <w:sz w:val="26"/>
                <w:szCs w:val="26"/>
                <w:lang w:val="en-US" w:eastAsia="zh-CN"/>
              </w:rPr>
              <w:t>区域达标评价</w:t>
            </w:r>
          </w:p>
          <w:p w14:paraId="1D4C553A">
            <w:pPr>
              <w:autoSpaceDE w:val="0"/>
              <w:autoSpaceDN w:val="0"/>
              <w:adjustRightInd w:val="0"/>
              <w:spacing w:line="460" w:lineRule="exact"/>
              <w:ind w:firstLine="520" w:firstLineChars="200"/>
              <w:rPr>
                <w:rFonts w:ascii="Times New Roman" w:hAnsi="Times New Roman"/>
                <w:color w:val="auto"/>
                <w:sz w:val="26"/>
                <w:szCs w:val="26"/>
              </w:rPr>
            </w:pPr>
            <w:r>
              <w:rPr>
                <w:rFonts w:ascii="Times New Roman" w:hAnsi="Times New Roman"/>
                <w:color w:val="auto"/>
                <w:sz w:val="26"/>
                <w:szCs w:val="26"/>
              </w:rPr>
              <w:t>根据《重庆市人民政府关于印发重庆市环境空气质量功能区划分规定的通知》（渝府发〔2016〕19号规定），本项目所在地环境空气功能区划为二类区，环境空气质量执行《环境空气质量标准》（GB3095-2012）中二级标准。</w:t>
            </w:r>
          </w:p>
          <w:p w14:paraId="10AEE30C">
            <w:pPr>
              <w:autoSpaceDE w:val="0"/>
              <w:autoSpaceDN w:val="0"/>
              <w:adjustRightInd w:val="0"/>
              <w:spacing w:line="460" w:lineRule="exact"/>
              <w:ind w:firstLine="520" w:firstLineChars="200"/>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本评价采用重庆市生态环境局公布的《202</w:t>
            </w:r>
            <w:r>
              <w:rPr>
                <w:rFonts w:hint="eastAsia" w:ascii="Times New Roman" w:hAnsi="Times New Roman" w:eastAsia="宋体" w:cs="Times New Roman"/>
                <w:color w:val="auto"/>
                <w:sz w:val="26"/>
                <w:szCs w:val="26"/>
                <w:lang w:val="en-US" w:eastAsia="zh-CN"/>
              </w:rPr>
              <w:t>4</w:t>
            </w:r>
            <w:r>
              <w:rPr>
                <w:rFonts w:ascii="Times New Roman" w:hAnsi="Times New Roman" w:eastAsia="宋体" w:cs="Times New Roman"/>
                <w:color w:val="auto"/>
                <w:sz w:val="26"/>
                <w:szCs w:val="26"/>
              </w:rPr>
              <w:t>年重庆市</w:t>
            </w:r>
            <w:r>
              <w:rPr>
                <w:rFonts w:hint="eastAsia" w:ascii="Times New Roman" w:hAnsi="Times New Roman" w:eastAsia="宋体" w:cs="Times New Roman"/>
                <w:color w:val="auto"/>
                <w:sz w:val="26"/>
                <w:szCs w:val="26"/>
                <w:lang w:val="en-US" w:eastAsia="zh-CN"/>
              </w:rPr>
              <w:t>生态</w:t>
            </w:r>
            <w:r>
              <w:rPr>
                <w:rFonts w:ascii="Times New Roman" w:hAnsi="Times New Roman" w:eastAsia="宋体" w:cs="Times New Roman"/>
                <w:color w:val="auto"/>
                <w:sz w:val="26"/>
                <w:szCs w:val="26"/>
              </w:rPr>
              <w:t>环境状况公报》中</w:t>
            </w:r>
            <w:r>
              <w:rPr>
                <w:rFonts w:hint="eastAsia" w:ascii="Times New Roman" w:hAnsi="Times New Roman" w:eastAsia="宋体" w:cs="Times New Roman"/>
                <w:color w:val="auto"/>
                <w:sz w:val="26"/>
                <w:szCs w:val="26"/>
                <w:lang w:val="en-US" w:eastAsia="zh-CN"/>
              </w:rPr>
              <w:t>九龙坡</w:t>
            </w:r>
            <w:r>
              <w:rPr>
                <w:rFonts w:hint="eastAsia" w:ascii="Times New Roman" w:hAnsi="Times New Roman" w:eastAsia="宋体" w:cs="Times New Roman"/>
                <w:color w:val="auto"/>
                <w:sz w:val="26"/>
                <w:szCs w:val="26"/>
              </w:rPr>
              <w:t>区</w:t>
            </w:r>
            <w:r>
              <w:rPr>
                <w:rFonts w:ascii="Times New Roman" w:hAnsi="Times New Roman" w:eastAsia="宋体" w:cs="Times New Roman"/>
                <w:color w:val="auto"/>
                <w:sz w:val="26"/>
                <w:szCs w:val="26"/>
              </w:rPr>
              <w:t>环境空气质量现状数据，环境质量公报数据距今在3年内，符合HJ2.2-2018评价基准年数据要求。</w:t>
            </w:r>
          </w:p>
          <w:p w14:paraId="7C933B64">
            <w:pPr>
              <w:autoSpaceDE w:val="0"/>
              <w:autoSpaceDN w:val="0"/>
              <w:adjustRightInd w:val="0"/>
              <w:spacing w:line="460" w:lineRule="exact"/>
              <w:ind w:firstLine="520" w:firstLineChars="200"/>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区域</w:t>
            </w:r>
            <w:r>
              <w:rPr>
                <w:rFonts w:hint="eastAsia" w:ascii="Times New Roman" w:hAnsi="Times New Roman" w:eastAsia="宋体" w:cs="Times New Roman"/>
                <w:color w:val="auto"/>
                <w:sz w:val="26"/>
                <w:szCs w:val="26"/>
              </w:rPr>
              <w:t>大气</w:t>
            </w:r>
            <w:r>
              <w:rPr>
                <w:rFonts w:ascii="Times New Roman" w:hAnsi="Times New Roman" w:eastAsia="宋体" w:cs="Times New Roman"/>
                <w:color w:val="auto"/>
                <w:sz w:val="26"/>
                <w:szCs w:val="26"/>
              </w:rPr>
              <w:t>环境</w:t>
            </w:r>
            <w:r>
              <w:rPr>
                <w:rFonts w:hint="eastAsia" w:ascii="Times New Roman" w:hAnsi="Times New Roman" w:eastAsia="宋体" w:cs="Times New Roman"/>
                <w:color w:val="auto"/>
                <w:sz w:val="26"/>
                <w:szCs w:val="26"/>
              </w:rPr>
              <w:t>质量</w:t>
            </w:r>
            <w:r>
              <w:rPr>
                <w:rFonts w:ascii="Times New Roman" w:hAnsi="Times New Roman" w:eastAsia="宋体" w:cs="Times New Roman"/>
                <w:color w:val="auto"/>
                <w:sz w:val="26"/>
                <w:szCs w:val="26"/>
              </w:rPr>
              <w:t>现状评价见</w:t>
            </w:r>
            <w:r>
              <w:rPr>
                <w:rFonts w:hint="eastAsia" w:ascii="Times New Roman" w:hAnsi="Times New Roman" w:eastAsia="宋体" w:cs="Times New Roman"/>
                <w:color w:val="auto"/>
                <w:sz w:val="26"/>
                <w:szCs w:val="26"/>
              </w:rPr>
              <w:t>表</w:t>
            </w:r>
            <w:r>
              <w:rPr>
                <w:rFonts w:hint="eastAsia" w:ascii="Times New Roman" w:hAnsi="Times New Roman" w:eastAsia="宋体" w:cs="Times New Roman"/>
                <w:color w:val="auto"/>
                <w:sz w:val="26"/>
                <w:szCs w:val="26"/>
                <w:lang w:val="en-US" w:eastAsia="zh-CN"/>
              </w:rPr>
              <w:t>3.1-1</w:t>
            </w:r>
            <w:r>
              <w:rPr>
                <w:rFonts w:ascii="Times New Roman" w:hAnsi="Times New Roman" w:eastAsia="宋体" w:cs="Times New Roman"/>
                <w:color w:val="auto"/>
                <w:sz w:val="26"/>
                <w:szCs w:val="26"/>
              </w:rPr>
              <w:t>。</w:t>
            </w:r>
          </w:p>
          <w:p w14:paraId="08BDCF95">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b/>
                <w:bCs/>
                <w:color w:val="auto"/>
                <w:sz w:val="26"/>
                <w:szCs w:val="26"/>
              </w:rPr>
            </w:pPr>
            <w:r>
              <w:rPr>
                <w:rFonts w:ascii="Times New Roman" w:hAnsi="Times New Roman" w:eastAsia="宋体" w:cs="Times New Roman"/>
                <w:b/>
                <w:bCs/>
                <w:color w:val="auto"/>
                <w:sz w:val="26"/>
                <w:szCs w:val="26"/>
              </w:rPr>
              <w:t>表</w:t>
            </w:r>
            <w:r>
              <w:rPr>
                <w:rFonts w:hint="eastAsia" w:ascii="Times New Roman" w:hAnsi="Times New Roman" w:eastAsia="宋体" w:cs="Times New Roman"/>
                <w:b/>
                <w:bCs/>
                <w:color w:val="auto"/>
                <w:sz w:val="26"/>
                <w:szCs w:val="26"/>
              </w:rPr>
              <w:t xml:space="preserve">3.1-1  </w:t>
            </w:r>
            <w:r>
              <w:rPr>
                <w:rFonts w:hint="eastAsia" w:ascii="Times New Roman" w:hAnsi="Times New Roman" w:eastAsia="宋体" w:cs="Times New Roman"/>
                <w:b/>
                <w:bCs/>
                <w:color w:val="auto"/>
                <w:sz w:val="26"/>
                <w:szCs w:val="26"/>
                <w:lang w:val="en-US" w:eastAsia="zh-CN"/>
              </w:rPr>
              <w:t>九龙坡区</w:t>
            </w:r>
            <w:r>
              <w:rPr>
                <w:rFonts w:hint="default" w:ascii="Times New Roman" w:hAnsi="Times New Roman" w:eastAsia="宋体" w:cs="Times New Roman"/>
                <w:b/>
                <w:bCs/>
                <w:color w:val="auto"/>
                <w:sz w:val="26"/>
                <w:szCs w:val="26"/>
              </w:rPr>
              <w:t>202</w:t>
            </w:r>
            <w:r>
              <w:rPr>
                <w:rFonts w:hint="eastAsia" w:ascii="Times New Roman" w:hAnsi="Times New Roman" w:eastAsia="宋体" w:cs="Times New Roman"/>
                <w:b/>
                <w:bCs/>
                <w:color w:val="auto"/>
                <w:sz w:val="26"/>
                <w:szCs w:val="26"/>
                <w:lang w:val="en-US" w:eastAsia="zh-CN"/>
              </w:rPr>
              <w:t>4</w:t>
            </w:r>
            <w:r>
              <w:rPr>
                <w:rFonts w:hint="default" w:ascii="Times New Roman" w:hAnsi="Times New Roman" w:eastAsia="宋体" w:cs="Times New Roman"/>
                <w:b/>
                <w:bCs/>
                <w:color w:val="auto"/>
                <w:sz w:val="26"/>
                <w:szCs w:val="26"/>
              </w:rPr>
              <w:t>年基本环境污染物达标情况表  单位：μg/m</w:t>
            </w:r>
            <w:r>
              <w:rPr>
                <w:rFonts w:hint="default" w:ascii="Times New Roman" w:hAnsi="Times New Roman" w:eastAsia="宋体" w:cs="Times New Roman"/>
                <w:b/>
                <w:bCs/>
                <w:color w:val="auto"/>
                <w:sz w:val="26"/>
                <w:szCs w:val="26"/>
                <w:vertAlign w:val="superscript"/>
              </w:rPr>
              <w:t>3</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2060"/>
              <w:gridCol w:w="1086"/>
              <w:gridCol w:w="1118"/>
              <w:gridCol w:w="954"/>
              <w:gridCol w:w="1137"/>
            </w:tblGrid>
            <w:tr w14:paraId="6F2A08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jc w:val="center"/>
              </w:trPr>
              <w:tc>
                <w:tcPr>
                  <w:tcW w:w="1379" w:type="dxa"/>
                  <w:tcBorders>
                    <w:tl2br w:val="nil"/>
                    <w:tr2bl w:val="nil"/>
                  </w:tcBorders>
                  <w:noWrap w:val="0"/>
                  <w:vAlign w:val="center"/>
                </w:tcPr>
                <w:p w14:paraId="02A8A0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lang w:val="zh-CN"/>
                    </w:rPr>
                  </w:pPr>
                  <w:r>
                    <w:rPr>
                      <w:rFonts w:hint="default" w:ascii="Times New Roman" w:hAnsi="Times New Roman" w:eastAsia="宋体" w:cs="Times New Roman"/>
                      <w:snapToGrid w:val="0"/>
                      <w:color w:val="auto"/>
                      <w:kern w:val="0"/>
                      <w:sz w:val="22"/>
                      <w:szCs w:val="22"/>
                      <w:lang w:val="zh-CN"/>
                    </w:rPr>
                    <w:t>污染物</w:t>
                  </w:r>
                </w:p>
              </w:tc>
              <w:tc>
                <w:tcPr>
                  <w:tcW w:w="2106" w:type="dxa"/>
                  <w:tcBorders>
                    <w:tl2br w:val="nil"/>
                    <w:tr2bl w:val="nil"/>
                  </w:tcBorders>
                  <w:noWrap w:val="0"/>
                  <w:vAlign w:val="center"/>
                </w:tcPr>
                <w:p w14:paraId="582B7A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lang w:val="zh-CN"/>
                    </w:rPr>
                    <w:t>年评价指标</w:t>
                  </w:r>
                </w:p>
              </w:tc>
              <w:tc>
                <w:tcPr>
                  <w:tcW w:w="1108" w:type="dxa"/>
                  <w:tcBorders>
                    <w:tl2br w:val="nil"/>
                    <w:tr2bl w:val="nil"/>
                  </w:tcBorders>
                  <w:noWrap w:val="0"/>
                  <w:vAlign w:val="center"/>
                </w:tcPr>
                <w:p w14:paraId="37A3A6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lang w:val="zh-CN"/>
                    </w:rPr>
                  </w:pPr>
                  <w:r>
                    <w:rPr>
                      <w:rFonts w:hint="default" w:ascii="Times New Roman" w:hAnsi="Times New Roman" w:eastAsia="宋体" w:cs="Times New Roman"/>
                      <w:snapToGrid w:val="0"/>
                      <w:color w:val="auto"/>
                      <w:kern w:val="0"/>
                      <w:sz w:val="22"/>
                      <w:szCs w:val="22"/>
                      <w:lang w:val="zh-CN"/>
                    </w:rPr>
                    <w:t>现状浓度（</w:t>
                  </w:r>
                  <w:r>
                    <w:rPr>
                      <w:rFonts w:hint="default" w:ascii="Times New Roman" w:hAnsi="Times New Roman" w:eastAsia="宋体" w:cs="Times New Roman"/>
                      <w:snapToGrid w:val="0"/>
                      <w:color w:val="auto"/>
                      <w:kern w:val="0"/>
                      <w:sz w:val="22"/>
                      <w:szCs w:val="22"/>
                    </w:rPr>
                    <w:t>µg/m</w:t>
                  </w:r>
                  <w:r>
                    <w:rPr>
                      <w:rFonts w:hint="default" w:ascii="Times New Roman" w:hAnsi="Times New Roman" w:eastAsia="宋体" w:cs="Times New Roman"/>
                      <w:snapToGrid w:val="0"/>
                      <w:color w:val="auto"/>
                      <w:kern w:val="0"/>
                      <w:sz w:val="22"/>
                      <w:szCs w:val="22"/>
                      <w:vertAlign w:val="superscript"/>
                    </w:rPr>
                    <w:t>3</w:t>
                  </w:r>
                  <w:r>
                    <w:rPr>
                      <w:rFonts w:hint="default" w:ascii="Times New Roman" w:hAnsi="Times New Roman" w:eastAsia="宋体" w:cs="Times New Roman"/>
                      <w:snapToGrid w:val="0"/>
                      <w:color w:val="auto"/>
                      <w:kern w:val="0"/>
                      <w:sz w:val="22"/>
                      <w:szCs w:val="22"/>
                      <w:lang w:val="zh-CN"/>
                    </w:rPr>
                    <w:t>）</w:t>
                  </w:r>
                </w:p>
              </w:tc>
              <w:tc>
                <w:tcPr>
                  <w:tcW w:w="1140" w:type="dxa"/>
                  <w:tcBorders>
                    <w:tl2br w:val="nil"/>
                    <w:tr2bl w:val="nil"/>
                  </w:tcBorders>
                  <w:noWrap w:val="0"/>
                  <w:vAlign w:val="center"/>
                </w:tcPr>
                <w:p w14:paraId="0A9C9D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lang w:val="zh-CN"/>
                    </w:rPr>
                  </w:pPr>
                  <w:r>
                    <w:rPr>
                      <w:rFonts w:hint="default" w:ascii="Times New Roman" w:hAnsi="Times New Roman" w:eastAsia="宋体" w:cs="Times New Roman"/>
                      <w:snapToGrid w:val="0"/>
                      <w:color w:val="auto"/>
                      <w:kern w:val="0"/>
                      <w:sz w:val="22"/>
                      <w:szCs w:val="22"/>
                      <w:lang w:val="zh-CN"/>
                    </w:rPr>
                    <w:t>标准值（</w:t>
                  </w:r>
                  <w:r>
                    <w:rPr>
                      <w:rFonts w:hint="default" w:ascii="Times New Roman" w:hAnsi="Times New Roman" w:eastAsia="宋体" w:cs="Times New Roman"/>
                      <w:snapToGrid w:val="0"/>
                      <w:color w:val="auto"/>
                      <w:kern w:val="0"/>
                      <w:sz w:val="22"/>
                      <w:szCs w:val="22"/>
                    </w:rPr>
                    <w:t>µg/m</w:t>
                  </w:r>
                  <w:r>
                    <w:rPr>
                      <w:rFonts w:hint="default" w:ascii="Times New Roman" w:hAnsi="Times New Roman" w:eastAsia="宋体" w:cs="Times New Roman"/>
                      <w:snapToGrid w:val="0"/>
                      <w:color w:val="auto"/>
                      <w:kern w:val="0"/>
                      <w:sz w:val="22"/>
                      <w:szCs w:val="22"/>
                      <w:vertAlign w:val="superscript"/>
                    </w:rPr>
                    <w:t>3</w:t>
                  </w:r>
                  <w:r>
                    <w:rPr>
                      <w:rFonts w:hint="default" w:ascii="Times New Roman" w:hAnsi="Times New Roman" w:eastAsia="宋体" w:cs="Times New Roman"/>
                      <w:snapToGrid w:val="0"/>
                      <w:color w:val="auto"/>
                      <w:kern w:val="0"/>
                      <w:sz w:val="22"/>
                      <w:szCs w:val="22"/>
                      <w:lang w:val="zh-CN"/>
                    </w:rPr>
                    <w:t>）</w:t>
                  </w:r>
                </w:p>
              </w:tc>
              <w:tc>
                <w:tcPr>
                  <w:tcW w:w="972" w:type="dxa"/>
                  <w:tcBorders>
                    <w:tl2br w:val="nil"/>
                    <w:tr2bl w:val="nil"/>
                  </w:tcBorders>
                  <w:noWrap w:val="0"/>
                  <w:vAlign w:val="center"/>
                </w:tcPr>
                <w:p w14:paraId="7786CB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lang w:val="zh-CN"/>
                    </w:rPr>
                    <w:t>占标率</w:t>
                  </w:r>
                  <w:r>
                    <w:rPr>
                      <w:rFonts w:hint="default" w:ascii="Times New Roman" w:hAnsi="Times New Roman" w:eastAsia="宋体" w:cs="Times New Roman"/>
                      <w:snapToGrid w:val="0"/>
                      <w:color w:val="auto"/>
                      <w:kern w:val="0"/>
                      <w:sz w:val="22"/>
                      <w:szCs w:val="22"/>
                    </w:rPr>
                    <w:t>%</w:t>
                  </w:r>
                </w:p>
              </w:tc>
              <w:tc>
                <w:tcPr>
                  <w:tcW w:w="1160" w:type="dxa"/>
                  <w:tcBorders>
                    <w:tl2br w:val="nil"/>
                    <w:tr2bl w:val="nil"/>
                  </w:tcBorders>
                  <w:noWrap w:val="0"/>
                  <w:vAlign w:val="center"/>
                </w:tcPr>
                <w:p w14:paraId="65BDCE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lang w:val="zh-CN"/>
                    </w:rPr>
                  </w:pPr>
                  <w:r>
                    <w:rPr>
                      <w:rFonts w:hint="default" w:ascii="Times New Roman" w:hAnsi="Times New Roman" w:eastAsia="宋体" w:cs="Times New Roman"/>
                      <w:snapToGrid w:val="0"/>
                      <w:color w:val="auto"/>
                      <w:kern w:val="0"/>
                      <w:sz w:val="22"/>
                      <w:szCs w:val="22"/>
                      <w:lang w:val="zh-CN"/>
                    </w:rPr>
                    <w:t>达标情况</w:t>
                  </w:r>
                </w:p>
              </w:tc>
            </w:tr>
            <w:tr w14:paraId="7B8B84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9" w:type="dxa"/>
                  <w:tcBorders>
                    <w:tl2br w:val="nil"/>
                    <w:tr2bl w:val="nil"/>
                  </w:tcBorders>
                  <w:noWrap w:val="0"/>
                  <w:vAlign w:val="center"/>
                </w:tcPr>
                <w:p w14:paraId="54136F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SO</w:t>
                  </w:r>
                  <w:r>
                    <w:rPr>
                      <w:rFonts w:hint="default" w:ascii="Times New Roman" w:hAnsi="Times New Roman" w:eastAsia="宋体" w:cs="Times New Roman"/>
                      <w:snapToGrid w:val="0"/>
                      <w:color w:val="auto"/>
                      <w:kern w:val="0"/>
                      <w:sz w:val="22"/>
                      <w:szCs w:val="22"/>
                      <w:vertAlign w:val="subscript"/>
                    </w:rPr>
                    <w:t>2</w:t>
                  </w:r>
                </w:p>
              </w:tc>
              <w:tc>
                <w:tcPr>
                  <w:tcW w:w="2106" w:type="dxa"/>
                  <w:vMerge w:val="restart"/>
                  <w:tcBorders>
                    <w:tl2br w:val="nil"/>
                    <w:tr2bl w:val="nil"/>
                  </w:tcBorders>
                  <w:noWrap w:val="0"/>
                  <w:vAlign w:val="center"/>
                </w:tcPr>
                <w:p w14:paraId="1AE5EC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年平均质量浓度</w:t>
                  </w:r>
                </w:p>
              </w:tc>
              <w:tc>
                <w:tcPr>
                  <w:tcW w:w="1108" w:type="dxa"/>
                  <w:tcBorders>
                    <w:tl2br w:val="nil"/>
                    <w:tr2bl w:val="nil"/>
                  </w:tcBorders>
                  <w:noWrap w:val="0"/>
                  <w:vAlign w:val="center"/>
                </w:tcPr>
                <w:p w14:paraId="1EF71B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lang w:eastAsia="zh-CN"/>
                    </w:rPr>
                  </w:pPr>
                  <w:r>
                    <w:rPr>
                      <w:rFonts w:hint="default" w:ascii="Times New Roman" w:hAnsi="Times New Roman" w:eastAsia="宋体" w:cs="Times New Roman"/>
                      <w:snapToGrid w:val="0"/>
                      <w:color w:val="auto"/>
                      <w:kern w:val="0"/>
                      <w:sz w:val="22"/>
                      <w:szCs w:val="22"/>
                      <w:lang w:val="en-US" w:eastAsia="zh-CN"/>
                    </w:rPr>
                    <w:t>8</w:t>
                  </w:r>
                </w:p>
              </w:tc>
              <w:tc>
                <w:tcPr>
                  <w:tcW w:w="1140" w:type="dxa"/>
                  <w:tcBorders>
                    <w:tl2br w:val="nil"/>
                    <w:tr2bl w:val="nil"/>
                  </w:tcBorders>
                  <w:noWrap w:val="0"/>
                  <w:vAlign w:val="center"/>
                </w:tcPr>
                <w:p w14:paraId="430D91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60</w:t>
                  </w:r>
                </w:p>
              </w:tc>
              <w:tc>
                <w:tcPr>
                  <w:tcW w:w="972" w:type="dxa"/>
                  <w:tcBorders>
                    <w:tl2br w:val="nil"/>
                    <w:tr2bl w:val="nil"/>
                  </w:tcBorders>
                  <w:noWrap w:val="0"/>
                  <w:vAlign w:val="center"/>
                </w:tcPr>
                <w:p w14:paraId="0BD2D7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13.33</w:t>
                  </w:r>
                </w:p>
              </w:tc>
              <w:tc>
                <w:tcPr>
                  <w:tcW w:w="1160" w:type="dxa"/>
                  <w:tcBorders>
                    <w:tl2br w:val="nil"/>
                    <w:tr2bl w:val="nil"/>
                  </w:tcBorders>
                  <w:noWrap w:val="0"/>
                  <w:vAlign w:val="center"/>
                </w:tcPr>
                <w:p w14:paraId="404153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lang w:val="zh-CN"/>
                    </w:rPr>
                  </w:pPr>
                  <w:r>
                    <w:rPr>
                      <w:rFonts w:hint="default" w:ascii="Times New Roman" w:hAnsi="Times New Roman" w:eastAsia="宋体" w:cs="Times New Roman"/>
                      <w:snapToGrid w:val="0"/>
                      <w:color w:val="auto"/>
                      <w:kern w:val="0"/>
                      <w:sz w:val="22"/>
                      <w:szCs w:val="22"/>
                      <w:lang w:val="zh-CN"/>
                    </w:rPr>
                    <w:t>达标</w:t>
                  </w:r>
                </w:p>
              </w:tc>
            </w:tr>
            <w:tr w14:paraId="0AD31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9" w:type="dxa"/>
                  <w:tcBorders>
                    <w:tl2br w:val="nil"/>
                    <w:tr2bl w:val="nil"/>
                  </w:tcBorders>
                  <w:noWrap w:val="0"/>
                  <w:vAlign w:val="center"/>
                </w:tcPr>
                <w:p w14:paraId="2C11C4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NO</w:t>
                  </w:r>
                  <w:r>
                    <w:rPr>
                      <w:rFonts w:hint="default" w:ascii="Times New Roman" w:hAnsi="Times New Roman" w:eastAsia="宋体" w:cs="Times New Roman"/>
                      <w:snapToGrid w:val="0"/>
                      <w:color w:val="auto"/>
                      <w:kern w:val="0"/>
                      <w:sz w:val="22"/>
                      <w:szCs w:val="22"/>
                      <w:vertAlign w:val="subscript"/>
                    </w:rPr>
                    <w:t>2</w:t>
                  </w:r>
                </w:p>
              </w:tc>
              <w:tc>
                <w:tcPr>
                  <w:tcW w:w="2106" w:type="dxa"/>
                  <w:vMerge w:val="continue"/>
                  <w:tcBorders>
                    <w:tl2br w:val="nil"/>
                    <w:tr2bl w:val="nil"/>
                  </w:tcBorders>
                  <w:noWrap w:val="0"/>
                  <w:vAlign w:val="center"/>
                </w:tcPr>
                <w:p w14:paraId="4B32A3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rPr>
                  </w:pPr>
                </w:p>
              </w:tc>
              <w:tc>
                <w:tcPr>
                  <w:tcW w:w="1108" w:type="dxa"/>
                  <w:tcBorders>
                    <w:tl2br w:val="nil"/>
                    <w:tr2bl w:val="nil"/>
                  </w:tcBorders>
                  <w:noWrap w:val="0"/>
                  <w:vAlign w:val="center"/>
                </w:tcPr>
                <w:p w14:paraId="0167BC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34</w:t>
                  </w:r>
                </w:p>
              </w:tc>
              <w:tc>
                <w:tcPr>
                  <w:tcW w:w="1140" w:type="dxa"/>
                  <w:tcBorders>
                    <w:tl2br w:val="nil"/>
                    <w:tr2bl w:val="nil"/>
                  </w:tcBorders>
                  <w:noWrap w:val="0"/>
                  <w:vAlign w:val="center"/>
                </w:tcPr>
                <w:p w14:paraId="08538A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40</w:t>
                  </w:r>
                </w:p>
              </w:tc>
              <w:tc>
                <w:tcPr>
                  <w:tcW w:w="972" w:type="dxa"/>
                  <w:tcBorders>
                    <w:tl2br w:val="nil"/>
                    <w:tr2bl w:val="nil"/>
                  </w:tcBorders>
                  <w:noWrap w:val="0"/>
                  <w:vAlign w:val="center"/>
                </w:tcPr>
                <w:p w14:paraId="5541D2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85.0</w:t>
                  </w:r>
                </w:p>
              </w:tc>
              <w:tc>
                <w:tcPr>
                  <w:tcW w:w="1160" w:type="dxa"/>
                  <w:tcBorders>
                    <w:tl2br w:val="nil"/>
                    <w:tr2bl w:val="nil"/>
                  </w:tcBorders>
                  <w:noWrap w:val="0"/>
                  <w:vAlign w:val="center"/>
                </w:tcPr>
                <w:p w14:paraId="4EBC31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lang w:val="en-US" w:eastAsia="zh-CN"/>
                    </w:rPr>
                    <w:t>达标</w:t>
                  </w:r>
                </w:p>
              </w:tc>
            </w:tr>
            <w:tr w14:paraId="624F16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9" w:type="dxa"/>
                  <w:tcBorders>
                    <w:tl2br w:val="nil"/>
                    <w:tr2bl w:val="nil"/>
                  </w:tcBorders>
                  <w:noWrap w:val="0"/>
                  <w:vAlign w:val="center"/>
                </w:tcPr>
                <w:p w14:paraId="29458C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PM</w:t>
                  </w:r>
                  <w:r>
                    <w:rPr>
                      <w:rFonts w:hint="default" w:ascii="Times New Roman" w:hAnsi="Times New Roman" w:eastAsia="宋体" w:cs="Times New Roman"/>
                      <w:snapToGrid w:val="0"/>
                      <w:color w:val="auto"/>
                      <w:kern w:val="0"/>
                      <w:sz w:val="22"/>
                      <w:szCs w:val="22"/>
                      <w:vertAlign w:val="subscript"/>
                    </w:rPr>
                    <w:t>10</w:t>
                  </w:r>
                </w:p>
              </w:tc>
              <w:tc>
                <w:tcPr>
                  <w:tcW w:w="2106" w:type="dxa"/>
                  <w:vMerge w:val="continue"/>
                  <w:tcBorders>
                    <w:tl2br w:val="nil"/>
                    <w:tr2bl w:val="nil"/>
                  </w:tcBorders>
                  <w:noWrap w:val="0"/>
                  <w:vAlign w:val="center"/>
                </w:tcPr>
                <w:p w14:paraId="46EA29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rPr>
                  </w:pPr>
                </w:p>
              </w:tc>
              <w:tc>
                <w:tcPr>
                  <w:tcW w:w="1108" w:type="dxa"/>
                  <w:tcBorders>
                    <w:tl2br w:val="nil"/>
                    <w:tr2bl w:val="nil"/>
                  </w:tcBorders>
                  <w:noWrap w:val="0"/>
                  <w:vAlign w:val="center"/>
                </w:tcPr>
                <w:p w14:paraId="2452EC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51</w:t>
                  </w:r>
                </w:p>
              </w:tc>
              <w:tc>
                <w:tcPr>
                  <w:tcW w:w="1140" w:type="dxa"/>
                  <w:tcBorders>
                    <w:tl2br w:val="nil"/>
                    <w:tr2bl w:val="nil"/>
                  </w:tcBorders>
                  <w:noWrap w:val="0"/>
                  <w:vAlign w:val="center"/>
                </w:tcPr>
                <w:p w14:paraId="5F6047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70</w:t>
                  </w:r>
                </w:p>
              </w:tc>
              <w:tc>
                <w:tcPr>
                  <w:tcW w:w="972" w:type="dxa"/>
                  <w:tcBorders>
                    <w:tl2br w:val="nil"/>
                    <w:tr2bl w:val="nil"/>
                  </w:tcBorders>
                  <w:noWrap w:val="0"/>
                  <w:vAlign w:val="center"/>
                </w:tcPr>
                <w:p w14:paraId="1861A3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72.9</w:t>
                  </w:r>
                </w:p>
              </w:tc>
              <w:tc>
                <w:tcPr>
                  <w:tcW w:w="1160" w:type="dxa"/>
                  <w:tcBorders>
                    <w:tl2br w:val="nil"/>
                    <w:tr2bl w:val="nil"/>
                  </w:tcBorders>
                  <w:noWrap w:val="0"/>
                  <w:vAlign w:val="center"/>
                </w:tcPr>
                <w:p w14:paraId="25E222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lang w:val="zh-CN"/>
                    </w:rPr>
                  </w:pPr>
                  <w:r>
                    <w:rPr>
                      <w:rFonts w:hint="default" w:ascii="Times New Roman" w:hAnsi="Times New Roman" w:eastAsia="宋体" w:cs="Times New Roman"/>
                      <w:snapToGrid w:val="0"/>
                      <w:color w:val="auto"/>
                      <w:kern w:val="0"/>
                      <w:sz w:val="22"/>
                      <w:szCs w:val="22"/>
                      <w:lang w:val="zh-CN"/>
                    </w:rPr>
                    <w:t>达标</w:t>
                  </w:r>
                </w:p>
              </w:tc>
            </w:tr>
            <w:tr w14:paraId="32BA6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9" w:type="dxa"/>
                  <w:tcBorders>
                    <w:tl2br w:val="nil"/>
                    <w:tr2bl w:val="nil"/>
                  </w:tcBorders>
                  <w:noWrap w:val="0"/>
                  <w:vAlign w:val="center"/>
                </w:tcPr>
                <w:p w14:paraId="021866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PM</w:t>
                  </w:r>
                  <w:r>
                    <w:rPr>
                      <w:rFonts w:hint="default" w:ascii="Times New Roman" w:hAnsi="Times New Roman" w:eastAsia="宋体" w:cs="Times New Roman"/>
                      <w:snapToGrid w:val="0"/>
                      <w:color w:val="auto"/>
                      <w:kern w:val="0"/>
                      <w:sz w:val="22"/>
                      <w:szCs w:val="22"/>
                      <w:vertAlign w:val="subscript"/>
                    </w:rPr>
                    <w:t>2.5</w:t>
                  </w:r>
                </w:p>
              </w:tc>
              <w:tc>
                <w:tcPr>
                  <w:tcW w:w="2106" w:type="dxa"/>
                  <w:vMerge w:val="continue"/>
                  <w:tcBorders>
                    <w:tl2br w:val="nil"/>
                    <w:tr2bl w:val="nil"/>
                  </w:tcBorders>
                  <w:noWrap w:val="0"/>
                  <w:vAlign w:val="center"/>
                </w:tcPr>
                <w:p w14:paraId="2BF62C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rPr>
                  </w:pPr>
                </w:p>
              </w:tc>
              <w:tc>
                <w:tcPr>
                  <w:tcW w:w="1108" w:type="dxa"/>
                  <w:tcBorders>
                    <w:tl2br w:val="nil"/>
                    <w:tr2bl w:val="nil"/>
                  </w:tcBorders>
                  <w:noWrap w:val="0"/>
                  <w:vAlign w:val="center"/>
                </w:tcPr>
                <w:p w14:paraId="72FAD2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32.3</w:t>
                  </w:r>
                </w:p>
              </w:tc>
              <w:tc>
                <w:tcPr>
                  <w:tcW w:w="1140" w:type="dxa"/>
                  <w:tcBorders>
                    <w:tl2br w:val="nil"/>
                    <w:tr2bl w:val="nil"/>
                  </w:tcBorders>
                  <w:noWrap w:val="0"/>
                  <w:vAlign w:val="center"/>
                </w:tcPr>
                <w:p w14:paraId="74E507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35</w:t>
                  </w:r>
                </w:p>
              </w:tc>
              <w:tc>
                <w:tcPr>
                  <w:tcW w:w="972" w:type="dxa"/>
                  <w:tcBorders>
                    <w:tl2br w:val="nil"/>
                    <w:tr2bl w:val="nil"/>
                  </w:tcBorders>
                  <w:noWrap w:val="0"/>
                  <w:vAlign w:val="center"/>
                </w:tcPr>
                <w:p w14:paraId="4C431C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92.3</w:t>
                  </w:r>
                </w:p>
              </w:tc>
              <w:tc>
                <w:tcPr>
                  <w:tcW w:w="1160" w:type="dxa"/>
                  <w:tcBorders>
                    <w:tl2br w:val="nil"/>
                    <w:tr2bl w:val="nil"/>
                  </w:tcBorders>
                  <w:noWrap w:val="0"/>
                  <w:vAlign w:val="center"/>
                </w:tcPr>
                <w:p w14:paraId="25A226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lang w:val="zh-CN"/>
                    </w:rPr>
                  </w:pPr>
                  <w:r>
                    <w:rPr>
                      <w:rFonts w:hint="default" w:ascii="Times New Roman" w:hAnsi="Times New Roman" w:eastAsia="宋体" w:cs="Times New Roman"/>
                      <w:snapToGrid w:val="0"/>
                      <w:color w:val="auto"/>
                      <w:kern w:val="0"/>
                      <w:sz w:val="22"/>
                      <w:szCs w:val="22"/>
                      <w:lang w:val="en-US" w:eastAsia="zh-CN"/>
                    </w:rPr>
                    <w:t>达标</w:t>
                  </w:r>
                </w:p>
              </w:tc>
            </w:tr>
            <w:tr w14:paraId="04E8AC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9" w:type="dxa"/>
                  <w:tcBorders>
                    <w:tl2br w:val="nil"/>
                    <w:tr2bl w:val="nil"/>
                  </w:tcBorders>
                  <w:noWrap w:val="0"/>
                  <w:vAlign w:val="center"/>
                </w:tcPr>
                <w:p w14:paraId="77814D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CO</w:t>
                  </w:r>
                  <w:r>
                    <w:rPr>
                      <w:rFonts w:hint="default" w:ascii="Times New Roman" w:hAnsi="Times New Roman" w:eastAsia="宋体" w:cs="Times New Roman"/>
                      <w:snapToGrid w:val="0"/>
                      <w:color w:val="auto"/>
                      <w:kern w:val="0"/>
                      <w:sz w:val="22"/>
                      <w:szCs w:val="22"/>
                      <w:lang w:val="zh-CN"/>
                    </w:rPr>
                    <w:t>（</w:t>
                  </w:r>
                  <w:r>
                    <w:rPr>
                      <w:rFonts w:hint="default" w:ascii="Times New Roman" w:hAnsi="Times New Roman" w:eastAsia="宋体" w:cs="Times New Roman"/>
                      <w:snapToGrid w:val="0"/>
                      <w:color w:val="auto"/>
                      <w:kern w:val="0"/>
                      <w:sz w:val="22"/>
                      <w:szCs w:val="22"/>
                    </w:rPr>
                    <w:t>mg/m</w:t>
                  </w:r>
                  <w:r>
                    <w:rPr>
                      <w:rFonts w:hint="default" w:ascii="Times New Roman" w:hAnsi="Times New Roman" w:eastAsia="宋体" w:cs="Times New Roman"/>
                      <w:snapToGrid w:val="0"/>
                      <w:color w:val="auto"/>
                      <w:kern w:val="0"/>
                      <w:sz w:val="22"/>
                      <w:szCs w:val="22"/>
                      <w:vertAlign w:val="superscript"/>
                    </w:rPr>
                    <w:t>3</w:t>
                  </w:r>
                  <w:r>
                    <w:rPr>
                      <w:rFonts w:hint="default" w:ascii="Times New Roman" w:hAnsi="Times New Roman" w:eastAsia="宋体" w:cs="Times New Roman"/>
                      <w:snapToGrid w:val="0"/>
                      <w:color w:val="auto"/>
                      <w:kern w:val="0"/>
                      <w:sz w:val="22"/>
                      <w:szCs w:val="22"/>
                      <w:lang w:val="zh-CN"/>
                    </w:rPr>
                    <w:t>）</w:t>
                  </w:r>
                </w:p>
              </w:tc>
              <w:tc>
                <w:tcPr>
                  <w:tcW w:w="2106" w:type="dxa"/>
                  <w:tcBorders>
                    <w:tl2br w:val="nil"/>
                    <w:tr2bl w:val="nil"/>
                  </w:tcBorders>
                  <w:noWrap w:val="0"/>
                  <w:vAlign w:val="center"/>
                </w:tcPr>
                <w:p w14:paraId="794D17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日均浓度的第95百分位数</w:t>
                  </w:r>
                </w:p>
              </w:tc>
              <w:tc>
                <w:tcPr>
                  <w:tcW w:w="1108" w:type="dxa"/>
                  <w:tcBorders>
                    <w:tl2br w:val="nil"/>
                    <w:tr2bl w:val="nil"/>
                  </w:tcBorders>
                  <w:noWrap w:val="0"/>
                  <w:vAlign w:val="center"/>
                </w:tcPr>
                <w:p w14:paraId="7FEF8F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lang w:eastAsia="zh-CN"/>
                    </w:rPr>
                  </w:pPr>
                  <w:r>
                    <w:rPr>
                      <w:rFonts w:hint="default" w:ascii="Times New Roman" w:hAnsi="Times New Roman" w:eastAsia="宋体" w:cs="Times New Roman"/>
                      <w:snapToGrid w:val="0"/>
                      <w:color w:val="auto"/>
                      <w:kern w:val="0"/>
                      <w:sz w:val="22"/>
                      <w:szCs w:val="22"/>
                    </w:rPr>
                    <w:t>1.</w:t>
                  </w:r>
                  <w:r>
                    <w:rPr>
                      <w:rFonts w:hint="default" w:ascii="Times New Roman" w:hAnsi="Times New Roman" w:eastAsia="宋体" w:cs="Times New Roman"/>
                      <w:snapToGrid w:val="0"/>
                      <w:color w:val="auto"/>
                      <w:kern w:val="0"/>
                      <w:sz w:val="22"/>
                      <w:szCs w:val="22"/>
                      <w:lang w:val="en-US" w:eastAsia="zh-CN"/>
                    </w:rPr>
                    <w:t>2</w:t>
                  </w:r>
                </w:p>
              </w:tc>
              <w:tc>
                <w:tcPr>
                  <w:tcW w:w="1140" w:type="dxa"/>
                  <w:tcBorders>
                    <w:tl2br w:val="nil"/>
                    <w:tr2bl w:val="nil"/>
                  </w:tcBorders>
                  <w:noWrap w:val="0"/>
                  <w:vAlign w:val="center"/>
                </w:tcPr>
                <w:p w14:paraId="6A7422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4</w:t>
                  </w:r>
                </w:p>
              </w:tc>
              <w:tc>
                <w:tcPr>
                  <w:tcW w:w="972" w:type="dxa"/>
                  <w:tcBorders>
                    <w:tl2br w:val="nil"/>
                    <w:tr2bl w:val="nil"/>
                  </w:tcBorders>
                  <w:noWrap w:val="0"/>
                  <w:vAlign w:val="center"/>
                </w:tcPr>
                <w:p w14:paraId="270E6F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30.0</w:t>
                  </w:r>
                </w:p>
              </w:tc>
              <w:tc>
                <w:tcPr>
                  <w:tcW w:w="1160" w:type="dxa"/>
                  <w:tcBorders>
                    <w:tl2br w:val="nil"/>
                    <w:tr2bl w:val="nil"/>
                  </w:tcBorders>
                  <w:noWrap w:val="0"/>
                  <w:vAlign w:val="center"/>
                </w:tcPr>
                <w:p w14:paraId="30E9E6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lang w:val="zh-CN"/>
                    </w:rPr>
                  </w:pPr>
                  <w:r>
                    <w:rPr>
                      <w:rFonts w:hint="default" w:ascii="Times New Roman" w:hAnsi="Times New Roman" w:eastAsia="宋体" w:cs="Times New Roman"/>
                      <w:snapToGrid w:val="0"/>
                      <w:color w:val="auto"/>
                      <w:kern w:val="0"/>
                      <w:sz w:val="22"/>
                      <w:szCs w:val="22"/>
                      <w:lang w:val="zh-CN"/>
                    </w:rPr>
                    <w:t>达标</w:t>
                  </w:r>
                </w:p>
              </w:tc>
            </w:tr>
            <w:tr w14:paraId="692EA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9" w:type="dxa"/>
                  <w:tcBorders>
                    <w:tl2br w:val="nil"/>
                    <w:tr2bl w:val="nil"/>
                  </w:tcBorders>
                  <w:noWrap w:val="0"/>
                  <w:vAlign w:val="center"/>
                </w:tcPr>
                <w:p w14:paraId="6A1A27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O</w:t>
                  </w:r>
                  <w:r>
                    <w:rPr>
                      <w:rFonts w:hint="default" w:ascii="Times New Roman" w:hAnsi="Times New Roman" w:eastAsia="宋体" w:cs="Times New Roman"/>
                      <w:snapToGrid w:val="0"/>
                      <w:color w:val="auto"/>
                      <w:kern w:val="0"/>
                      <w:sz w:val="22"/>
                      <w:szCs w:val="22"/>
                      <w:vertAlign w:val="subscript"/>
                    </w:rPr>
                    <w:t>3</w:t>
                  </w:r>
                </w:p>
              </w:tc>
              <w:tc>
                <w:tcPr>
                  <w:tcW w:w="2106" w:type="dxa"/>
                  <w:tcBorders>
                    <w:tl2br w:val="nil"/>
                    <w:tr2bl w:val="nil"/>
                  </w:tcBorders>
                  <w:noWrap w:val="0"/>
                  <w:vAlign w:val="center"/>
                </w:tcPr>
                <w:p w14:paraId="419CA4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日最大8h平均浓度的第90百分位数</w:t>
                  </w:r>
                </w:p>
              </w:tc>
              <w:tc>
                <w:tcPr>
                  <w:tcW w:w="1108" w:type="dxa"/>
                  <w:tcBorders>
                    <w:tl2br w:val="nil"/>
                    <w:tr2bl w:val="nil"/>
                  </w:tcBorders>
                  <w:noWrap w:val="0"/>
                  <w:vAlign w:val="center"/>
                </w:tcPr>
                <w:p w14:paraId="0E51C7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rPr>
                    <w:t>1</w:t>
                  </w:r>
                  <w:r>
                    <w:rPr>
                      <w:rFonts w:hint="default" w:ascii="Times New Roman" w:hAnsi="Times New Roman" w:eastAsia="宋体" w:cs="Times New Roman"/>
                      <w:snapToGrid w:val="0"/>
                      <w:color w:val="auto"/>
                      <w:kern w:val="0"/>
                      <w:sz w:val="22"/>
                      <w:szCs w:val="22"/>
                      <w:lang w:val="en-US" w:eastAsia="zh-CN"/>
                    </w:rPr>
                    <w:t>40</w:t>
                  </w:r>
                </w:p>
              </w:tc>
              <w:tc>
                <w:tcPr>
                  <w:tcW w:w="1140" w:type="dxa"/>
                  <w:tcBorders>
                    <w:tl2br w:val="nil"/>
                    <w:tr2bl w:val="nil"/>
                  </w:tcBorders>
                  <w:noWrap w:val="0"/>
                  <w:vAlign w:val="center"/>
                </w:tcPr>
                <w:p w14:paraId="756002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rPr>
                  </w:pPr>
                  <w:r>
                    <w:rPr>
                      <w:rFonts w:hint="default" w:ascii="Times New Roman" w:hAnsi="Times New Roman" w:eastAsia="宋体" w:cs="Times New Roman"/>
                      <w:snapToGrid w:val="0"/>
                      <w:color w:val="auto"/>
                      <w:kern w:val="0"/>
                      <w:sz w:val="22"/>
                      <w:szCs w:val="22"/>
                    </w:rPr>
                    <w:t>160</w:t>
                  </w:r>
                </w:p>
              </w:tc>
              <w:tc>
                <w:tcPr>
                  <w:tcW w:w="972" w:type="dxa"/>
                  <w:tcBorders>
                    <w:tl2br w:val="nil"/>
                    <w:tr2bl w:val="nil"/>
                  </w:tcBorders>
                  <w:noWrap w:val="0"/>
                  <w:vAlign w:val="center"/>
                </w:tcPr>
                <w:p w14:paraId="175E79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lang w:val="en-US" w:eastAsia="zh-CN"/>
                    </w:rPr>
                  </w:pPr>
                  <w:r>
                    <w:rPr>
                      <w:rFonts w:hint="default" w:ascii="Times New Roman" w:hAnsi="Times New Roman" w:eastAsia="宋体" w:cs="Times New Roman"/>
                      <w:snapToGrid w:val="0"/>
                      <w:color w:val="auto"/>
                      <w:kern w:val="0"/>
                      <w:sz w:val="22"/>
                      <w:szCs w:val="22"/>
                      <w:lang w:val="en-US" w:eastAsia="zh-CN"/>
                    </w:rPr>
                    <w:t>87.5</w:t>
                  </w:r>
                </w:p>
              </w:tc>
              <w:tc>
                <w:tcPr>
                  <w:tcW w:w="1160" w:type="dxa"/>
                  <w:tcBorders>
                    <w:tl2br w:val="nil"/>
                    <w:tr2bl w:val="nil"/>
                  </w:tcBorders>
                  <w:noWrap w:val="0"/>
                  <w:vAlign w:val="center"/>
                </w:tcPr>
                <w:p w14:paraId="49599D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2"/>
                      <w:szCs w:val="22"/>
                      <w:lang w:val="zh-CN"/>
                    </w:rPr>
                  </w:pPr>
                  <w:r>
                    <w:rPr>
                      <w:rFonts w:hint="default" w:ascii="Times New Roman" w:hAnsi="Times New Roman" w:eastAsia="宋体" w:cs="Times New Roman"/>
                      <w:snapToGrid w:val="0"/>
                      <w:color w:val="auto"/>
                      <w:kern w:val="0"/>
                      <w:sz w:val="22"/>
                      <w:szCs w:val="22"/>
                      <w:lang w:val="zh-CN"/>
                    </w:rPr>
                    <w:t>达标</w:t>
                  </w:r>
                </w:p>
              </w:tc>
            </w:tr>
          </w:tbl>
          <w:p w14:paraId="0E2FEEB3">
            <w:pPr>
              <w:adjustRightInd w:val="0"/>
              <w:snapToGrid w:val="0"/>
              <w:spacing w:line="460" w:lineRule="exact"/>
              <w:ind w:firstLine="520" w:firstLineChars="200"/>
              <w:jc w:val="left"/>
              <w:rPr>
                <w:rFonts w:hint="eastAsia" w:ascii="Times New Roman" w:hAnsi="Times New Roman" w:eastAsia="宋体" w:cs="Times New Roman"/>
                <w:color w:val="auto"/>
                <w:sz w:val="26"/>
                <w:szCs w:val="26"/>
                <w:lang w:val="en-US" w:eastAsia="zh-CN"/>
              </w:rPr>
            </w:pPr>
          </w:p>
          <w:p w14:paraId="789A35D0">
            <w:pPr>
              <w:adjustRightInd w:val="0"/>
              <w:snapToGrid w:val="0"/>
              <w:spacing w:line="460" w:lineRule="exact"/>
              <w:ind w:firstLine="520" w:firstLineChars="200"/>
              <w:jc w:val="left"/>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lang w:val="en-US" w:eastAsia="zh-CN"/>
              </w:rPr>
              <w:t>根据</w:t>
            </w:r>
            <w:r>
              <w:rPr>
                <w:rFonts w:hint="eastAsia" w:ascii="Times New Roman" w:hAnsi="Times New Roman" w:eastAsia="宋体" w:cs="Times New Roman"/>
                <w:color w:val="auto"/>
                <w:sz w:val="26"/>
                <w:szCs w:val="26"/>
              </w:rPr>
              <w:t>以上数据分析，</w:t>
            </w:r>
            <w:r>
              <w:rPr>
                <w:rFonts w:hint="eastAsia" w:ascii="Times New Roman" w:hAnsi="Times New Roman" w:eastAsia="宋体" w:cs="Times New Roman"/>
                <w:color w:val="auto"/>
                <w:sz w:val="26"/>
                <w:szCs w:val="26"/>
                <w:lang w:val="en-US" w:eastAsia="zh-CN"/>
              </w:rPr>
              <w:t>本</w:t>
            </w:r>
            <w:r>
              <w:rPr>
                <w:rFonts w:hint="eastAsia" w:ascii="Times New Roman" w:hAnsi="Times New Roman" w:eastAsia="宋体" w:cs="Times New Roman"/>
                <w:color w:val="auto"/>
                <w:sz w:val="26"/>
                <w:szCs w:val="26"/>
              </w:rPr>
              <w:t>项目所在区域</w:t>
            </w:r>
            <w:r>
              <w:rPr>
                <w:rFonts w:hint="eastAsia" w:ascii="Times New Roman" w:hAnsi="Times New Roman" w:eastAsia="宋体" w:cs="Times New Roman"/>
                <w:snapToGrid w:val="0"/>
                <w:color w:val="auto"/>
                <w:kern w:val="0"/>
                <w:sz w:val="26"/>
                <w:szCs w:val="26"/>
              </w:rPr>
              <w:t>NO</w:t>
            </w:r>
            <w:r>
              <w:rPr>
                <w:rFonts w:hint="eastAsia" w:ascii="Times New Roman" w:hAnsi="Times New Roman" w:eastAsia="宋体" w:cs="Times New Roman"/>
                <w:snapToGrid w:val="0"/>
                <w:color w:val="auto"/>
                <w:kern w:val="0"/>
                <w:sz w:val="26"/>
                <w:szCs w:val="26"/>
                <w:vertAlign w:val="subscript"/>
              </w:rPr>
              <w:t>2</w:t>
            </w:r>
            <w:r>
              <w:rPr>
                <w:rFonts w:hint="eastAsia" w:ascii="Times New Roman" w:hAnsi="Times New Roman" w:eastAsia="宋体" w:cs="Times New Roman"/>
                <w:snapToGrid w:val="0"/>
                <w:color w:val="auto"/>
                <w:kern w:val="0"/>
                <w:sz w:val="26"/>
                <w:szCs w:val="26"/>
                <w:vertAlign w:val="baseline"/>
                <w:lang w:eastAsia="zh-CN"/>
              </w:rPr>
              <w:t>、</w:t>
            </w:r>
            <w:r>
              <w:rPr>
                <w:rFonts w:hint="eastAsia" w:ascii="Times New Roman" w:hAnsi="Times New Roman" w:eastAsia="宋体" w:cs="Times New Roman"/>
                <w:snapToGrid w:val="0"/>
                <w:color w:val="auto"/>
                <w:kern w:val="0"/>
                <w:sz w:val="26"/>
                <w:szCs w:val="26"/>
              </w:rPr>
              <w:t>PM</w:t>
            </w:r>
            <w:r>
              <w:rPr>
                <w:rFonts w:hint="eastAsia" w:ascii="Times New Roman" w:hAnsi="Times New Roman" w:eastAsia="宋体" w:cs="Times New Roman"/>
                <w:snapToGrid w:val="0"/>
                <w:color w:val="auto"/>
                <w:kern w:val="0"/>
                <w:sz w:val="26"/>
                <w:szCs w:val="26"/>
                <w:vertAlign w:val="subscript"/>
              </w:rPr>
              <w:t>2.5</w:t>
            </w:r>
            <w:r>
              <w:rPr>
                <w:rFonts w:hint="eastAsia" w:ascii="Times New Roman" w:hAnsi="Times New Roman" w:eastAsia="宋体" w:cs="Times New Roman"/>
                <w:snapToGrid w:val="0"/>
                <w:color w:val="auto"/>
                <w:kern w:val="0"/>
                <w:sz w:val="26"/>
                <w:szCs w:val="26"/>
                <w:vertAlign w:val="baseline"/>
                <w:lang w:eastAsia="zh-CN"/>
              </w:rPr>
              <w:t>、</w:t>
            </w:r>
            <w:r>
              <w:rPr>
                <w:rFonts w:hint="eastAsia" w:ascii="Times New Roman" w:hAnsi="Times New Roman" w:eastAsia="宋体" w:cs="Times New Roman"/>
                <w:color w:val="auto"/>
                <w:sz w:val="26"/>
                <w:szCs w:val="26"/>
              </w:rPr>
              <w:t>PM</w:t>
            </w:r>
            <w:r>
              <w:rPr>
                <w:rFonts w:hint="eastAsia" w:ascii="Times New Roman" w:hAnsi="Times New Roman" w:eastAsia="宋体" w:cs="Times New Roman"/>
                <w:color w:val="auto"/>
                <w:sz w:val="26"/>
                <w:szCs w:val="26"/>
                <w:vertAlign w:val="subscript"/>
              </w:rPr>
              <w:t>10</w:t>
            </w:r>
            <w:r>
              <w:rPr>
                <w:rFonts w:hint="eastAsia" w:ascii="Times New Roman" w:hAnsi="Times New Roman" w:eastAsia="宋体" w:cs="Times New Roman"/>
                <w:color w:val="auto"/>
                <w:sz w:val="26"/>
                <w:szCs w:val="26"/>
              </w:rPr>
              <w:t>、SO</w:t>
            </w:r>
            <w:r>
              <w:rPr>
                <w:rFonts w:hint="eastAsia" w:ascii="Times New Roman" w:hAnsi="Times New Roman" w:eastAsia="宋体" w:cs="Times New Roman"/>
                <w:color w:val="auto"/>
                <w:sz w:val="26"/>
                <w:szCs w:val="26"/>
                <w:vertAlign w:val="subscript"/>
              </w:rPr>
              <w:t>2</w:t>
            </w:r>
            <w:r>
              <w:rPr>
                <w:rFonts w:hint="eastAsia" w:ascii="Times New Roman" w:hAnsi="Times New Roman" w:eastAsia="宋体" w:cs="Times New Roman"/>
                <w:color w:val="auto"/>
                <w:sz w:val="26"/>
                <w:szCs w:val="26"/>
              </w:rPr>
              <w:t>年均值</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CO</w:t>
            </w:r>
            <w:r>
              <w:rPr>
                <w:rFonts w:hint="eastAsia" w:ascii="Times New Roman" w:hAnsi="Times New Roman" w:eastAsia="宋体" w:cs="Times New Roman"/>
                <w:snapToGrid w:val="0"/>
                <w:color w:val="auto"/>
                <w:kern w:val="0"/>
                <w:sz w:val="26"/>
                <w:szCs w:val="26"/>
              </w:rPr>
              <w:t>日均浓度的第95百分位数</w:t>
            </w:r>
            <w:r>
              <w:rPr>
                <w:rFonts w:hint="eastAsia" w:ascii="Times New Roman" w:hAnsi="Times New Roman" w:eastAsia="宋体" w:cs="Times New Roman"/>
                <w:snapToGrid w:val="0"/>
                <w:color w:val="auto"/>
                <w:kern w:val="0"/>
                <w:sz w:val="26"/>
                <w:szCs w:val="26"/>
                <w:lang w:eastAsia="zh-CN"/>
              </w:rPr>
              <w:t>，</w:t>
            </w:r>
            <w:r>
              <w:rPr>
                <w:rFonts w:hint="eastAsia" w:ascii="Times New Roman" w:hAnsi="Times New Roman" w:eastAsia="宋体" w:cs="Times New Roman"/>
                <w:snapToGrid w:val="0"/>
                <w:color w:val="auto"/>
                <w:kern w:val="0"/>
                <w:sz w:val="26"/>
                <w:szCs w:val="26"/>
                <w:lang w:val="en-US" w:eastAsia="zh-CN"/>
              </w:rPr>
              <w:t>O</w:t>
            </w:r>
            <w:r>
              <w:rPr>
                <w:rFonts w:hint="eastAsia" w:ascii="Times New Roman" w:hAnsi="Times New Roman" w:eastAsia="宋体" w:cs="Times New Roman"/>
                <w:snapToGrid w:val="0"/>
                <w:color w:val="auto"/>
                <w:kern w:val="0"/>
                <w:sz w:val="26"/>
                <w:szCs w:val="26"/>
                <w:vertAlign w:val="subscript"/>
                <w:lang w:val="en-US" w:eastAsia="zh-CN"/>
              </w:rPr>
              <w:t>3</w:t>
            </w:r>
            <w:r>
              <w:rPr>
                <w:rFonts w:hint="eastAsia" w:ascii="Times New Roman" w:hAnsi="Times New Roman" w:eastAsia="宋体" w:cs="Times New Roman"/>
                <w:snapToGrid w:val="0"/>
                <w:color w:val="auto"/>
                <w:kern w:val="0"/>
                <w:sz w:val="26"/>
                <w:szCs w:val="26"/>
              </w:rPr>
              <w:t>日最大8h平均浓度的第90百分位数</w:t>
            </w:r>
            <w:r>
              <w:rPr>
                <w:rFonts w:hint="eastAsia" w:ascii="Times New Roman" w:hAnsi="Times New Roman" w:eastAsia="宋体" w:cs="Times New Roman"/>
                <w:snapToGrid w:val="0"/>
                <w:color w:val="auto"/>
                <w:kern w:val="0"/>
                <w:sz w:val="26"/>
                <w:szCs w:val="26"/>
                <w:lang w:val="en-US" w:eastAsia="zh-CN"/>
              </w:rPr>
              <w:t>均</w:t>
            </w:r>
            <w:r>
              <w:rPr>
                <w:rFonts w:hint="eastAsia" w:ascii="Times New Roman" w:hAnsi="Times New Roman" w:eastAsia="宋体" w:cs="Times New Roman"/>
                <w:color w:val="auto"/>
                <w:sz w:val="26"/>
                <w:szCs w:val="26"/>
              </w:rPr>
              <w:t>满足《环境空气质量标准》（GB3095-2012）二类区域标准</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rPr>
              <w:t>项目所在区域属于</w:t>
            </w:r>
            <w:r>
              <w:rPr>
                <w:rFonts w:hint="eastAsia" w:ascii="Times New Roman" w:hAnsi="Times New Roman" w:eastAsia="宋体" w:cs="Times New Roman"/>
                <w:color w:val="auto"/>
                <w:sz w:val="26"/>
                <w:szCs w:val="26"/>
                <w:lang w:val="en-US" w:eastAsia="zh-CN"/>
              </w:rPr>
              <w:t>环境空气</w:t>
            </w:r>
            <w:r>
              <w:rPr>
                <w:rFonts w:hint="eastAsia" w:ascii="Times New Roman" w:hAnsi="Times New Roman" w:eastAsia="宋体" w:cs="Times New Roman"/>
                <w:color w:val="auto"/>
                <w:sz w:val="26"/>
                <w:szCs w:val="26"/>
              </w:rPr>
              <w:t>达标区。</w:t>
            </w:r>
          </w:p>
          <w:p w14:paraId="580394BA">
            <w:pPr>
              <w:adjustRightInd w:val="0"/>
              <w:snapToGrid w:val="0"/>
              <w:spacing w:line="460" w:lineRule="exact"/>
              <w:jc w:val="left"/>
              <w:rPr>
                <w:rFonts w:hint="default" w:ascii="Times New Roman" w:hAnsi="Times New Roman" w:eastAsia="宋体" w:cs="Times New Roman"/>
                <w:b/>
                <w:color w:val="auto"/>
                <w:sz w:val="26"/>
                <w:szCs w:val="26"/>
                <w:lang w:val="en-US" w:eastAsia="zh-CN"/>
              </w:rPr>
            </w:pPr>
            <w:r>
              <w:rPr>
                <w:rFonts w:hint="eastAsia" w:ascii="Times New Roman" w:hAnsi="Times New Roman" w:eastAsia="宋体" w:cs="Times New Roman"/>
                <w:b/>
                <w:color w:val="auto"/>
                <w:sz w:val="26"/>
                <w:szCs w:val="26"/>
              </w:rPr>
              <w:t>3.1.2</w:t>
            </w:r>
            <w:r>
              <w:rPr>
                <w:rFonts w:hint="eastAsia" w:ascii="Times New Roman" w:hAnsi="Times New Roman" w:eastAsia="宋体" w:cs="Times New Roman"/>
                <w:b/>
                <w:color w:val="auto"/>
                <w:sz w:val="26"/>
                <w:szCs w:val="26"/>
                <w:lang w:val="en-US" w:eastAsia="zh-CN"/>
              </w:rPr>
              <w:t>特征环境空气污染物现状监测与评价</w:t>
            </w:r>
          </w:p>
          <w:p w14:paraId="1779F067">
            <w:pPr>
              <w:autoSpaceDE w:val="0"/>
              <w:autoSpaceDN w:val="0"/>
              <w:adjustRightInd w:val="0"/>
              <w:spacing w:line="460" w:lineRule="exact"/>
              <w:ind w:firstLine="520" w:firstLineChars="200"/>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本项目排放的废气中污染因子主要为氟化物、氯化氢及非甲烷总烃。氟化物、氯化氢环境质量现状引用重庆智海科技有限责任公司《监测报告》（监测报告：渝智海字(2025)第HJ052A02号）中“铸造二车间南侧”监测点位监测数据（本评价重新命名为G1），该监测点位于项目西南侧约0.4km，监测时间为2025年1月17日~1月23日；非甲烷总烃环境质量现状引用重庆港庆测控技术有限公司《检测报告》（港庆（监）字〔2024〕第07003-1-HP号）中“规划区内规划居住用地”监测点位监测数据（本评价重新命名为G2），该监测点位于项目东南侧约2.3km，监测时间为2024年8月16日~8月22日。引用监测资料的监测点位置以及监测时间均能满足报告表编制技术指南中“引用建设项目周边5千米范围内近3年的现有监测数据”的要求。</w:t>
            </w:r>
          </w:p>
          <w:p w14:paraId="1618B92A">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1</w:t>
            </w:r>
            <w:r>
              <w:rPr>
                <w:rFonts w:hint="eastAsia"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监测时间</w:t>
            </w:r>
            <w:r>
              <w:rPr>
                <w:rFonts w:hint="eastAsia" w:ascii="Times New Roman" w:hAnsi="Times New Roman" w:eastAsia="宋体" w:cs="Times New Roman"/>
                <w:color w:val="auto"/>
                <w:sz w:val="26"/>
                <w:szCs w:val="26"/>
                <w:lang w:val="en-US" w:eastAsia="zh-CN"/>
              </w:rPr>
              <w:t>及频率</w:t>
            </w:r>
            <w:r>
              <w:rPr>
                <w:rFonts w:hint="default" w:ascii="Times New Roman" w:hAnsi="Times New Roman" w:eastAsia="宋体" w:cs="Times New Roman"/>
                <w:color w:val="auto"/>
                <w:sz w:val="26"/>
                <w:szCs w:val="26"/>
              </w:rPr>
              <w:t>：</w:t>
            </w:r>
            <w:r>
              <w:rPr>
                <w:rFonts w:hint="eastAsia" w:ascii="Times New Roman" w:hAnsi="Times New Roman" w:eastAsia="宋体" w:cs="Times New Roman"/>
                <w:color w:val="auto"/>
                <w:sz w:val="26"/>
                <w:szCs w:val="26"/>
                <w:lang w:val="en-US" w:eastAsia="zh-CN"/>
              </w:rPr>
              <w:t>①</w:t>
            </w:r>
            <w:r>
              <w:rPr>
                <w:rFonts w:hint="default" w:ascii="Times New Roman" w:hAnsi="Times New Roman" w:eastAsia="宋体" w:cs="Times New Roman"/>
                <w:color w:val="auto"/>
                <w:kern w:val="0"/>
                <w:sz w:val="26"/>
                <w:szCs w:val="26"/>
                <w:lang w:val="en-US" w:eastAsia="zh-CN"/>
              </w:rPr>
              <w:t>HCl</w:t>
            </w:r>
            <w:r>
              <w:rPr>
                <w:rFonts w:hint="eastAsia" w:ascii="Times New Roman" w:hAnsi="Times New Roman" w:eastAsia="宋体" w:cs="Times New Roman"/>
                <w:color w:val="auto"/>
                <w:kern w:val="0"/>
                <w:sz w:val="26"/>
                <w:szCs w:val="26"/>
                <w:lang w:val="en-US" w:eastAsia="zh-CN"/>
              </w:rPr>
              <w:t>、氟化物：</w:t>
            </w:r>
            <w:r>
              <w:rPr>
                <w:rFonts w:hint="default" w:ascii="Times New Roman" w:hAnsi="Times New Roman" w:eastAsia="宋体" w:cs="Times New Roman"/>
                <w:color w:val="auto"/>
                <w:sz w:val="26"/>
                <w:szCs w:val="26"/>
              </w:rPr>
              <w:t>202</w:t>
            </w:r>
            <w:r>
              <w:rPr>
                <w:rFonts w:hint="eastAsia" w:ascii="Times New Roman" w:hAnsi="Times New Roman" w:eastAsia="宋体" w:cs="Times New Roman"/>
                <w:color w:val="auto"/>
                <w:sz w:val="26"/>
                <w:szCs w:val="26"/>
                <w:lang w:val="en-US" w:eastAsia="zh-CN"/>
              </w:rPr>
              <w:t>5</w:t>
            </w:r>
            <w:r>
              <w:rPr>
                <w:rFonts w:hint="default" w:ascii="Times New Roman" w:hAnsi="Times New Roman" w:eastAsia="宋体" w:cs="Times New Roman"/>
                <w:color w:val="auto"/>
                <w:sz w:val="26"/>
                <w:szCs w:val="26"/>
              </w:rPr>
              <w:t>年</w:t>
            </w:r>
            <w:r>
              <w:rPr>
                <w:rFonts w:hint="eastAsia" w:ascii="Times New Roman" w:hAnsi="Times New Roman" w:eastAsia="宋体" w:cs="Times New Roman"/>
                <w:color w:val="auto"/>
                <w:sz w:val="26"/>
                <w:szCs w:val="26"/>
                <w:lang w:val="en-US" w:eastAsia="zh-CN"/>
              </w:rPr>
              <w:t>1</w:t>
            </w:r>
            <w:r>
              <w:rPr>
                <w:rFonts w:hint="default" w:ascii="Times New Roman" w:hAnsi="Times New Roman" w:eastAsia="宋体" w:cs="Times New Roman"/>
                <w:color w:val="auto"/>
                <w:sz w:val="26"/>
                <w:szCs w:val="26"/>
              </w:rPr>
              <w:t>月</w:t>
            </w:r>
            <w:r>
              <w:rPr>
                <w:rFonts w:hint="default" w:ascii="Times New Roman" w:hAnsi="Times New Roman" w:eastAsia="宋体" w:cs="Times New Roman"/>
                <w:color w:val="auto"/>
                <w:sz w:val="26"/>
                <w:szCs w:val="26"/>
                <w:lang w:val="en-US" w:eastAsia="zh-CN"/>
              </w:rPr>
              <w:t>1</w:t>
            </w:r>
            <w:r>
              <w:rPr>
                <w:rFonts w:hint="eastAsia" w:ascii="Times New Roman" w:hAnsi="Times New Roman" w:eastAsia="宋体" w:cs="Times New Roman"/>
                <w:color w:val="auto"/>
                <w:sz w:val="26"/>
                <w:szCs w:val="26"/>
                <w:lang w:val="en-US" w:eastAsia="zh-CN"/>
              </w:rPr>
              <w:t>7</w:t>
            </w:r>
            <w:r>
              <w:rPr>
                <w:rFonts w:hint="default" w:ascii="Times New Roman" w:hAnsi="Times New Roman" w:eastAsia="宋体" w:cs="Times New Roman"/>
                <w:color w:val="auto"/>
                <w:sz w:val="26"/>
                <w:szCs w:val="26"/>
              </w:rPr>
              <w:t>日～</w:t>
            </w:r>
            <w:r>
              <w:rPr>
                <w:rFonts w:hint="eastAsia" w:ascii="Times New Roman" w:hAnsi="Times New Roman" w:eastAsia="宋体" w:cs="Times New Roman"/>
                <w:color w:val="auto"/>
                <w:sz w:val="26"/>
                <w:szCs w:val="26"/>
                <w:lang w:val="en-US" w:eastAsia="zh-CN"/>
              </w:rPr>
              <w:t>1</w:t>
            </w:r>
            <w:r>
              <w:rPr>
                <w:rFonts w:hint="default" w:ascii="Times New Roman" w:hAnsi="Times New Roman" w:eastAsia="宋体" w:cs="Times New Roman"/>
                <w:color w:val="auto"/>
                <w:sz w:val="26"/>
                <w:szCs w:val="26"/>
              </w:rPr>
              <w:t>月</w:t>
            </w:r>
            <w:r>
              <w:rPr>
                <w:rFonts w:hint="default" w:ascii="Times New Roman" w:hAnsi="Times New Roman" w:eastAsia="宋体" w:cs="Times New Roman"/>
                <w:color w:val="auto"/>
                <w:sz w:val="26"/>
                <w:szCs w:val="26"/>
                <w:lang w:val="en-US" w:eastAsia="zh-CN"/>
              </w:rPr>
              <w:t>2</w:t>
            </w:r>
            <w:r>
              <w:rPr>
                <w:rFonts w:hint="eastAsia" w:ascii="Times New Roman" w:hAnsi="Times New Roman" w:eastAsia="宋体" w:cs="Times New Roman"/>
                <w:color w:val="auto"/>
                <w:sz w:val="26"/>
                <w:szCs w:val="26"/>
                <w:lang w:val="en-US" w:eastAsia="zh-CN"/>
              </w:rPr>
              <w:t>3</w:t>
            </w:r>
            <w:r>
              <w:rPr>
                <w:rFonts w:hint="default" w:ascii="Times New Roman" w:hAnsi="Times New Roman" w:eastAsia="宋体" w:cs="Times New Roman"/>
                <w:color w:val="auto"/>
                <w:sz w:val="26"/>
                <w:szCs w:val="26"/>
              </w:rPr>
              <w:t>日</w:t>
            </w: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kern w:val="0"/>
                <w:sz w:val="26"/>
                <w:szCs w:val="26"/>
              </w:rPr>
              <w:t>连续监测7天</w:t>
            </w:r>
            <w:r>
              <w:rPr>
                <w:rFonts w:hint="eastAsia" w:ascii="Times New Roman" w:hAnsi="Times New Roman" w:eastAsia="宋体" w:cs="Times New Roman"/>
                <w:color w:val="auto"/>
                <w:kern w:val="0"/>
                <w:sz w:val="26"/>
                <w:szCs w:val="26"/>
                <w:lang w:eastAsia="zh-CN"/>
              </w:rPr>
              <w:t>，</w:t>
            </w:r>
            <w:r>
              <w:rPr>
                <w:rFonts w:hint="eastAsia" w:ascii="Times New Roman" w:hAnsi="Times New Roman" w:eastAsia="宋体" w:cs="Times New Roman"/>
                <w:color w:val="auto"/>
                <w:kern w:val="0"/>
                <w:sz w:val="26"/>
                <w:szCs w:val="26"/>
                <w:lang w:val="en-US" w:eastAsia="zh-CN"/>
              </w:rPr>
              <w:t>每天</w:t>
            </w:r>
            <w:r>
              <w:rPr>
                <w:rFonts w:hint="eastAsia" w:ascii="Times New Roman" w:hAnsi="Times New Roman" w:eastAsia="宋体" w:cs="Times New Roman"/>
                <w:color w:val="auto"/>
                <w:kern w:val="0"/>
                <w:sz w:val="26"/>
                <w:szCs w:val="26"/>
              </w:rPr>
              <w:t>获取02</w:t>
            </w:r>
            <w:r>
              <w:rPr>
                <w:rFonts w:hint="eastAsia" w:ascii="Times New Roman" w:hAnsi="Times New Roman" w:eastAsia="宋体" w:cs="Times New Roman"/>
                <w:color w:val="auto"/>
                <w:kern w:val="0"/>
                <w:sz w:val="26"/>
                <w:szCs w:val="26"/>
                <w:lang w:eastAsia="zh-CN"/>
              </w:rPr>
              <w:t>、</w:t>
            </w:r>
            <w:r>
              <w:rPr>
                <w:rFonts w:hint="eastAsia" w:ascii="Times New Roman" w:hAnsi="Times New Roman" w:eastAsia="宋体" w:cs="Times New Roman"/>
                <w:color w:val="auto"/>
                <w:kern w:val="0"/>
                <w:sz w:val="26"/>
                <w:szCs w:val="26"/>
              </w:rPr>
              <w:t>08</w:t>
            </w:r>
            <w:r>
              <w:rPr>
                <w:rFonts w:hint="eastAsia" w:ascii="Times New Roman" w:hAnsi="Times New Roman" w:eastAsia="宋体" w:cs="Times New Roman"/>
                <w:color w:val="auto"/>
                <w:kern w:val="0"/>
                <w:sz w:val="26"/>
                <w:szCs w:val="26"/>
                <w:lang w:eastAsia="zh-CN"/>
              </w:rPr>
              <w:t>、</w:t>
            </w:r>
            <w:r>
              <w:rPr>
                <w:rFonts w:hint="eastAsia" w:ascii="Times New Roman" w:hAnsi="Times New Roman" w:eastAsia="宋体" w:cs="Times New Roman"/>
                <w:color w:val="auto"/>
                <w:kern w:val="0"/>
                <w:sz w:val="26"/>
                <w:szCs w:val="26"/>
              </w:rPr>
              <w:t>14</w:t>
            </w:r>
            <w:r>
              <w:rPr>
                <w:rFonts w:hint="eastAsia" w:ascii="Times New Roman" w:hAnsi="Times New Roman" w:eastAsia="宋体" w:cs="Times New Roman"/>
                <w:color w:val="auto"/>
                <w:kern w:val="0"/>
                <w:sz w:val="26"/>
                <w:szCs w:val="26"/>
                <w:lang w:eastAsia="zh-CN"/>
              </w:rPr>
              <w:t>、</w:t>
            </w:r>
            <w:r>
              <w:rPr>
                <w:rFonts w:hint="eastAsia" w:ascii="Times New Roman" w:hAnsi="Times New Roman" w:eastAsia="宋体" w:cs="Times New Roman"/>
                <w:color w:val="auto"/>
                <w:kern w:val="0"/>
                <w:sz w:val="26"/>
                <w:szCs w:val="26"/>
              </w:rPr>
              <w:t>20时</w:t>
            </w:r>
            <w:r>
              <w:rPr>
                <w:rFonts w:hint="eastAsia" w:ascii="Times New Roman" w:hAnsi="Times New Roman" w:eastAsia="宋体" w:cs="Times New Roman"/>
                <w:color w:val="auto"/>
                <w:kern w:val="0"/>
                <w:sz w:val="26"/>
                <w:szCs w:val="26"/>
                <w:lang w:val="en-US" w:eastAsia="zh-CN"/>
              </w:rPr>
              <w:t>等</w:t>
            </w:r>
            <w:r>
              <w:rPr>
                <w:rFonts w:hint="eastAsia" w:ascii="Times New Roman" w:hAnsi="Times New Roman" w:eastAsia="宋体" w:cs="Times New Roman"/>
                <w:color w:val="auto"/>
                <w:kern w:val="0"/>
                <w:sz w:val="26"/>
                <w:szCs w:val="26"/>
              </w:rPr>
              <w:t>4个小时浓度值</w:t>
            </w:r>
            <w:r>
              <w:rPr>
                <w:rFonts w:hint="eastAsia" w:ascii="Times New Roman" w:hAnsi="Times New Roman" w:eastAsia="宋体" w:cs="Times New Roman"/>
                <w:color w:val="auto"/>
                <w:kern w:val="0"/>
                <w:sz w:val="26"/>
                <w:szCs w:val="26"/>
                <w:lang w:eastAsia="zh-CN"/>
              </w:rPr>
              <w:t>；</w:t>
            </w:r>
            <w:r>
              <w:rPr>
                <w:rFonts w:hint="eastAsia" w:ascii="Times New Roman" w:hAnsi="Times New Roman" w:eastAsia="宋体" w:cs="Times New Roman"/>
                <w:color w:val="auto"/>
                <w:kern w:val="0"/>
                <w:sz w:val="26"/>
                <w:szCs w:val="26"/>
                <w:lang w:val="en-US" w:eastAsia="zh-CN"/>
              </w:rPr>
              <w:t>②非甲烷总烃：2024年8月16日~8月22日，连续监测7天，每天获取02、08、14、20时等4个小时浓度值</w:t>
            </w:r>
          </w:p>
          <w:p w14:paraId="269C75AE">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2</w:t>
            </w:r>
            <w:r>
              <w:rPr>
                <w:rFonts w:hint="eastAsia"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监测点位：</w:t>
            </w:r>
            <w:r>
              <w:rPr>
                <w:rFonts w:hint="eastAsia" w:ascii="Times New Roman" w:hAnsi="Times New Roman" w:eastAsia="宋体" w:cs="Times New Roman"/>
                <w:color w:val="auto"/>
                <w:kern w:val="0"/>
                <w:sz w:val="26"/>
                <w:szCs w:val="26"/>
                <w:lang w:val="en-US" w:eastAsia="zh-CN" w:bidi="ar"/>
              </w:rPr>
              <w:t>G</w:t>
            </w:r>
            <w:r>
              <w:rPr>
                <w:rFonts w:hint="default" w:ascii="Times New Roman" w:hAnsi="Times New Roman" w:eastAsia="宋体" w:cs="Times New Roman"/>
                <w:color w:val="auto"/>
                <w:kern w:val="0"/>
                <w:sz w:val="26"/>
                <w:szCs w:val="26"/>
                <w:lang w:val="en-US" w:eastAsia="zh-CN" w:bidi="ar"/>
              </w:rPr>
              <w:t>1监测点位</w:t>
            </w:r>
            <w:r>
              <w:rPr>
                <w:rFonts w:hint="default" w:ascii="Times New Roman" w:hAnsi="Times New Roman" w:eastAsia="宋体" w:cs="Times New Roman"/>
                <w:color w:val="auto"/>
                <w:sz w:val="26"/>
                <w:szCs w:val="26"/>
                <w:lang w:val="en-US" w:eastAsia="zh-CN"/>
              </w:rPr>
              <w:t>，位于本项目</w:t>
            </w:r>
            <w:r>
              <w:rPr>
                <w:rFonts w:hint="eastAsia" w:ascii="Times New Roman" w:hAnsi="Times New Roman" w:eastAsia="宋体" w:cs="Times New Roman"/>
                <w:color w:val="auto"/>
                <w:sz w:val="26"/>
                <w:szCs w:val="26"/>
                <w:lang w:val="en-US" w:eastAsia="zh-CN"/>
              </w:rPr>
              <w:t>西南</w:t>
            </w:r>
            <w:r>
              <w:rPr>
                <w:rFonts w:hint="default" w:ascii="Times New Roman" w:hAnsi="Times New Roman" w:eastAsia="宋体" w:cs="Times New Roman"/>
                <w:color w:val="auto"/>
                <w:sz w:val="26"/>
                <w:szCs w:val="26"/>
                <w:lang w:val="en-US" w:eastAsia="zh-CN"/>
              </w:rPr>
              <w:t>侧</w:t>
            </w:r>
            <w:r>
              <w:rPr>
                <w:rFonts w:hint="eastAsia" w:ascii="Times New Roman" w:hAnsi="Times New Roman" w:eastAsia="宋体" w:cs="Times New Roman"/>
                <w:color w:val="auto"/>
                <w:sz w:val="26"/>
                <w:szCs w:val="26"/>
                <w:lang w:val="en-US" w:eastAsia="zh-CN"/>
              </w:rPr>
              <w:t>0.4km处</w:t>
            </w:r>
            <w:r>
              <w:rPr>
                <w:rFonts w:hint="default" w:ascii="Times New Roman" w:hAnsi="Times New Roman" w:eastAsia="宋体" w:cs="Times New Roman"/>
                <w:color w:val="auto"/>
                <w:sz w:val="26"/>
                <w:szCs w:val="26"/>
              </w:rPr>
              <w:t>；</w:t>
            </w:r>
            <w:r>
              <w:rPr>
                <w:rFonts w:hint="default" w:ascii="Times New Roman" w:hAnsi="Times New Roman" w:eastAsia="宋体" w:cs="Times New Roman"/>
                <w:color w:val="auto"/>
                <w:sz w:val="26"/>
                <w:szCs w:val="26"/>
                <w:lang w:val="en-US" w:eastAsia="zh-CN"/>
              </w:rPr>
              <w:t>G</w:t>
            </w:r>
            <w:r>
              <w:rPr>
                <w:rFonts w:hint="eastAsia" w:ascii="Times New Roman" w:hAnsi="Times New Roman" w:eastAsia="宋体" w:cs="Times New Roman"/>
                <w:color w:val="auto"/>
                <w:sz w:val="26"/>
                <w:szCs w:val="26"/>
                <w:lang w:val="en-US" w:eastAsia="zh-CN"/>
              </w:rPr>
              <w:t>2</w:t>
            </w:r>
            <w:r>
              <w:rPr>
                <w:rFonts w:hint="default" w:ascii="Times New Roman" w:hAnsi="Times New Roman" w:eastAsia="宋体" w:cs="Times New Roman"/>
                <w:color w:val="auto"/>
                <w:sz w:val="26"/>
                <w:szCs w:val="26"/>
                <w:lang w:val="en-US" w:eastAsia="zh-CN"/>
              </w:rPr>
              <w:t>监测点位，位于本项目</w:t>
            </w:r>
            <w:r>
              <w:rPr>
                <w:rFonts w:hint="eastAsia" w:ascii="Times New Roman" w:hAnsi="Times New Roman" w:eastAsia="宋体" w:cs="Times New Roman"/>
                <w:color w:val="auto"/>
                <w:sz w:val="26"/>
                <w:szCs w:val="26"/>
                <w:lang w:val="en-US" w:eastAsia="zh-CN"/>
              </w:rPr>
              <w:t>东南</w:t>
            </w:r>
            <w:r>
              <w:rPr>
                <w:rFonts w:hint="default" w:ascii="Times New Roman" w:hAnsi="Times New Roman" w:eastAsia="宋体" w:cs="Times New Roman"/>
                <w:color w:val="auto"/>
                <w:sz w:val="26"/>
                <w:szCs w:val="26"/>
                <w:lang w:val="en-US" w:eastAsia="zh-CN"/>
              </w:rPr>
              <w:t>侧</w:t>
            </w:r>
            <w:r>
              <w:rPr>
                <w:rFonts w:hint="eastAsia" w:ascii="Times New Roman" w:hAnsi="Times New Roman" w:eastAsia="宋体" w:cs="Times New Roman"/>
                <w:color w:val="auto"/>
                <w:sz w:val="26"/>
                <w:szCs w:val="26"/>
                <w:lang w:val="en-US" w:eastAsia="zh-CN"/>
              </w:rPr>
              <w:t>2.3</w:t>
            </w:r>
            <w:r>
              <w:rPr>
                <w:rFonts w:hint="default" w:ascii="Times New Roman" w:hAnsi="Times New Roman" w:eastAsia="宋体" w:cs="Times New Roman"/>
                <w:color w:val="auto"/>
                <w:sz w:val="26"/>
                <w:szCs w:val="26"/>
                <w:lang w:val="en-US" w:eastAsia="zh-CN"/>
              </w:rPr>
              <w:t>km处</w:t>
            </w:r>
            <w:r>
              <w:rPr>
                <w:rFonts w:hint="default" w:ascii="Times New Roman" w:hAnsi="Times New Roman" w:eastAsia="宋体" w:cs="Times New Roman"/>
                <w:color w:val="auto"/>
                <w:sz w:val="26"/>
                <w:szCs w:val="26"/>
              </w:rPr>
              <w:t>；</w:t>
            </w:r>
          </w:p>
          <w:p w14:paraId="441C3AD9">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lang w:eastAsia="zh-CN"/>
              </w:rPr>
              <w:t>（</w:t>
            </w:r>
            <w:r>
              <w:rPr>
                <w:rFonts w:hint="eastAsia" w:ascii="Times New Roman" w:hAnsi="Times New Roman" w:eastAsia="宋体" w:cs="Times New Roman"/>
                <w:color w:val="auto"/>
                <w:sz w:val="26"/>
                <w:szCs w:val="26"/>
                <w:lang w:val="en-US" w:eastAsia="zh-CN"/>
              </w:rPr>
              <w:t>3</w:t>
            </w:r>
            <w:r>
              <w:rPr>
                <w:rFonts w:hint="eastAsia" w:ascii="Times New Roman" w:hAnsi="Times New Roman" w:eastAsia="宋体" w:cs="Times New Roman"/>
                <w:color w:val="auto"/>
                <w:sz w:val="26"/>
                <w:szCs w:val="26"/>
                <w:lang w:eastAsia="zh-CN"/>
              </w:rPr>
              <w:t>）</w:t>
            </w:r>
            <w:r>
              <w:rPr>
                <w:rFonts w:hint="default" w:ascii="Times New Roman" w:hAnsi="Times New Roman" w:eastAsia="宋体" w:cs="Times New Roman"/>
                <w:color w:val="auto"/>
                <w:sz w:val="26"/>
                <w:szCs w:val="26"/>
              </w:rPr>
              <w:t>监测因子：</w:t>
            </w:r>
            <w:r>
              <w:rPr>
                <w:rFonts w:hint="default" w:ascii="Times New Roman" w:hAnsi="Times New Roman" w:eastAsia="宋体" w:cs="Times New Roman"/>
                <w:color w:val="auto"/>
                <w:sz w:val="26"/>
                <w:szCs w:val="26"/>
                <w:lang w:val="en-US" w:eastAsia="zh-CN"/>
              </w:rPr>
              <w:t>HCl、氟化物</w:t>
            </w:r>
            <w:r>
              <w:rPr>
                <w:rFonts w:hint="eastAsia" w:ascii="Times New Roman" w:hAnsi="Times New Roman" w:eastAsia="宋体" w:cs="Times New Roman"/>
                <w:color w:val="auto"/>
                <w:sz w:val="26"/>
                <w:szCs w:val="26"/>
                <w:lang w:val="en-US" w:eastAsia="zh-CN"/>
              </w:rPr>
              <w:t>、非甲烷总烃</w:t>
            </w:r>
            <w:r>
              <w:rPr>
                <w:rFonts w:hint="default" w:ascii="Times New Roman" w:hAnsi="Times New Roman" w:eastAsia="宋体" w:cs="Times New Roman"/>
                <w:color w:val="auto"/>
                <w:sz w:val="26"/>
                <w:szCs w:val="26"/>
              </w:rPr>
              <w:t>；</w:t>
            </w:r>
          </w:p>
          <w:p w14:paraId="62AD2155">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lang w:val="en-US" w:eastAsia="zh-CN"/>
              </w:rPr>
              <w:t>（4）</w:t>
            </w:r>
            <w:r>
              <w:rPr>
                <w:rFonts w:hint="default" w:ascii="Times New Roman" w:hAnsi="Times New Roman" w:eastAsia="宋体" w:cs="Times New Roman"/>
                <w:color w:val="auto"/>
                <w:sz w:val="26"/>
                <w:szCs w:val="26"/>
              </w:rPr>
              <w:t>评价方法及模式：根据《环境影响评价技术导则 大气环境》（HJ2.2-2018），采用最大监测浓度占标率对评价区域大气环境质量现状进行评价，评价模式如下：</w:t>
            </w:r>
          </w:p>
          <w:p w14:paraId="66E0643C">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P</w:t>
            </w:r>
            <w:r>
              <w:rPr>
                <w:rFonts w:hint="default" w:ascii="Times New Roman" w:hAnsi="Times New Roman" w:eastAsia="宋体" w:cs="Times New Roman"/>
                <w:color w:val="auto"/>
                <w:sz w:val="26"/>
                <w:szCs w:val="26"/>
                <w:vertAlign w:val="subscript"/>
              </w:rPr>
              <w:t>i</w:t>
            </w:r>
            <w:r>
              <w:rPr>
                <w:rFonts w:hint="default" w:ascii="Times New Roman" w:hAnsi="Times New Roman" w:eastAsia="宋体" w:cs="Times New Roman"/>
                <w:color w:val="auto"/>
                <w:sz w:val="26"/>
                <w:szCs w:val="26"/>
              </w:rPr>
              <w:t>=C</w:t>
            </w:r>
            <w:r>
              <w:rPr>
                <w:rFonts w:hint="default" w:ascii="Times New Roman" w:hAnsi="Times New Roman" w:eastAsia="宋体" w:cs="Times New Roman"/>
                <w:color w:val="auto"/>
                <w:sz w:val="26"/>
                <w:szCs w:val="26"/>
                <w:vertAlign w:val="subscript"/>
              </w:rPr>
              <w:t>i</w:t>
            </w:r>
            <w:r>
              <w:rPr>
                <w:rFonts w:hint="default" w:ascii="Times New Roman" w:hAnsi="Times New Roman" w:eastAsia="宋体" w:cs="Times New Roman"/>
                <w:color w:val="auto"/>
                <w:sz w:val="26"/>
                <w:szCs w:val="26"/>
              </w:rPr>
              <w:t>/C</w:t>
            </w:r>
            <w:r>
              <w:rPr>
                <w:rFonts w:hint="default" w:ascii="Times New Roman" w:hAnsi="Times New Roman" w:eastAsia="宋体" w:cs="Times New Roman"/>
                <w:color w:val="auto"/>
                <w:sz w:val="26"/>
                <w:szCs w:val="26"/>
                <w:vertAlign w:val="subscript"/>
              </w:rPr>
              <w:t>0i</w:t>
            </w:r>
            <w:r>
              <w:rPr>
                <w:rFonts w:hint="default" w:ascii="Times New Roman" w:hAnsi="Times New Roman" w:eastAsia="宋体" w:cs="Times New Roman"/>
                <w:color w:val="auto"/>
                <w:sz w:val="26"/>
                <w:szCs w:val="26"/>
              </w:rPr>
              <w:t>×100%</w:t>
            </w:r>
          </w:p>
          <w:p w14:paraId="1B3C5C7D">
            <w:pPr>
              <w:adjustRightInd w:val="0"/>
              <w:snapToGrid w:val="0"/>
              <w:spacing w:line="480" w:lineRule="exact"/>
              <w:ind w:firstLine="520" w:firstLineChars="2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式中：P</w:t>
            </w:r>
            <w:r>
              <w:rPr>
                <w:rFonts w:hint="default" w:ascii="Times New Roman" w:hAnsi="Times New Roman" w:eastAsia="宋体" w:cs="Times New Roman"/>
                <w:color w:val="auto"/>
                <w:sz w:val="26"/>
                <w:szCs w:val="26"/>
                <w:vertAlign w:val="subscript"/>
              </w:rPr>
              <w:t>i</w:t>
            </w:r>
            <w:r>
              <w:rPr>
                <w:rFonts w:hint="default" w:ascii="Times New Roman" w:hAnsi="Times New Roman" w:eastAsia="宋体" w:cs="Times New Roman"/>
                <w:color w:val="auto"/>
                <w:sz w:val="26"/>
                <w:szCs w:val="26"/>
              </w:rPr>
              <w:t>——第i个污染物的最大地面空气质量浓度占标率，%；</w:t>
            </w:r>
          </w:p>
          <w:p w14:paraId="06B42091">
            <w:pPr>
              <w:adjustRightInd w:val="0"/>
              <w:snapToGrid w:val="0"/>
              <w:spacing w:line="480" w:lineRule="exact"/>
              <w:ind w:firstLine="1300" w:firstLineChars="500"/>
              <w:rPr>
                <w:rFonts w:hint="default"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C</w:t>
            </w:r>
            <w:r>
              <w:rPr>
                <w:rFonts w:hint="default" w:ascii="Times New Roman" w:hAnsi="Times New Roman" w:eastAsia="宋体" w:cs="Times New Roman"/>
                <w:color w:val="auto"/>
                <w:sz w:val="26"/>
                <w:szCs w:val="26"/>
                <w:vertAlign w:val="subscript"/>
              </w:rPr>
              <w:t>i</w:t>
            </w:r>
            <w:r>
              <w:rPr>
                <w:rFonts w:hint="default" w:ascii="Times New Roman" w:hAnsi="Times New Roman" w:eastAsia="宋体" w:cs="Times New Roman"/>
                <w:color w:val="auto"/>
                <w:sz w:val="26"/>
                <w:szCs w:val="26"/>
              </w:rPr>
              <w:t>——采用估算模型计算出的第i个污染物的最大1h地面空气质量浓度，</w:t>
            </w:r>
            <w:r>
              <w:rPr>
                <w:rFonts w:hint="default" w:ascii="Times New Roman" w:hAnsi="Times New Roman" w:eastAsia="宋体" w:cs="Times New Roman"/>
                <w:color w:val="auto"/>
                <w:sz w:val="26"/>
                <w:szCs w:val="26"/>
                <w:lang w:eastAsia="zh-CN"/>
              </w:rPr>
              <w:t>μg/m</w:t>
            </w:r>
            <w:r>
              <w:rPr>
                <w:rFonts w:hint="default" w:ascii="Times New Roman" w:hAnsi="Times New Roman" w:eastAsia="宋体" w:cs="Times New Roman"/>
                <w:color w:val="auto"/>
                <w:sz w:val="26"/>
                <w:szCs w:val="26"/>
                <w:vertAlign w:val="superscript"/>
                <w:lang w:eastAsia="zh-CN"/>
              </w:rPr>
              <w:t>3</w:t>
            </w:r>
            <w:r>
              <w:rPr>
                <w:rFonts w:hint="default" w:ascii="Times New Roman" w:hAnsi="Times New Roman" w:eastAsia="宋体" w:cs="Times New Roman"/>
                <w:color w:val="auto"/>
                <w:sz w:val="26"/>
                <w:szCs w:val="26"/>
              </w:rPr>
              <w:t>；</w:t>
            </w:r>
          </w:p>
          <w:p w14:paraId="57A56B79">
            <w:pPr>
              <w:keepNext w:val="0"/>
              <w:keepLines w:val="0"/>
              <w:pageBreakBefore w:val="0"/>
              <w:widowControl w:val="0"/>
              <w:kinsoku/>
              <w:wordWrap/>
              <w:overflowPunct/>
              <w:topLinePunct w:val="0"/>
              <w:autoSpaceDE w:val="0"/>
              <w:autoSpaceDN w:val="0"/>
              <w:bidi w:val="0"/>
              <w:adjustRightInd w:val="0"/>
              <w:snapToGrid/>
              <w:spacing w:line="460" w:lineRule="exact"/>
              <w:ind w:firstLine="1300" w:firstLineChars="500"/>
              <w:textAlignment w:val="auto"/>
              <w:rPr>
                <w:rFonts w:ascii="Times New Roman" w:hAnsi="Times New Roman" w:eastAsia="宋体" w:cs="Times New Roman"/>
                <w:color w:val="auto"/>
                <w:sz w:val="26"/>
                <w:szCs w:val="26"/>
              </w:rPr>
            </w:pPr>
            <w:r>
              <w:rPr>
                <w:rFonts w:hint="default" w:ascii="Times New Roman" w:hAnsi="Times New Roman" w:eastAsia="宋体" w:cs="Times New Roman"/>
                <w:color w:val="auto"/>
                <w:sz w:val="26"/>
                <w:szCs w:val="26"/>
              </w:rPr>
              <w:t>C</w:t>
            </w:r>
            <w:r>
              <w:rPr>
                <w:rFonts w:hint="default" w:ascii="Times New Roman" w:hAnsi="Times New Roman" w:eastAsia="宋体" w:cs="Times New Roman"/>
                <w:color w:val="auto"/>
                <w:sz w:val="26"/>
                <w:szCs w:val="26"/>
                <w:vertAlign w:val="subscript"/>
              </w:rPr>
              <w:t>0i</w:t>
            </w:r>
            <w:r>
              <w:rPr>
                <w:rFonts w:hint="default" w:ascii="Times New Roman" w:hAnsi="Times New Roman" w:eastAsia="宋体" w:cs="Times New Roman"/>
                <w:color w:val="auto"/>
                <w:sz w:val="26"/>
                <w:szCs w:val="26"/>
              </w:rPr>
              <w:t>——第i个污染物的环境空气质量浓度标准，</w:t>
            </w:r>
            <w:r>
              <w:rPr>
                <w:rFonts w:hint="default" w:ascii="Times New Roman" w:hAnsi="Times New Roman" w:eastAsia="宋体" w:cs="Times New Roman"/>
                <w:color w:val="auto"/>
                <w:sz w:val="26"/>
                <w:szCs w:val="26"/>
                <w:lang w:eastAsia="zh-CN"/>
              </w:rPr>
              <w:t>μg/m</w:t>
            </w:r>
            <w:r>
              <w:rPr>
                <w:rFonts w:hint="default" w:ascii="Times New Roman" w:hAnsi="Times New Roman" w:eastAsia="宋体" w:cs="Times New Roman"/>
                <w:color w:val="auto"/>
                <w:sz w:val="26"/>
                <w:szCs w:val="26"/>
                <w:vertAlign w:val="superscript"/>
                <w:lang w:eastAsia="zh-CN"/>
              </w:rPr>
              <w:t>3</w:t>
            </w:r>
            <w:r>
              <w:rPr>
                <w:rFonts w:ascii="Times New Roman" w:hAnsi="Times New Roman" w:eastAsia="宋体" w:cs="Times New Roman"/>
                <w:color w:val="auto"/>
                <w:sz w:val="26"/>
                <w:szCs w:val="26"/>
              </w:rPr>
              <w:t>。</w:t>
            </w:r>
          </w:p>
          <w:p w14:paraId="04676EFE">
            <w:pPr>
              <w:autoSpaceDE w:val="0"/>
              <w:autoSpaceDN w:val="0"/>
              <w:adjustRightInd w:val="0"/>
              <w:spacing w:line="460" w:lineRule="exact"/>
              <w:ind w:firstLine="520" w:firstLineChars="200"/>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w:t>
            </w:r>
            <w:r>
              <w:rPr>
                <w:rFonts w:hint="eastAsia" w:ascii="Times New Roman" w:hAnsi="Times New Roman" w:eastAsia="宋体" w:cs="Times New Roman"/>
                <w:color w:val="auto"/>
                <w:sz w:val="26"/>
                <w:szCs w:val="26"/>
                <w:lang w:val="en-US" w:eastAsia="zh-CN"/>
              </w:rPr>
              <w:t>5</w:t>
            </w:r>
            <w:r>
              <w:rPr>
                <w:rFonts w:ascii="Times New Roman" w:hAnsi="Times New Roman" w:eastAsia="宋体" w:cs="Times New Roman"/>
                <w:color w:val="auto"/>
                <w:sz w:val="26"/>
                <w:szCs w:val="26"/>
              </w:rPr>
              <w:t>）监测及评价结果</w:t>
            </w:r>
          </w:p>
          <w:p w14:paraId="5AE270AD">
            <w:pPr>
              <w:autoSpaceDE w:val="0"/>
              <w:autoSpaceDN w:val="0"/>
              <w:adjustRightInd w:val="0"/>
              <w:spacing w:line="460" w:lineRule="exact"/>
              <w:ind w:firstLine="520" w:firstLineChars="200"/>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环境空气现状监测统计及评价结果</w:t>
            </w:r>
            <w:r>
              <w:rPr>
                <w:rFonts w:hint="eastAsia" w:ascii="Times New Roman" w:hAnsi="Times New Roman" w:eastAsia="宋体" w:cs="Times New Roman"/>
                <w:color w:val="auto"/>
                <w:sz w:val="26"/>
                <w:szCs w:val="26"/>
                <w:lang w:val="en-US" w:eastAsia="zh-CN"/>
              </w:rPr>
              <w:t>见下表</w:t>
            </w:r>
            <w:r>
              <w:rPr>
                <w:rFonts w:ascii="Times New Roman" w:hAnsi="Times New Roman" w:eastAsia="宋体" w:cs="Times New Roman"/>
                <w:color w:val="auto"/>
                <w:sz w:val="26"/>
                <w:szCs w:val="26"/>
              </w:rPr>
              <w:t>。</w:t>
            </w:r>
          </w:p>
          <w:p w14:paraId="54D80B62">
            <w:pPr>
              <w:adjustRightInd w:val="0"/>
              <w:snapToGrid w:val="0"/>
              <w:spacing w:line="460" w:lineRule="exact"/>
              <w:jc w:val="center"/>
              <w:rPr>
                <w:rFonts w:ascii="Times New Roman" w:hAnsi="Times New Roman" w:eastAsia="宋体" w:cs="Times New Roman"/>
                <w:b/>
                <w:bCs w:val="0"/>
                <w:color w:val="auto"/>
                <w:sz w:val="26"/>
                <w:szCs w:val="26"/>
              </w:rPr>
            </w:pPr>
          </w:p>
          <w:p w14:paraId="524173E9">
            <w:pPr>
              <w:adjustRightInd w:val="0"/>
              <w:snapToGrid w:val="0"/>
              <w:spacing w:line="460" w:lineRule="exact"/>
              <w:jc w:val="center"/>
              <w:rPr>
                <w:rFonts w:ascii="Times New Roman" w:hAnsi="Times New Roman" w:eastAsia="宋体" w:cs="Times New Roman"/>
                <w:b/>
                <w:bCs w:val="0"/>
                <w:color w:val="auto"/>
                <w:sz w:val="26"/>
                <w:szCs w:val="26"/>
              </w:rPr>
            </w:pPr>
            <w:r>
              <w:rPr>
                <w:rFonts w:ascii="Times New Roman" w:hAnsi="Times New Roman" w:eastAsia="宋体" w:cs="Times New Roman"/>
                <w:b/>
                <w:bCs w:val="0"/>
                <w:color w:val="auto"/>
                <w:sz w:val="26"/>
                <w:szCs w:val="26"/>
              </w:rPr>
              <w:t>表3.1-</w:t>
            </w:r>
            <w:r>
              <w:rPr>
                <w:rFonts w:hint="eastAsia" w:ascii="Times New Roman" w:hAnsi="Times New Roman" w:eastAsia="宋体" w:cs="Times New Roman"/>
                <w:b/>
                <w:bCs w:val="0"/>
                <w:color w:val="auto"/>
                <w:sz w:val="26"/>
                <w:szCs w:val="26"/>
                <w:lang w:val="en-US" w:eastAsia="zh-CN"/>
              </w:rPr>
              <w:t xml:space="preserve">2  </w:t>
            </w:r>
            <w:r>
              <w:rPr>
                <w:rFonts w:ascii="Times New Roman" w:hAnsi="Times New Roman" w:eastAsia="宋体" w:cs="Times New Roman"/>
                <w:b/>
                <w:bCs w:val="0"/>
                <w:color w:val="auto"/>
                <w:sz w:val="26"/>
                <w:szCs w:val="26"/>
              </w:rPr>
              <w:t>区域环境空气质量监测及评价结果统计表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252"/>
              <w:gridCol w:w="1162"/>
              <w:gridCol w:w="786"/>
              <w:gridCol w:w="1185"/>
              <w:gridCol w:w="1064"/>
              <w:gridCol w:w="792"/>
              <w:gridCol w:w="783"/>
              <w:gridCol w:w="682"/>
            </w:tblGrid>
            <w:tr w14:paraId="02DB16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92" w:type="dxa"/>
                  <w:tcBorders>
                    <w:tl2br w:val="nil"/>
                    <w:tr2bl w:val="nil"/>
                  </w:tcBorders>
                  <w:noWrap w:val="0"/>
                  <w:vAlign w:val="center"/>
                </w:tcPr>
                <w:p w14:paraId="55622005">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监测点</w:t>
                  </w:r>
                </w:p>
              </w:tc>
              <w:tc>
                <w:tcPr>
                  <w:tcW w:w="1198" w:type="dxa"/>
                  <w:tcBorders>
                    <w:tl2br w:val="nil"/>
                    <w:tr2bl w:val="nil"/>
                  </w:tcBorders>
                  <w:noWrap w:val="0"/>
                  <w:vAlign w:val="center"/>
                </w:tcPr>
                <w:p w14:paraId="54599126">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监测项目</w:t>
                  </w:r>
                </w:p>
              </w:tc>
              <w:tc>
                <w:tcPr>
                  <w:tcW w:w="810" w:type="dxa"/>
                  <w:tcBorders>
                    <w:tl2br w:val="nil"/>
                    <w:tr2bl w:val="nil"/>
                  </w:tcBorders>
                  <w:noWrap w:val="0"/>
                  <w:vAlign w:val="center"/>
                </w:tcPr>
                <w:p w14:paraId="6412B1CC">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监测</w:t>
                  </w:r>
                </w:p>
                <w:p w14:paraId="0B222A12">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类别</w:t>
                  </w:r>
                </w:p>
              </w:tc>
              <w:tc>
                <w:tcPr>
                  <w:tcW w:w="1222" w:type="dxa"/>
                  <w:tcBorders>
                    <w:tl2br w:val="nil"/>
                    <w:tr2bl w:val="nil"/>
                  </w:tcBorders>
                  <w:noWrap w:val="0"/>
                  <w:vAlign w:val="center"/>
                </w:tcPr>
                <w:p w14:paraId="4DBFAF1D">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浓度范围值</w:t>
                  </w:r>
                </w:p>
                <w:p w14:paraId="6D14B2A4">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w:t>
                  </w:r>
                  <w:r>
                    <w:rPr>
                      <w:rFonts w:hint="default" w:ascii="Times New Roman" w:hAnsi="Times New Roman" w:eastAsia="宋体" w:cs="Times New Roman"/>
                      <w:color w:val="auto"/>
                      <w:sz w:val="22"/>
                      <w:szCs w:val="22"/>
                      <w:lang w:val="en-US" w:eastAsia="zh-CN"/>
                    </w:rPr>
                    <w:t>μ</w:t>
                  </w:r>
                  <w:r>
                    <w:rPr>
                      <w:rFonts w:hint="default" w:ascii="Times New Roman" w:hAnsi="Times New Roman" w:eastAsia="宋体" w:cs="Times New Roman"/>
                      <w:color w:val="auto"/>
                      <w:sz w:val="22"/>
                      <w:szCs w:val="22"/>
                    </w:rPr>
                    <w:t>g/m</w:t>
                  </w:r>
                  <w:r>
                    <w:rPr>
                      <w:rFonts w:hint="default" w:ascii="Times New Roman" w:hAnsi="Times New Roman" w:eastAsia="宋体" w:cs="Times New Roman"/>
                      <w:color w:val="auto"/>
                      <w:sz w:val="22"/>
                      <w:szCs w:val="22"/>
                      <w:vertAlign w:val="superscript"/>
                    </w:rPr>
                    <w:t>3</w:t>
                  </w:r>
                  <w:r>
                    <w:rPr>
                      <w:rFonts w:hint="default" w:ascii="Times New Roman" w:hAnsi="Times New Roman" w:eastAsia="宋体" w:cs="Times New Roman"/>
                      <w:color w:val="auto"/>
                      <w:sz w:val="22"/>
                      <w:szCs w:val="22"/>
                    </w:rPr>
                    <w:t>）</w:t>
                  </w:r>
                </w:p>
              </w:tc>
              <w:tc>
                <w:tcPr>
                  <w:tcW w:w="1097" w:type="dxa"/>
                  <w:tcBorders>
                    <w:tl2br w:val="nil"/>
                    <w:tr2bl w:val="nil"/>
                  </w:tcBorders>
                  <w:noWrap w:val="0"/>
                  <w:vAlign w:val="center"/>
                </w:tcPr>
                <w:p w14:paraId="508C21C0">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标准限值（</w:t>
                  </w:r>
                  <w:r>
                    <w:rPr>
                      <w:rFonts w:hint="default" w:ascii="Times New Roman" w:hAnsi="Times New Roman" w:eastAsia="宋体" w:cs="Times New Roman"/>
                      <w:color w:val="auto"/>
                      <w:sz w:val="22"/>
                      <w:szCs w:val="22"/>
                      <w:lang w:val="en-US" w:eastAsia="zh-CN"/>
                    </w:rPr>
                    <w:t>μ</w:t>
                  </w:r>
                  <w:r>
                    <w:rPr>
                      <w:rFonts w:hint="default" w:ascii="Times New Roman" w:hAnsi="Times New Roman" w:eastAsia="宋体" w:cs="Times New Roman"/>
                      <w:color w:val="auto"/>
                      <w:sz w:val="22"/>
                      <w:szCs w:val="22"/>
                    </w:rPr>
                    <w:t>g/m</w:t>
                  </w:r>
                  <w:r>
                    <w:rPr>
                      <w:rFonts w:hint="default" w:ascii="Times New Roman" w:hAnsi="Times New Roman" w:eastAsia="宋体" w:cs="Times New Roman"/>
                      <w:color w:val="auto"/>
                      <w:sz w:val="22"/>
                      <w:szCs w:val="22"/>
                      <w:vertAlign w:val="superscript"/>
                    </w:rPr>
                    <w:t>3</w:t>
                  </w:r>
                  <w:r>
                    <w:rPr>
                      <w:rFonts w:hint="default" w:ascii="Times New Roman" w:hAnsi="Times New Roman" w:eastAsia="宋体" w:cs="Times New Roman"/>
                      <w:color w:val="auto"/>
                      <w:sz w:val="22"/>
                      <w:szCs w:val="22"/>
                    </w:rPr>
                    <w:t>）</w:t>
                  </w:r>
                </w:p>
              </w:tc>
              <w:tc>
                <w:tcPr>
                  <w:tcW w:w="816" w:type="dxa"/>
                  <w:tcBorders>
                    <w:tl2br w:val="nil"/>
                    <w:tr2bl w:val="nil"/>
                  </w:tcBorders>
                  <w:noWrap w:val="0"/>
                  <w:vAlign w:val="center"/>
                </w:tcPr>
                <w:p w14:paraId="6FB62923">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超标率%</w:t>
                  </w:r>
                </w:p>
              </w:tc>
              <w:tc>
                <w:tcPr>
                  <w:tcW w:w="807" w:type="dxa"/>
                  <w:tcBorders>
                    <w:tl2br w:val="nil"/>
                    <w:tr2bl w:val="nil"/>
                  </w:tcBorders>
                  <w:noWrap w:val="0"/>
                  <w:vAlign w:val="center"/>
                </w:tcPr>
                <w:p w14:paraId="14ACE989">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最大占标率%</w:t>
                  </w:r>
                </w:p>
              </w:tc>
              <w:tc>
                <w:tcPr>
                  <w:tcW w:w="702" w:type="dxa"/>
                  <w:tcBorders>
                    <w:tl2br w:val="nil"/>
                    <w:tr2bl w:val="nil"/>
                  </w:tcBorders>
                  <w:noWrap w:val="0"/>
                  <w:vAlign w:val="center"/>
                </w:tcPr>
                <w:p w14:paraId="3857787D">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达标</w:t>
                  </w:r>
                </w:p>
                <w:p w14:paraId="0577BD02">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情况</w:t>
                  </w:r>
                </w:p>
              </w:tc>
            </w:tr>
            <w:tr w14:paraId="7E1247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92" w:type="dxa"/>
                  <w:vMerge w:val="restart"/>
                  <w:tcBorders>
                    <w:tl2br w:val="nil"/>
                    <w:tr2bl w:val="nil"/>
                  </w:tcBorders>
                  <w:noWrap w:val="0"/>
                  <w:vAlign w:val="center"/>
                </w:tcPr>
                <w:p w14:paraId="58CDCA0F">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G1</w:t>
                  </w:r>
                  <w:r>
                    <w:rPr>
                      <w:rFonts w:hint="default" w:ascii="Times New Roman" w:hAnsi="Times New Roman" w:eastAsia="宋体" w:cs="Times New Roman"/>
                      <w:color w:val="auto"/>
                      <w:sz w:val="22"/>
                      <w:szCs w:val="22"/>
                    </w:rPr>
                    <w:t>监测点</w:t>
                  </w:r>
                </w:p>
              </w:tc>
              <w:tc>
                <w:tcPr>
                  <w:tcW w:w="1198" w:type="dxa"/>
                  <w:tcBorders>
                    <w:tl2br w:val="nil"/>
                    <w:tr2bl w:val="nil"/>
                  </w:tcBorders>
                  <w:noWrap w:val="0"/>
                  <w:vAlign w:val="center"/>
                </w:tcPr>
                <w:p w14:paraId="788C2EAD">
                  <w:pPr>
                    <w:jc w:val="center"/>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lang w:val="en-US" w:eastAsia="zh-CN"/>
                    </w:rPr>
                    <w:t>氟化物</w:t>
                  </w:r>
                </w:p>
              </w:tc>
              <w:tc>
                <w:tcPr>
                  <w:tcW w:w="810" w:type="dxa"/>
                  <w:tcBorders>
                    <w:tl2br w:val="nil"/>
                    <w:tr2bl w:val="nil"/>
                  </w:tcBorders>
                  <w:noWrap w:val="0"/>
                  <w:vAlign w:val="center"/>
                </w:tcPr>
                <w:p w14:paraId="1FACD67E">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小时值</w:t>
                  </w:r>
                </w:p>
              </w:tc>
              <w:tc>
                <w:tcPr>
                  <w:tcW w:w="1222" w:type="dxa"/>
                  <w:tcBorders>
                    <w:tl2br w:val="nil"/>
                    <w:tr2bl w:val="nil"/>
                  </w:tcBorders>
                  <w:noWrap w:val="0"/>
                  <w:vAlign w:val="center"/>
                </w:tcPr>
                <w:p w14:paraId="6B000BA1">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0.5L</w:t>
                  </w:r>
                </w:p>
              </w:tc>
              <w:tc>
                <w:tcPr>
                  <w:tcW w:w="1097" w:type="dxa"/>
                  <w:tcBorders>
                    <w:tl2br w:val="nil"/>
                    <w:tr2bl w:val="nil"/>
                  </w:tcBorders>
                  <w:noWrap w:val="0"/>
                  <w:vAlign w:val="center"/>
                </w:tcPr>
                <w:p w14:paraId="2246D8E3">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20</w:t>
                  </w:r>
                </w:p>
              </w:tc>
              <w:tc>
                <w:tcPr>
                  <w:tcW w:w="816" w:type="dxa"/>
                  <w:tcBorders>
                    <w:tl2br w:val="nil"/>
                    <w:tr2bl w:val="nil"/>
                  </w:tcBorders>
                  <w:noWrap w:val="0"/>
                  <w:vAlign w:val="center"/>
                </w:tcPr>
                <w:p w14:paraId="0EA849B9">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0</w:t>
                  </w:r>
                </w:p>
              </w:tc>
              <w:tc>
                <w:tcPr>
                  <w:tcW w:w="807" w:type="dxa"/>
                  <w:tcBorders>
                    <w:tl2br w:val="nil"/>
                    <w:tr2bl w:val="nil"/>
                  </w:tcBorders>
                  <w:noWrap w:val="0"/>
                  <w:vAlign w:val="center"/>
                </w:tcPr>
                <w:p w14:paraId="55659172">
                  <w:pPr>
                    <w:jc w:val="center"/>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lang w:val="en-US" w:eastAsia="zh-CN"/>
                    </w:rPr>
                    <w:t>/</w:t>
                  </w:r>
                </w:p>
              </w:tc>
              <w:tc>
                <w:tcPr>
                  <w:tcW w:w="702" w:type="dxa"/>
                  <w:tcBorders>
                    <w:tl2br w:val="nil"/>
                    <w:tr2bl w:val="nil"/>
                  </w:tcBorders>
                  <w:noWrap w:val="0"/>
                  <w:vAlign w:val="center"/>
                </w:tcPr>
                <w:p w14:paraId="68D0A1BA">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达标</w:t>
                  </w:r>
                </w:p>
              </w:tc>
            </w:tr>
            <w:tr w14:paraId="298A8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92" w:type="dxa"/>
                  <w:vMerge w:val="continue"/>
                  <w:tcBorders>
                    <w:tl2br w:val="nil"/>
                    <w:tr2bl w:val="nil"/>
                  </w:tcBorders>
                  <w:noWrap w:val="0"/>
                  <w:vAlign w:val="center"/>
                </w:tcPr>
                <w:p w14:paraId="5318B10F">
                  <w:pPr>
                    <w:jc w:val="center"/>
                    <w:rPr>
                      <w:rFonts w:hint="default" w:ascii="Times New Roman" w:hAnsi="Times New Roman" w:eastAsia="宋体" w:cs="Times New Roman"/>
                      <w:color w:val="auto"/>
                      <w:sz w:val="22"/>
                      <w:szCs w:val="22"/>
                      <w:lang w:val="en-US" w:eastAsia="zh-CN"/>
                    </w:rPr>
                  </w:pPr>
                </w:p>
              </w:tc>
              <w:tc>
                <w:tcPr>
                  <w:tcW w:w="1198" w:type="dxa"/>
                  <w:tcBorders>
                    <w:tl2br w:val="nil"/>
                    <w:tr2bl w:val="nil"/>
                  </w:tcBorders>
                  <w:noWrap w:val="0"/>
                  <w:vAlign w:val="center"/>
                </w:tcPr>
                <w:p w14:paraId="6C007A99">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氯化氢</w:t>
                  </w:r>
                </w:p>
              </w:tc>
              <w:tc>
                <w:tcPr>
                  <w:tcW w:w="810" w:type="dxa"/>
                  <w:tcBorders>
                    <w:tl2br w:val="nil"/>
                    <w:tr2bl w:val="nil"/>
                  </w:tcBorders>
                  <w:noWrap w:val="0"/>
                  <w:vAlign w:val="center"/>
                </w:tcPr>
                <w:p w14:paraId="28FE1C6D">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小时值</w:t>
                  </w:r>
                </w:p>
              </w:tc>
              <w:tc>
                <w:tcPr>
                  <w:tcW w:w="1222" w:type="dxa"/>
                  <w:tcBorders>
                    <w:tl2br w:val="nil"/>
                    <w:tr2bl w:val="nil"/>
                  </w:tcBorders>
                  <w:noWrap w:val="0"/>
                  <w:vAlign w:val="center"/>
                </w:tcPr>
                <w:p w14:paraId="76F13046">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0.02L</w:t>
                  </w:r>
                </w:p>
              </w:tc>
              <w:tc>
                <w:tcPr>
                  <w:tcW w:w="1097" w:type="dxa"/>
                  <w:tcBorders>
                    <w:tl2br w:val="nil"/>
                    <w:tr2bl w:val="nil"/>
                  </w:tcBorders>
                  <w:noWrap w:val="0"/>
                  <w:vAlign w:val="center"/>
                </w:tcPr>
                <w:p w14:paraId="2C22AE36">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50</w:t>
                  </w:r>
                </w:p>
              </w:tc>
              <w:tc>
                <w:tcPr>
                  <w:tcW w:w="816" w:type="dxa"/>
                  <w:tcBorders>
                    <w:tl2br w:val="nil"/>
                    <w:tr2bl w:val="nil"/>
                  </w:tcBorders>
                  <w:noWrap w:val="0"/>
                  <w:vAlign w:val="center"/>
                </w:tcPr>
                <w:p w14:paraId="0E07DCCD">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w:t>
                  </w:r>
                </w:p>
              </w:tc>
              <w:tc>
                <w:tcPr>
                  <w:tcW w:w="807" w:type="dxa"/>
                  <w:tcBorders>
                    <w:tl2br w:val="nil"/>
                    <w:tr2bl w:val="nil"/>
                  </w:tcBorders>
                  <w:noWrap w:val="0"/>
                  <w:vAlign w:val="center"/>
                </w:tcPr>
                <w:p w14:paraId="1F1AF3D8">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702" w:type="dxa"/>
                  <w:tcBorders>
                    <w:tl2br w:val="nil"/>
                    <w:tr2bl w:val="nil"/>
                  </w:tcBorders>
                  <w:noWrap w:val="0"/>
                  <w:vAlign w:val="center"/>
                </w:tcPr>
                <w:p w14:paraId="40EA11F1">
                  <w:pPr>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达标</w:t>
                  </w:r>
                </w:p>
              </w:tc>
            </w:tr>
            <w:tr w14:paraId="0EAB78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92" w:type="dxa"/>
                  <w:tcBorders>
                    <w:tl2br w:val="nil"/>
                    <w:tr2bl w:val="nil"/>
                  </w:tcBorders>
                  <w:noWrap w:val="0"/>
                  <w:vAlign w:val="center"/>
                </w:tcPr>
                <w:p w14:paraId="03741E27">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G2监测点</w:t>
                  </w:r>
                </w:p>
              </w:tc>
              <w:tc>
                <w:tcPr>
                  <w:tcW w:w="1198" w:type="dxa"/>
                  <w:tcBorders>
                    <w:tl2br w:val="nil"/>
                    <w:tr2bl w:val="nil"/>
                  </w:tcBorders>
                  <w:noWrap w:val="0"/>
                  <w:vAlign w:val="center"/>
                </w:tcPr>
                <w:p w14:paraId="211108A2">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非甲烷总烃</w:t>
                  </w:r>
                </w:p>
              </w:tc>
              <w:tc>
                <w:tcPr>
                  <w:tcW w:w="810" w:type="dxa"/>
                  <w:tcBorders>
                    <w:tl2br w:val="nil"/>
                    <w:tr2bl w:val="nil"/>
                  </w:tcBorders>
                  <w:noWrap w:val="0"/>
                  <w:vAlign w:val="center"/>
                </w:tcPr>
                <w:p w14:paraId="588EEE85">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小时值</w:t>
                  </w:r>
                </w:p>
              </w:tc>
              <w:tc>
                <w:tcPr>
                  <w:tcW w:w="1222" w:type="dxa"/>
                  <w:tcBorders>
                    <w:tl2br w:val="nil"/>
                    <w:tr2bl w:val="nil"/>
                  </w:tcBorders>
                  <w:noWrap w:val="0"/>
                  <w:vAlign w:val="center"/>
                </w:tcPr>
                <w:p w14:paraId="1848DCA3">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470~770</w:t>
                  </w:r>
                </w:p>
              </w:tc>
              <w:tc>
                <w:tcPr>
                  <w:tcW w:w="1097" w:type="dxa"/>
                  <w:tcBorders>
                    <w:tl2br w:val="nil"/>
                    <w:tr2bl w:val="nil"/>
                  </w:tcBorders>
                  <w:noWrap w:val="0"/>
                  <w:vAlign w:val="center"/>
                </w:tcPr>
                <w:p w14:paraId="38A6430D">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2000</w:t>
                  </w:r>
                </w:p>
              </w:tc>
              <w:tc>
                <w:tcPr>
                  <w:tcW w:w="816" w:type="dxa"/>
                  <w:tcBorders>
                    <w:tl2br w:val="nil"/>
                    <w:tr2bl w:val="nil"/>
                  </w:tcBorders>
                  <w:noWrap w:val="0"/>
                  <w:vAlign w:val="center"/>
                </w:tcPr>
                <w:p w14:paraId="49BB96D3">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w:t>
                  </w:r>
                </w:p>
              </w:tc>
              <w:tc>
                <w:tcPr>
                  <w:tcW w:w="807" w:type="dxa"/>
                  <w:tcBorders>
                    <w:tl2br w:val="nil"/>
                    <w:tr2bl w:val="nil"/>
                  </w:tcBorders>
                  <w:noWrap w:val="0"/>
                  <w:vAlign w:val="center"/>
                </w:tcPr>
                <w:p w14:paraId="38E0241C">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38.5</w:t>
                  </w:r>
                </w:p>
              </w:tc>
              <w:tc>
                <w:tcPr>
                  <w:tcW w:w="702" w:type="dxa"/>
                  <w:tcBorders>
                    <w:tl2br w:val="nil"/>
                    <w:tr2bl w:val="nil"/>
                  </w:tcBorders>
                  <w:noWrap w:val="0"/>
                  <w:vAlign w:val="center"/>
                </w:tcPr>
                <w:p w14:paraId="68E58BB1">
                  <w:pPr>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达标</w:t>
                  </w:r>
                </w:p>
              </w:tc>
            </w:tr>
          </w:tbl>
          <w:p w14:paraId="67DC60C5">
            <w:pPr>
              <w:autoSpaceDE w:val="0"/>
              <w:autoSpaceDN w:val="0"/>
              <w:adjustRightInd w:val="0"/>
              <w:spacing w:line="460" w:lineRule="exact"/>
              <w:ind w:firstLine="520" w:firstLineChars="200"/>
              <w:rPr>
                <w:rFonts w:ascii="Times New Roman" w:hAnsi="Times New Roman" w:eastAsia="宋体" w:cs="Times New Roman"/>
                <w:color w:val="auto"/>
                <w:sz w:val="26"/>
                <w:szCs w:val="26"/>
              </w:rPr>
            </w:pPr>
          </w:p>
          <w:p w14:paraId="19A8C211">
            <w:pPr>
              <w:autoSpaceDE w:val="0"/>
              <w:autoSpaceDN w:val="0"/>
              <w:adjustRightInd w:val="0"/>
              <w:spacing w:line="460" w:lineRule="exact"/>
              <w:ind w:firstLine="520" w:firstLineChars="200"/>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 xml:space="preserve"> 由表3.1-</w:t>
            </w:r>
            <w:r>
              <w:rPr>
                <w:rFonts w:hint="eastAsia" w:ascii="Times New Roman" w:hAnsi="Times New Roman" w:eastAsia="宋体" w:cs="Times New Roman"/>
                <w:color w:val="auto"/>
                <w:sz w:val="26"/>
                <w:szCs w:val="26"/>
                <w:lang w:val="en-US" w:eastAsia="zh-CN"/>
              </w:rPr>
              <w:t>2</w:t>
            </w:r>
            <w:r>
              <w:rPr>
                <w:rFonts w:ascii="Times New Roman" w:hAnsi="Times New Roman" w:eastAsia="宋体" w:cs="Times New Roman"/>
                <w:color w:val="auto"/>
                <w:sz w:val="26"/>
                <w:szCs w:val="26"/>
              </w:rPr>
              <w:t>可知，环境空气中</w:t>
            </w:r>
            <w:r>
              <w:rPr>
                <w:rFonts w:hint="eastAsia" w:ascii="Times New Roman" w:hAnsi="Times New Roman" w:eastAsia="宋体" w:cs="Times New Roman"/>
                <w:color w:val="auto"/>
                <w:sz w:val="26"/>
                <w:szCs w:val="26"/>
                <w:lang w:val="en-US" w:eastAsia="zh-CN"/>
              </w:rPr>
              <w:t>氟化物</w:t>
            </w:r>
            <w:r>
              <w:rPr>
                <w:rFonts w:ascii="Times New Roman" w:hAnsi="Times New Roman" w:eastAsia="宋体" w:cs="Times New Roman"/>
                <w:color w:val="auto"/>
                <w:sz w:val="26"/>
                <w:szCs w:val="26"/>
              </w:rPr>
              <w:t>满足</w:t>
            </w:r>
            <w:r>
              <w:rPr>
                <w:rFonts w:hint="eastAsia" w:ascii="Times New Roman" w:hAnsi="Times New Roman" w:eastAsia="宋体" w:cs="Times New Roman"/>
                <w:color w:val="auto"/>
                <w:sz w:val="26"/>
                <w:szCs w:val="26"/>
                <w:lang w:val="en-US" w:eastAsia="zh-CN"/>
              </w:rPr>
              <w:t>《环境空气质量标准》（GB3095-2012）标准限值要求，氯化氢满足《环境影响评价技术导则 大气环境 附录D》限值要求，非甲烷总度满足河北省地方标准《环境空气质量 非甲烷总烃限值》（DB13 1577-2012）</w:t>
            </w:r>
            <w:r>
              <w:rPr>
                <w:rFonts w:ascii="Times New Roman" w:hAnsi="Times New Roman" w:eastAsia="宋体" w:cs="Times New Roman"/>
                <w:color w:val="auto"/>
                <w:sz w:val="26"/>
                <w:szCs w:val="26"/>
              </w:rPr>
              <w:t>。</w:t>
            </w:r>
          </w:p>
          <w:p w14:paraId="2FD2D3A3">
            <w:pPr>
              <w:adjustRightInd w:val="0"/>
              <w:snapToGrid w:val="0"/>
              <w:spacing w:line="460" w:lineRule="exact"/>
              <w:jc w:val="left"/>
              <w:rPr>
                <w:rFonts w:ascii="Times New Roman" w:hAnsi="Times New Roman"/>
                <w:b/>
                <w:color w:val="auto"/>
                <w:sz w:val="26"/>
                <w:szCs w:val="26"/>
              </w:rPr>
            </w:pPr>
            <w:r>
              <w:rPr>
                <w:rFonts w:ascii="Times New Roman" w:hAnsi="Times New Roman"/>
                <w:b/>
                <w:color w:val="auto"/>
                <w:sz w:val="26"/>
                <w:szCs w:val="26"/>
              </w:rPr>
              <w:t>3.1.</w:t>
            </w:r>
            <w:r>
              <w:rPr>
                <w:rFonts w:hint="eastAsia" w:ascii="Times New Roman" w:hAnsi="Times New Roman"/>
                <w:b/>
                <w:color w:val="auto"/>
                <w:sz w:val="26"/>
                <w:szCs w:val="26"/>
              </w:rPr>
              <w:t>3</w:t>
            </w:r>
            <w:r>
              <w:rPr>
                <w:rFonts w:ascii="Times New Roman" w:hAnsi="Times New Roman"/>
                <w:b/>
                <w:color w:val="auto"/>
                <w:sz w:val="26"/>
                <w:szCs w:val="26"/>
              </w:rPr>
              <w:t>地表水环境</w:t>
            </w:r>
          </w:p>
          <w:p w14:paraId="3E182714">
            <w:pPr>
              <w:autoSpaceDE w:val="0"/>
              <w:autoSpaceDN w:val="0"/>
              <w:adjustRightInd w:val="0"/>
              <w:spacing w:line="460" w:lineRule="exact"/>
              <w:ind w:firstLine="520" w:firstLineChars="200"/>
              <w:rPr>
                <w:rFonts w:hint="eastAsia" w:ascii="Times New Roman" w:hAnsi="Times New Roman"/>
                <w:color w:val="auto"/>
                <w:sz w:val="26"/>
                <w:szCs w:val="26"/>
              </w:rPr>
            </w:pPr>
            <w:r>
              <w:rPr>
                <w:rFonts w:hint="eastAsia" w:ascii="Times New Roman" w:hAnsi="Times New Roman"/>
                <w:color w:val="auto"/>
                <w:sz w:val="26"/>
                <w:szCs w:val="26"/>
                <w:lang w:val="en-US" w:eastAsia="zh-CN"/>
              </w:rPr>
              <w:t>本项目无生产废水排放，不新增生活污水，现有项目产生的</w:t>
            </w:r>
            <w:r>
              <w:rPr>
                <w:rFonts w:hint="eastAsia" w:ascii="Times New Roman" w:hAnsi="Times New Roman"/>
                <w:color w:val="auto"/>
                <w:sz w:val="26"/>
                <w:szCs w:val="26"/>
              </w:rPr>
              <w:t>生活</w:t>
            </w:r>
            <w:r>
              <w:rPr>
                <w:rFonts w:ascii="Times New Roman" w:hAnsi="Times New Roman"/>
                <w:color w:val="auto"/>
                <w:sz w:val="26"/>
                <w:szCs w:val="26"/>
              </w:rPr>
              <w:t>污水</w:t>
            </w:r>
            <w:r>
              <w:rPr>
                <w:rFonts w:hint="eastAsia" w:ascii="Times New Roman" w:hAnsi="Times New Roman"/>
                <w:color w:val="auto"/>
                <w:sz w:val="26"/>
                <w:szCs w:val="26"/>
              </w:rPr>
              <w:t>依托</w:t>
            </w:r>
            <w:r>
              <w:rPr>
                <w:rFonts w:hint="eastAsia" w:ascii="Times New Roman" w:hAnsi="Times New Roman"/>
                <w:color w:val="auto"/>
                <w:sz w:val="26"/>
                <w:szCs w:val="26"/>
                <w:lang w:val="en-US" w:eastAsia="zh-CN"/>
              </w:rPr>
              <w:t>厂区现有</w:t>
            </w:r>
            <w:r>
              <w:rPr>
                <w:rFonts w:hint="eastAsia" w:ascii="Times New Roman" w:hAnsi="Times New Roman"/>
                <w:color w:val="auto"/>
                <w:sz w:val="26"/>
                <w:szCs w:val="26"/>
              </w:rPr>
              <w:t>生化池处理达到《污水综合排放标准》（GB8978-1996）三级标准后排入市政污水管网，进入</w:t>
            </w:r>
            <w:r>
              <w:rPr>
                <w:rFonts w:hint="eastAsia" w:ascii="Times New Roman" w:hAnsi="Times New Roman"/>
                <w:color w:val="auto"/>
                <w:sz w:val="26"/>
                <w:szCs w:val="26"/>
                <w:lang w:val="en-US" w:eastAsia="zh-CN"/>
              </w:rPr>
              <w:t>西彭城镇</w:t>
            </w:r>
            <w:r>
              <w:rPr>
                <w:rFonts w:hint="eastAsia" w:ascii="Times New Roman" w:hAnsi="Times New Roman"/>
                <w:color w:val="auto"/>
                <w:sz w:val="26"/>
                <w:szCs w:val="26"/>
              </w:rPr>
              <w:t>污水处理厂处理达《城镇污水处理厂污染物排放标准》（GB18918-2002）一级A标准后，排入</w:t>
            </w:r>
            <w:r>
              <w:rPr>
                <w:rFonts w:hint="eastAsia" w:ascii="Times New Roman" w:hAnsi="Times New Roman"/>
                <w:color w:val="auto"/>
                <w:sz w:val="26"/>
                <w:szCs w:val="26"/>
                <w:lang w:val="en-US" w:eastAsia="zh-CN"/>
              </w:rPr>
              <w:t>桥头河，再汇至长江</w:t>
            </w:r>
            <w:r>
              <w:rPr>
                <w:rFonts w:hint="eastAsia" w:ascii="Times New Roman" w:hAnsi="Times New Roman"/>
                <w:color w:val="auto"/>
                <w:sz w:val="26"/>
                <w:szCs w:val="26"/>
              </w:rPr>
              <w:t>。</w:t>
            </w:r>
          </w:p>
          <w:p w14:paraId="09742DC9">
            <w:pPr>
              <w:autoSpaceDE w:val="0"/>
              <w:autoSpaceDN w:val="0"/>
              <w:adjustRightInd w:val="0"/>
              <w:spacing w:line="460" w:lineRule="exact"/>
              <w:ind w:firstLine="520" w:firstLineChars="200"/>
              <w:rPr>
                <w:rFonts w:ascii="Times New Roman" w:hAnsi="Times New Roman"/>
                <w:color w:val="auto"/>
                <w:sz w:val="26"/>
                <w:szCs w:val="26"/>
              </w:rPr>
            </w:pPr>
            <w:r>
              <w:rPr>
                <w:rFonts w:hint="eastAsia" w:ascii="Times New Roman" w:hAnsi="Times New Roman"/>
                <w:color w:val="auto"/>
                <w:sz w:val="26"/>
                <w:szCs w:val="26"/>
              </w:rPr>
              <w:t>根据</w:t>
            </w:r>
            <w:r>
              <w:rPr>
                <w:rFonts w:ascii="Times New Roman" w:hAnsi="Times New Roman"/>
                <w:color w:val="auto"/>
                <w:sz w:val="26"/>
                <w:szCs w:val="26"/>
              </w:rPr>
              <w:t>《重庆西彭工业园区规划环境影响报告书》</w:t>
            </w:r>
            <w:r>
              <w:rPr>
                <w:rFonts w:hint="eastAsia" w:ascii="Times New Roman" w:hAnsi="Times New Roman"/>
                <w:color w:val="auto"/>
                <w:sz w:val="26"/>
                <w:szCs w:val="26"/>
              </w:rPr>
              <w:t>，项目所在区域桥头河未划分水域功能，长江新瓦房-大溪河口段水域范围属</w:t>
            </w:r>
            <w:r>
              <w:rPr>
                <w:rFonts w:ascii="Times New Roman" w:hAnsi="Times New Roman"/>
                <w:color w:val="auto"/>
                <w:sz w:val="26"/>
                <w:szCs w:val="26"/>
              </w:rPr>
              <w:t>Ⅱ</w:t>
            </w:r>
            <w:r>
              <w:rPr>
                <w:rFonts w:hint="eastAsia" w:ascii="Times New Roman" w:hAnsi="Times New Roman"/>
                <w:color w:val="auto"/>
                <w:sz w:val="26"/>
                <w:szCs w:val="26"/>
              </w:rPr>
              <w:t>类水域。</w:t>
            </w:r>
            <w:r>
              <w:rPr>
                <w:rFonts w:ascii="Times New Roman" w:hAnsi="Times New Roman"/>
                <w:color w:val="auto"/>
                <w:sz w:val="26"/>
                <w:szCs w:val="26"/>
              </w:rPr>
              <w:t>桥头河汇入长江口上游500m至大溪河口长江段属于Ⅱ类水域，执行《地表水环境质量标准》（GB3838-2002）Ⅱ类标准要求。</w:t>
            </w:r>
          </w:p>
          <w:p w14:paraId="43AD7276">
            <w:pPr>
              <w:autoSpaceDE w:val="0"/>
              <w:autoSpaceDN w:val="0"/>
              <w:adjustRightInd w:val="0"/>
              <w:spacing w:line="460" w:lineRule="exact"/>
              <w:ind w:firstLine="520" w:firstLineChars="200"/>
              <w:rPr>
                <w:rFonts w:ascii="Times New Roman" w:hAnsi="Times New Roman"/>
                <w:color w:val="auto"/>
                <w:sz w:val="26"/>
                <w:szCs w:val="26"/>
              </w:rPr>
            </w:pPr>
            <w:r>
              <w:rPr>
                <w:rFonts w:hint="default" w:ascii="Times New Roman" w:hAnsi="Times New Roman" w:cs="Times New Roman"/>
                <w:color w:val="auto"/>
                <w:sz w:val="26"/>
                <w:szCs w:val="26"/>
              </w:rPr>
              <w:t>根据《202</w:t>
            </w:r>
            <w:r>
              <w:rPr>
                <w:rFonts w:hint="default" w:ascii="Times New Roman" w:hAnsi="Times New Roman" w:cs="Times New Roman"/>
                <w:color w:val="auto"/>
                <w:sz w:val="26"/>
                <w:szCs w:val="26"/>
                <w:lang w:val="en-US" w:eastAsia="zh-CN"/>
              </w:rPr>
              <w:t>4年</w:t>
            </w:r>
            <w:r>
              <w:rPr>
                <w:rFonts w:hint="default" w:ascii="Times New Roman" w:hAnsi="Times New Roman" w:cs="Times New Roman"/>
                <w:color w:val="auto"/>
                <w:sz w:val="26"/>
                <w:szCs w:val="26"/>
              </w:rPr>
              <w:t>重庆市生态环境状况公报》中“长江干流重庆段水质为优，20个监测断面水质均为</w:t>
            </w:r>
            <w:r>
              <w:rPr>
                <w:rFonts w:hint="default" w:ascii="Times New Roman" w:hAnsi="Times New Roman" w:cs="Times New Roman"/>
                <w:color w:val="auto"/>
                <w:sz w:val="26"/>
                <w:szCs w:val="26"/>
                <w:lang w:eastAsia="zh-CN"/>
              </w:rPr>
              <w:t>Ⅱ类</w:t>
            </w:r>
            <w:r>
              <w:rPr>
                <w:rFonts w:hint="default" w:ascii="Times New Roman" w:hAnsi="Times New Roman" w:cs="Times New Roman"/>
                <w:color w:val="auto"/>
                <w:sz w:val="26"/>
                <w:szCs w:val="26"/>
              </w:rPr>
              <w:t>”的描</w:t>
            </w:r>
            <w:r>
              <w:rPr>
                <w:rFonts w:hint="eastAsia" w:ascii="Times New Roman" w:hAnsi="Times New Roman"/>
                <w:color w:val="auto"/>
                <w:sz w:val="26"/>
                <w:szCs w:val="26"/>
              </w:rPr>
              <w:t>述，项目所在区域地表水环境状况较好，符合</w:t>
            </w:r>
            <w:r>
              <w:rPr>
                <w:rFonts w:ascii="Times New Roman" w:hAnsi="Times New Roman"/>
                <w:color w:val="auto"/>
                <w:sz w:val="26"/>
                <w:szCs w:val="26"/>
              </w:rPr>
              <w:t>《地表水环境质量标准》（GB3838-2002）Ⅱ类标准要求</w:t>
            </w:r>
            <w:r>
              <w:rPr>
                <w:rFonts w:hint="eastAsia" w:ascii="Times New Roman" w:hAnsi="Times New Roman"/>
                <w:color w:val="auto"/>
                <w:sz w:val="26"/>
                <w:szCs w:val="26"/>
              </w:rPr>
              <w:t>。</w:t>
            </w:r>
          </w:p>
          <w:p w14:paraId="04E10B95">
            <w:pPr>
              <w:adjustRightInd w:val="0"/>
              <w:snapToGrid w:val="0"/>
              <w:spacing w:line="460" w:lineRule="exact"/>
              <w:jc w:val="left"/>
              <w:rPr>
                <w:rFonts w:ascii="Times New Roman" w:hAnsi="Times New Roman"/>
                <w:b/>
                <w:color w:val="auto"/>
                <w:sz w:val="26"/>
                <w:szCs w:val="26"/>
              </w:rPr>
            </w:pPr>
            <w:r>
              <w:rPr>
                <w:rFonts w:ascii="Times New Roman" w:hAnsi="Times New Roman"/>
                <w:b/>
                <w:color w:val="auto"/>
                <w:sz w:val="26"/>
                <w:szCs w:val="26"/>
              </w:rPr>
              <w:t>3.1.</w:t>
            </w:r>
            <w:r>
              <w:rPr>
                <w:rFonts w:hint="eastAsia" w:ascii="Times New Roman" w:hAnsi="Times New Roman"/>
                <w:b/>
                <w:color w:val="auto"/>
                <w:sz w:val="26"/>
                <w:szCs w:val="26"/>
              </w:rPr>
              <w:t>4</w:t>
            </w:r>
            <w:r>
              <w:rPr>
                <w:rFonts w:ascii="Times New Roman" w:hAnsi="Times New Roman"/>
                <w:b/>
                <w:color w:val="auto"/>
                <w:sz w:val="26"/>
                <w:szCs w:val="26"/>
              </w:rPr>
              <w:t>声环境</w:t>
            </w:r>
          </w:p>
          <w:p w14:paraId="5ABF94FA">
            <w:pPr>
              <w:spacing w:line="460" w:lineRule="exact"/>
              <w:ind w:firstLine="520" w:firstLineChars="200"/>
              <w:rPr>
                <w:rFonts w:ascii="Times New Roman" w:hAnsi="Times New Roman"/>
                <w:color w:val="auto"/>
                <w:sz w:val="26"/>
                <w:szCs w:val="26"/>
              </w:rPr>
            </w:pPr>
            <w:r>
              <w:rPr>
                <w:rFonts w:hint="eastAsia" w:ascii="Times New Roman" w:hAnsi="Times New Roman"/>
                <w:color w:val="auto"/>
                <w:sz w:val="26"/>
                <w:szCs w:val="26"/>
              </w:rPr>
              <w:t>根据《建设项目环境影响报告表编制技术指南（污染影响类）（试行）》并结合现场实际情况，本项目厂界外周边50m范围内</w:t>
            </w:r>
            <w:r>
              <w:rPr>
                <w:rFonts w:hint="eastAsia" w:ascii="Times New Roman" w:hAnsi="Times New Roman"/>
                <w:color w:val="auto"/>
                <w:sz w:val="26"/>
                <w:szCs w:val="26"/>
                <w:lang w:val="en-US" w:eastAsia="zh-CN"/>
              </w:rPr>
              <w:t>存在散居居民点</w:t>
            </w:r>
            <w:r>
              <w:rPr>
                <w:rFonts w:ascii="Times New Roman" w:hAnsi="Times New Roman"/>
                <w:color w:val="auto"/>
                <w:sz w:val="26"/>
                <w:szCs w:val="26"/>
              </w:rPr>
              <w:t>。</w:t>
            </w:r>
          </w:p>
          <w:p w14:paraId="38C839AD">
            <w:pPr>
              <w:spacing w:line="460" w:lineRule="exact"/>
              <w:ind w:firstLine="520" w:firstLineChars="200"/>
              <w:rPr>
                <w:rFonts w:hint="eastAsia" w:ascii="Times New Roman" w:hAnsi="Times New Roman"/>
                <w:color w:val="auto"/>
                <w:sz w:val="26"/>
                <w:szCs w:val="26"/>
                <w:lang w:val="en-US" w:eastAsia="zh-CN"/>
              </w:rPr>
            </w:pPr>
            <w:r>
              <w:rPr>
                <w:rFonts w:hint="eastAsia" w:ascii="Times New Roman" w:hAnsi="Times New Roman"/>
                <w:color w:val="auto"/>
                <w:sz w:val="26"/>
                <w:szCs w:val="26"/>
                <w:lang w:val="en-US" w:eastAsia="zh-CN"/>
              </w:rPr>
              <w:t>根据</w:t>
            </w:r>
            <w:r>
              <w:rPr>
                <w:rFonts w:ascii="Times New Roman" w:hAnsi="Times New Roman"/>
                <w:color w:val="auto"/>
                <w:sz w:val="26"/>
                <w:szCs w:val="26"/>
              </w:rPr>
              <w:t>《重庆西彭工业园区规划环境影响报告书》</w:t>
            </w:r>
            <w:r>
              <w:rPr>
                <w:rFonts w:hint="eastAsia" w:ascii="Times New Roman" w:hAnsi="Times New Roman"/>
                <w:color w:val="auto"/>
                <w:sz w:val="26"/>
                <w:szCs w:val="26"/>
                <w:lang w:val="en-US" w:eastAsia="zh-CN"/>
              </w:rPr>
              <w:t>并结合</w:t>
            </w:r>
            <w:bookmarkStart w:id="4" w:name="tbx_bt"/>
            <w:r>
              <w:rPr>
                <w:rFonts w:hint="eastAsia" w:ascii="Times New Roman" w:hAnsi="Times New Roman"/>
                <w:color w:val="auto"/>
                <w:sz w:val="26"/>
                <w:szCs w:val="26"/>
                <w:lang w:val="en-US" w:eastAsia="zh-CN"/>
              </w:rPr>
              <w:t>重庆市生态环境局关于印发《重庆市中心城区声环境功能区划分方案（2023年）》的函</w:t>
            </w:r>
            <w:bookmarkEnd w:id="4"/>
            <w:bookmarkStart w:id="5" w:name="gwz"/>
            <w:r>
              <w:rPr>
                <w:rFonts w:hint="eastAsia" w:ascii="Times New Roman" w:hAnsi="Times New Roman"/>
                <w:color w:val="auto"/>
                <w:sz w:val="26"/>
                <w:szCs w:val="26"/>
                <w:lang w:val="en-US" w:eastAsia="zh-CN"/>
              </w:rPr>
              <w:t>（渝环〔</w:t>
            </w:r>
            <w:bookmarkStart w:id="6" w:name="gwnh"/>
            <w:r>
              <w:rPr>
                <w:rFonts w:hint="eastAsia" w:ascii="Times New Roman" w:hAnsi="Times New Roman"/>
                <w:color w:val="auto"/>
                <w:sz w:val="26"/>
                <w:szCs w:val="26"/>
                <w:lang w:val="en-US" w:eastAsia="zh-CN"/>
              </w:rPr>
              <w:t>2023</w:t>
            </w:r>
            <w:bookmarkEnd w:id="6"/>
            <w:r>
              <w:rPr>
                <w:rFonts w:hint="eastAsia" w:ascii="Times New Roman" w:hAnsi="Times New Roman"/>
                <w:color w:val="auto"/>
                <w:sz w:val="26"/>
                <w:szCs w:val="26"/>
                <w:lang w:val="en-US" w:eastAsia="zh-CN"/>
              </w:rPr>
              <w:t>〕</w:t>
            </w:r>
            <w:bookmarkStart w:id="7" w:name="gwqh"/>
            <w:r>
              <w:rPr>
                <w:rFonts w:hint="eastAsia" w:ascii="Times New Roman" w:hAnsi="Times New Roman"/>
                <w:color w:val="auto"/>
                <w:sz w:val="26"/>
                <w:szCs w:val="26"/>
                <w:lang w:val="en-US" w:eastAsia="zh-CN"/>
              </w:rPr>
              <w:t>61</w:t>
            </w:r>
            <w:bookmarkEnd w:id="7"/>
            <w:r>
              <w:rPr>
                <w:rFonts w:hint="eastAsia" w:ascii="Times New Roman" w:hAnsi="Times New Roman"/>
                <w:color w:val="auto"/>
                <w:sz w:val="26"/>
                <w:szCs w:val="26"/>
                <w:lang w:val="en-US" w:eastAsia="zh-CN"/>
              </w:rPr>
              <w:t>号）</w:t>
            </w:r>
            <w:bookmarkEnd w:id="5"/>
            <w:r>
              <w:rPr>
                <w:rFonts w:hint="eastAsia" w:ascii="Times New Roman" w:hAnsi="Times New Roman"/>
                <w:color w:val="auto"/>
                <w:sz w:val="26"/>
                <w:szCs w:val="26"/>
                <w:lang w:val="en-US" w:eastAsia="zh-CN"/>
              </w:rPr>
              <w:t>，项目及周边50m范围内散居居民点均属于工业用地，属于3类声环境功能区。</w:t>
            </w:r>
          </w:p>
          <w:p w14:paraId="607D1C24">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Times New Roman" w:hAnsi="Times New Roman"/>
                <w:color w:val="auto"/>
                <w:sz w:val="26"/>
                <w:szCs w:val="26"/>
                <w:lang w:val="en-US" w:eastAsia="zh-CN"/>
              </w:rPr>
            </w:pPr>
            <w:r>
              <w:rPr>
                <w:rFonts w:hint="eastAsia" w:ascii="Times New Roman" w:hAnsi="Times New Roman"/>
                <w:color w:val="auto"/>
                <w:sz w:val="26"/>
                <w:szCs w:val="26"/>
                <w:lang w:val="en-US" w:eastAsia="zh-CN"/>
              </w:rPr>
              <w:t>为了解项目周边散居居民点声环境质量现状，本次评价委托重庆智海科技有限责任公司于2026年3月6日~7日对其进行了声环境质量现状监测，具体监测情况如下所示：</w:t>
            </w:r>
          </w:p>
          <w:p w14:paraId="4E9C271E">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Times New Roman" w:hAnsi="Times New Roman" w:eastAsia="宋体" w:cs="Times New Roman"/>
                <w:color w:val="auto"/>
                <w:sz w:val="26"/>
                <w:szCs w:val="26"/>
                <w:lang w:eastAsia="zh-CN"/>
              </w:rPr>
            </w:pPr>
            <w:r>
              <w:rPr>
                <w:rFonts w:hint="eastAsia" w:ascii="Times New Roman" w:hAnsi="Times New Roman"/>
                <w:color w:val="auto"/>
                <w:sz w:val="26"/>
                <w:szCs w:val="26"/>
                <w:lang w:val="en-US" w:eastAsia="zh-CN"/>
              </w:rPr>
              <w:t>（1）监测点位：</w:t>
            </w:r>
            <w:r>
              <w:rPr>
                <w:rFonts w:hint="default" w:ascii="Times New Roman" w:hAnsi="Times New Roman" w:cs="Times New Roman"/>
                <w:color w:val="auto"/>
                <w:sz w:val="26"/>
                <w:szCs w:val="26"/>
              </w:rPr>
              <w:t>共设</w:t>
            </w:r>
            <w:r>
              <w:rPr>
                <w:rFonts w:hint="eastAsia" w:ascii="Times New Roman" w:hAnsi="Times New Roman" w:cs="Times New Roman"/>
                <w:color w:val="auto"/>
                <w:sz w:val="26"/>
                <w:szCs w:val="26"/>
                <w:lang w:val="en-US" w:eastAsia="zh-CN"/>
              </w:rPr>
              <w:t>1</w:t>
            </w:r>
            <w:r>
              <w:rPr>
                <w:rFonts w:hint="default" w:ascii="Times New Roman" w:hAnsi="Times New Roman" w:cs="Times New Roman"/>
                <w:color w:val="auto"/>
                <w:sz w:val="26"/>
                <w:szCs w:val="26"/>
              </w:rPr>
              <w:t>个声环境质量监测点，</w:t>
            </w:r>
            <w:r>
              <w:rPr>
                <w:rFonts w:hint="eastAsia" w:ascii="Times New Roman" w:hAnsi="Times New Roman" w:cs="Times New Roman"/>
                <w:color w:val="auto"/>
                <w:sz w:val="26"/>
                <w:szCs w:val="26"/>
                <w:lang w:val="en-US" w:eastAsia="zh-CN"/>
              </w:rPr>
              <w:t>位于项目东南侧居民点</w:t>
            </w:r>
            <w:r>
              <w:rPr>
                <w:rFonts w:hint="eastAsia" w:ascii="Times New Roman" w:hAnsi="Times New Roman" w:cs="Times New Roman"/>
                <w:color w:val="auto"/>
                <w:sz w:val="26"/>
                <w:szCs w:val="26"/>
                <w:lang w:eastAsia="zh-CN"/>
              </w:rPr>
              <w:t>；</w:t>
            </w:r>
          </w:p>
          <w:p w14:paraId="312791AA">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eastAsia="宋体" w:cs="Times New Roman"/>
                <w:color w:val="auto"/>
                <w:sz w:val="26"/>
                <w:szCs w:val="26"/>
                <w:lang w:eastAsia="zh-CN"/>
              </w:rPr>
            </w:pPr>
            <w:r>
              <w:rPr>
                <w:rFonts w:hint="eastAsia" w:ascii="Times New Roman" w:hAnsi="Times New Roman" w:cs="Times New Roman"/>
                <w:color w:val="auto"/>
                <w:sz w:val="26"/>
                <w:szCs w:val="26"/>
                <w:lang w:eastAsia="zh-CN"/>
              </w:rPr>
              <w:t>（</w:t>
            </w:r>
            <w:r>
              <w:rPr>
                <w:rFonts w:hint="eastAsia" w:ascii="Times New Roman" w:hAnsi="Times New Roman" w:cs="Times New Roman"/>
                <w:color w:val="auto"/>
                <w:sz w:val="26"/>
                <w:szCs w:val="26"/>
                <w:lang w:val="en-US" w:eastAsia="zh-CN"/>
              </w:rPr>
              <w:t>2</w:t>
            </w:r>
            <w:r>
              <w:rPr>
                <w:rFonts w:hint="eastAsia" w:ascii="Times New Roman" w:hAnsi="Times New Roman" w:cs="Times New Roman"/>
                <w:color w:val="auto"/>
                <w:sz w:val="26"/>
                <w:szCs w:val="26"/>
                <w:lang w:eastAsia="zh-CN"/>
              </w:rPr>
              <w:t>）</w:t>
            </w:r>
            <w:r>
              <w:rPr>
                <w:rFonts w:hint="default" w:ascii="Times New Roman" w:hAnsi="Times New Roman" w:cs="Times New Roman"/>
                <w:color w:val="auto"/>
                <w:sz w:val="26"/>
                <w:szCs w:val="26"/>
              </w:rPr>
              <w:t>监测因子：等效A声级</w:t>
            </w:r>
            <w:r>
              <w:rPr>
                <w:rFonts w:hint="default" w:ascii="Times New Roman" w:hAnsi="Times New Roman" w:cs="Times New Roman"/>
                <w:color w:val="auto"/>
                <w:sz w:val="26"/>
                <w:szCs w:val="26"/>
                <w:lang w:eastAsia="zh-CN"/>
              </w:rPr>
              <w:t>；</w:t>
            </w:r>
          </w:p>
          <w:p w14:paraId="685C3F6F">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eastAsia="宋体" w:cs="Times New Roman"/>
                <w:color w:val="auto"/>
                <w:sz w:val="26"/>
                <w:szCs w:val="26"/>
                <w:lang w:eastAsia="zh-CN"/>
              </w:rPr>
            </w:pPr>
            <w:r>
              <w:rPr>
                <w:rFonts w:hint="eastAsia" w:ascii="Times New Roman" w:hAnsi="Times New Roman" w:cs="Times New Roman"/>
                <w:color w:val="auto"/>
                <w:sz w:val="26"/>
                <w:szCs w:val="26"/>
                <w:lang w:eastAsia="zh-CN"/>
              </w:rPr>
              <w:t>（</w:t>
            </w:r>
            <w:r>
              <w:rPr>
                <w:rFonts w:hint="eastAsia" w:ascii="Times New Roman" w:hAnsi="Times New Roman" w:cs="Times New Roman"/>
                <w:color w:val="auto"/>
                <w:sz w:val="26"/>
                <w:szCs w:val="26"/>
                <w:lang w:val="en-US" w:eastAsia="zh-CN"/>
              </w:rPr>
              <w:t>3</w:t>
            </w:r>
            <w:r>
              <w:rPr>
                <w:rFonts w:hint="eastAsia" w:ascii="Times New Roman" w:hAnsi="Times New Roman" w:cs="Times New Roman"/>
                <w:color w:val="auto"/>
                <w:sz w:val="26"/>
                <w:szCs w:val="26"/>
                <w:lang w:eastAsia="zh-CN"/>
              </w:rPr>
              <w:t>）</w:t>
            </w:r>
            <w:r>
              <w:rPr>
                <w:rFonts w:hint="default" w:ascii="Times New Roman" w:hAnsi="Times New Roman" w:cs="Times New Roman"/>
                <w:color w:val="auto"/>
                <w:sz w:val="26"/>
                <w:szCs w:val="26"/>
              </w:rPr>
              <w:t>监测频率：连续监测2天，每天昼间和夜间各监测1次</w:t>
            </w:r>
            <w:r>
              <w:rPr>
                <w:rFonts w:hint="default" w:ascii="Times New Roman" w:hAnsi="Times New Roman" w:cs="Times New Roman"/>
                <w:color w:val="auto"/>
                <w:sz w:val="26"/>
                <w:szCs w:val="26"/>
                <w:lang w:eastAsia="zh-CN"/>
              </w:rPr>
              <w:t>；</w:t>
            </w:r>
          </w:p>
          <w:p w14:paraId="2EAE95B7">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eastAsia="宋体" w:cs="Times New Roman"/>
                <w:color w:val="auto"/>
                <w:sz w:val="26"/>
                <w:szCs w:val="26"/>
                <w:lang w:eastAsia="zh-CN"/>
              </w:rPr>
            </w:pPr>
            <w:r>
              <w:rPr>
                <w:rFonts w:hint="eastAsia" w:ascii="Times New Roman" w:hAnsi="Times New Roman" w:cs="Times New Roman"/>
                <w:color w:val="auto"/>
                <w:sz w:val="26"/>
                <w:szCs w:val="26"/>
                <w:lang w:eastAsia="zh-CN"/>
              </w:rPr>
              <w:t>（</w:t>
            </w:r>
            <w:r>
              <w:rPr>
                <w:rFonts w:hint="eastAsia" w:ascii="Times New Roman" w:hAnsi="Times New Roman" w:cs="Times New Roman"/>
                <w:color w:val="auto"/>
                <w:sz w:val="26"/>
                <w:szCs w:val="26"/>
                <w:lang w:val="en-US" w:eastAsia="zh-CN"/>
              </w:rPr>
              <w:t>4</w:t>
            </w:r>
            <w:r>
              <w:rPr>
                <w:rFonts w:hint="eastAsia" w:ascii="Times New Roman" w:hAnsi="Times New Roman" w:cs="Times New Roman"/>
                <w:color w:val="auto"/>
                <w:sz w:val="26"/>
                <w:szCs w:val="26"/>
                <w:lang w:eastAsia="zh-CN"/>
              </w:rPr>
              <w:t>）</w:t>
            </w:r>
            <w:r>
              <w:rPr>
                <w:rFonts w:hint="default" w:ascii="Times New Roman" w:hAnsi="Times New Roman" w:cs="Times New Roman"/>
                <w:color w:val="auto"/>
                <w:sz w:val="26"/>
                <w:szCs w:val="26"/>
              </w:rPr>
              <w:t>执行标准：《声环境质量标准》（GB3096-2008）</w:t>
            </w:r>
            <w:r>
              <w:rPr>
                <w:rFonts w:hint="default" w:ascii="Times New Roman" w:hAnsi="Times New Roman" w:cs="Times New Roman"/>
                <w:color w:val="auto"/>
                <w:sz w:val="26"/>
                <w:szCs w:val="26"/>
                <w:lang w:val="en-US" w:eastAsia="zh-CN"/>
              </w:rPr>
              <w:t>3</w:t>
            </w:r>
            <w:r>
              <w:rPr>
                <w:rFonts w:hint="default" w:ascii="Times New Roman" w:hAnsi="Times New Roman" w:cs="Times New Roman"/>
                <w:color w:val="auto"/>
                <w:sz w:val="26"/>
                <w:szCs w:val="26"/>
              </w:rPr>
              <w:t>类标准</w:t>
            </w:r>
            <w:r>
              <w:rPr>
                <w:rFonts w:hint="default" w:ascii="Times New Roman" w:hAnsi="Times New Roman" w:cs="Times New Roman"/>
                <w:color w:val="auto"/>
                <w:sz w:val="26"/>
                <w:szCs w:val="26"/>
                <w:lang w:eastAsia="zh-CN"/>
              </w:rPr>
              <w:t>；</w:t>
            </w:r>
          </w:p>
          <w:p w14:paraId="28E90B79">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eastAsia="宋体" w:cs="Times New Roman"/>
                <w:color w:val="auto"/>
                <w:sz w:val="26"/>
                <w:szCs w:val="26"/>
                <w:lang w:eastAsia="zh-CN"/>
              </w:rPr>
            </w:pPr>
            <w:r>
              <w:rPr>
                <w:rFonts w:hint="eastAsia" w:ascii="Times New Roman" w:hAnsi="Times New Roman" w:cs="Times New Roman"/>
                <w:color w:val="auto"/>
                <w:sz w:val="26"/>
                <w:szCs w:val="26"/>
                <w:lang w:eastAsia="zh-CN"/>
              </w:rPr>
              <w:t>（</w:t>
            </w:r>
            <w:r>
              <w:rPr>
                <w:rFonts w:hint="eastAsia" w:ascii="Times New Roman" w:hAnsi="Times New Roman" w:cs="Times New Roman"/>
                <w:color w:val="auto"/>
                <w:sz w:val="26"/>
                <w:szCs w:val="26"/>
                <w:lang w:val="en-US" w:eastAsia="zh-CN"/>
              </w:rPr>
              <w:t>5</w:t>
            </w:r>
            <w:r>
              <w:rPr>
                <w:rFonts w:hint="eastAsia" w:ascii="Times New Roman" w:hAnsi="Times New Roman" w:cs="Times New Roman"/>
                <w:color w:val="auto"/>
                <w:sz w:val="26"/>
                <w:szCs w:val="26"/>
                <w:lang w:eastAsia="zh-CN"/>
              </w:rPr>
              <w:t>）</w:t>
            </w:r>
            <w:r>
              <w:rPr>
                <w:rFonts w:hint="default" w:ascii="Times New Roman" w:hAnsi="Times New Roman" w:cs="Times New Roman"/>
                <w:color w:val="auto"/>
                <w:sz w:val="26"/>
                <w:szCs w:val="26"/>
              </w:rPr>
              <w:t>评价方法：采用与《声环境质量标准》（GB3096-2008）直接比较的方法</w:t>
            </w:r>
            <w:r>
              <w:rPr>
                <w:rFonts w:hint="default" w:ascii="Times New Roman" w:hAnsi="Times New Roman" w:cs="Times New Roman"/>
                <w:color w:val="auto"/>
                <w:sz w:val="26"/>
                <w:szCs w:val="26"/>
                <w:lang w:eastAsia="zh-CN"/>
              </w:rPr>
              <w:t>；</w:t>
            </w:r>
          </w:p>
          <w:p w14:paraId="0005D8CC">
            <w:pPr>
              <w:autoSpaceDE w:val="0"/>
              <w:autoSpaceDN w:val="0"/>
              <w:adjustRightInd w:val="0"/>
              <w:spacing w:line="460" w:lineRule="exact"/>
              <w:ind w:firstLine="520" w:firstLineChars="200"/>
              <w:rPr>
                <w:rFonts w:hint="default" w:ascii="Times New Roman" w:hAnsi="Times New Roman" w:eastAsia="宋体" w:cs="Times New Roman"/>
                <w:color w:val="auto"/>
                <w:sz w:val="26"/>
                <w:szCs w:val="26"/>
              </w:rPr>
            </w:pPr>
            <w:r>
              <w:rPr>
                <w:rFonts w:hint="eastAsia" w:ascii="Times New Roman" w:hAnsi="Times New Roman" w:cs="Times New Roman"/>
                <w:color w:val="auto"/>
                <w:sz w:val="26"/>
                <w:szCs w:val="26"/>
                <w:lang w:eastAsia="zh-CN"/>
              </w:rPr>
              <w:t>（</w:t>
            </w:r>
            <w:r>
              <w:rPr>
                <w:rFonts w:hint="eastAsia" w:ascii="Times New Roman" w:hAnsi="Times New Roman" w:cs="Times New Roman"/>
                <w:color w:val="auto"/>
                <w:sz w:val="26"/>
                <w:szCs w:val="26"/>
                <w:lang w:val="en-US" w:eastAsia="zh-CN"/>
              </w:rPr>
              <w:t>6</w:t>
            </w:r>
            <w:r>
              <w:rPr>
                <w:rFonts w:hint="eastAsia" w:ascii="Times New Roman" w:hAnsi="Times New Roman" w:cs="Times New Roman"/>
                <w:color w:val="auto"/>
                <w:sz w:val="26"/>
                <w:szCs w:val="26"/>
                <w:lang w:eastAsia="zh-CN"/>
              </w:rPr>
              <w:t>）</w:t>
            </w:r>
            <w:r>
              <w:rPr>
                <w:rFonts w:hint="default" w:ascii="Times New Roman" w:hAnsi="Times New Roman" w:cs="Times New Roman"/>
                <w:color w:val="auto"/>
                <w:sz w:val="26"/>
                <w:szCs w:val="26"/>
              </w:rPr>
              <w:t>监测结果：项</w:t>
            </w:r>
            <w:r>
              <w:rPr>
                <w:rFonts w:hint="default" w:ascii="Times New Roman" w:hAnsi="Times New Roman" w:eastAsia="宋体" w:cs="Times New Roman"/>
                <w:color w:val="auto"/>
                <w:sz w:val="26"/>
                <w:szCs w:val="26"/>
              </w:rPr>
              <w:t>目周边环境质量现状监测结果详见表</w:t>
            </w:r>
            <w:r>
              <w:rPr>
                <w:rFonts w:hint="eastAsia" w:ascii="Times New Roman" w:hAnsi="Times New Roman" w:eastAsia="宋体" w:cs="Times New Roman"/>
                <w:color w:val="auto"/>
                <w:sz w:val="26"/>
                <w:szCs w:val="26"/>
                <w:lang w:val="en-US" w:eastAsia="zh-CN"/>
              </w:rPr>
              <w:t>3.1</w:t>
            </w:r>
            <w:r>
              <w:rPr>
                <w:rFonts w:hint="default" w:ascii="Times New Roman" w:hAnsi="Times New Roman" w:eastAsia="宋体" w:cs="Times New Roman"/>
                <w:color w:val="auto"/>
                <w:sz w:val="26"/>
                <w:szCs w:val="26"/>
                <w:lang w:val="en-US" w:eastAsia="zh-CN"/>
              </w:rPr>
              <w:t>-</w:t>
            </w:r>
            <w:r>
              <w:rPr>
                <w:rFonts w:hint="eastAsia" w:ascii="Times New Roman" w:hAnsi="Times New Roman" w:eastAsia="宋体" w:cs="Times New Roman"/>
                <w:color w:val="auto"/>
                <w:sz w:val="26"/>
                <w:szCs w:val="26"/>
                <w:lang w:val="en-US" w:eastAsia="zh-CN"/>
              </w:rPr>
              <w:t>4</w:t>
            </w:r>
            <w:r>
              <w:rPr>
                <w:rFonts w:hint="default" w:ascii="Times New Roman" w:hAnsi="Times New Roman" w:eastAsia="宋体" w:cs="Times New Roman"/>
                <w:color w:val="auto"/>
                <w:sz w:val="26"/>
                <w:szCs w:val="26"/>
              </w:rPr>
              <w:t>所示。</w:t>
            </w:r>
          </w:p>
          <w:p w14:paraId="37D8D35C">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default" w:ascii="Times New Roman" w:hAnsi="Times New Roman" w:cs="Times New Roman"/>
                <w:b/>
                <w:bCs/>
                <w:color w:val="auto"/>
                <w:sz w:val="26"/>
                <w:szCs w:val="26"/>
              </w:rPr>
            </w:pPr>
            <w:r>
              <w:rPr>
                <w:rFonts w:hint="default" w:ascii="Times New Roman" w:hAnsi="Times New Roman" w:cs="Times New Roman"/>
                <w:b/>
                <w:bCs/>
                <w:color w:val="auto"/>
                <w:sz w:val="26"/>
                <w:szCs w:val="26"/>
              </w:rPr>
              <w:t>表</w:t>
            </w:r>
            <w:r>
              <w:rPr>
                <w:rFonts w:hint="eastAsia" w:ascii="Times New Roman" w:hAnsi="Times New Roman" w:cs="Times New Roman"/>
                <w:b/>
                <w:bCs/>
                <w:color w:val="auto"/>
                <w:sz w:val="26"/>
                <w:szCs w:val="26"/>
                <w:lang w:val="en-US" w:eastAsia="zh-CN"/>
              </w:rPr>
              <w:t xml:space="preserve">3.1-3  </w:t>
            </w:r>
            <w:r>
              <w:rPr>
                <w:rFonts w:hint="default" w:ascii="Times New Roman" w:hAnsi="Times New Roman" w:cs="Times New Roman"/>
                <w:b/>
                <w:bCs/>
                <w:color w:val="auto"/>
                <w:sz w:val="26"/>
                <w:szCs w:val="26"/>
              </w:rPr>
              <w:t>噪声监测结果一览表     单位：dB（A）</w:t>
            </w:r>
          </w:p>
          <w:tbl>
            <w:tblPr>
              <w:tblStyle w:val="25"/>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1204"/>
              <w:gridCol w:w="1174"/>
              <w:gridCol w:w="886"/>
              <w:gridCol w:w="1111"/>
              <w:gridCol w:w="1024"/>
              <w:gridCol w:w="1097"/>
            </w:tblGrid>
            <w:tr w14:paraId="345D49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70" w:type="dxa"/>
                  <w:vMerge w:val="restart"/>
                  <w:tcBorders>
                    <w:tl2br w:val="nil"/>
                    <w:tr2bl w:val="nil"/>
                  </w:tcBorders>
                  <w:noWrap w:val="0"/>
                  <w:vAlign w:val="center"/>
                </w:tcPr>
                <w:p w14:paraId="785DFCA7">
                  <w:pPr>
                    <w:spacing w:line="34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监测点</w:t>
                  </w:r>
                </w:p>
              </w:tc>
              <w:tc>
                <w:tcPr>
                  <w:tcW w:w="2378" w:type="dxa"/>
                  <w:gridSpan w:val="2"/>
                  <w:tcBorders>
                    <w:tl2br w:val="nil"/>
                    <w:tr2bl w:val="nil"/>
                  </w:tcBorders>
                  <w:noWrap w:val="0"/>
                  <w:vAlign w:val="center"/>
                </w:tcPr>
                <w:p w14:paraId="53FB5F02">
                  <w:pPr>
                    <w:spacing w:line="34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测量范围值</w:t>
                  </w:r>
                </w:p>
              </w:tc>
              <w:tc>
                <w:tcPr>
                  <w:tcW w:w="1997" w:type="dxa"/>
                  <w:gridSpan w:val="2"/>
                  <w:tcBorders>
                    <w:tl2br w:val="nil"/>
                    <w:tr2bl w:val="nil"/>
                  </w:tcBorders>
                  <w:noWrap w:val="0"/>
                  <w:vAlign w:val="center"/>
                </w:tcPr>
                <w:p w14:paraId="598F96B1">
                  <w:pPr>
                    <w:spacing w:line="34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标准</w:t>
                  </w:r>
                </w:p>
              </w:tc>
              <w:tc>
                <w:tcPr>
                  <w:tcW w:w="2121" w:type="dxa"/>
                  <w:gridSpan w:val="2"/>
                  <w:tcBorders>
                    <w:tl2br w:val="nil"/>
                    <w:tr2bl w:val="nil"/>
                  </w:tcBorders>
                  <w:noWrap w:val="0"/>
                  <w:vAlign w:val="center"/>
                </w:tcPr>
                <w:p w14:paraId="5A3B3C09">
                  <w:pPr>
                    <w:spacing w:line="34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超标值</w:t>
                  </w:r>
                </w:p>
              </w:tc>
            </w:tr>
            <w:tr w14:paraId="4FDF7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70" w:type="dxa"/>
                  <w:vMerge w:val="continue"/>
                  <w:tcBorders>
                    <w:tl2br w:val="nil"/>
                    <w:tr2bl w:val="nil"/>
                  </w:tcBorders>
                  <w:noWrap w:val="0"/>
                  <w:vAlign w:val="center"/>
                </w:tcPr>
                <w:p w14:paraId="3991691A">
                  <w:pPr>
                    <w:spacing w:line="340" w:lineRule="exact"/>
                    <w:jc w:val="center"/>
                    <w:rPr>
                      <w:rFonts w:hint="default" w:ascii="Times New Roman" w:hAnsi="Times New Roman" w:cs="Times New Roman"/>
                      <w:color w:val="auto"/>
                      <w:kern w:val="0"/>
                      <w:sz w:val="21"/>
                      <w:szCs w:val="21"/>
                    </w:rPr>
                  </w:pPr>
                </w:p>
              </w:tc>
              <w:tc>
                <w:tcPr>
                  <w:tcW w:w="1204" w:type="dxa"/>
                  <w:tcBorders>
                    <w:tl2br w:val="nil"/>
                    <w:tr2bl w:val="nil"/>
                  </w:tcBorders>
                  <w:noWrap w:val="0"/>
                  <w:vAlign w:val="center"/>
                </w:tcPr>
                <w:p w14:paraId="47F7C0A6">
                  <w:pPr>
                    <w:spacing w:line="34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昼间</w:t>
                  </w:r>
                </w:p>
              </w:tc>
              <w:tc>
                <w:tcPr>
                  <w:tcW w:w="1174" w:type="dxa"/>
                  <w:tcBorders>
                    <w:tl2br w:val="nil"/>
                    <w:tr2bl w:val="nil"/>
                  </w:tcBorders>
                  <w:noWrap w:val="0"/>
                  <w:vAlign w:val="center"/>
                </w:tcPr>
                <w:p w14:paraId="0748428E">
                  <w:pPr>
                    <w:spacing w:line="34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夜间</w:t>
                  </w:r>
                </w:p>
              </w:tc>
              <w:tc>
                <w:tcPr>
                  <w:tcW w:w="886" w:type="dxa"/>
                  <w:tcBorders>
                    <w:tl2br w:val="nil"/>
                    <w:tr2bl w:val="nil"/>
                  </w:tcBorders>
                  <w:noWrap w:val="0"/>
                  <w:vAlign w:val="center"/>
                </w:tcPr>
                <w:p w14:paraId="3FD1C8F7">
                  <w:pPr>
                    <w:spacing w:line="34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昼间</w:t>
                  </w:r>
                </w:p>
              </w:tc>
              <w:tc>
                <w:tcPr>
                  <w:tcW w:w="1111" w:type="dxa"/>
                  <w:tcBorders>
                    <w:tl2br w:val="nil"/>
                    <w:tr2bl w:val="nil"/>
                  </w:tcBorders>
                  <w:noWrap w:val="0"/>
                  <w:vAlign w:val="center"/>
                </w:tcPr>
                <w:p w14:paraId="0300C024">
                  <w:pPr>
                    <w:spacing w:line="34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夜间</w:t>
                  </w:r>
                </w:p>
              </w:tc>
              <w:tc>
                <w:tcPr>
                  <w:tcW w:w="1024" w:type="dxa"/>
                  <w:tcBorders>
                    <w:tl2br w:val="nil"/>
                    <w:tr2bl w:val="nil"/>
                  </w:tcBorders>
                  <w:noWrap w:val="0"/>
                  <w:vAlign w:val="center"/>
                </w:tcPr>
                <w:p w14:paraId="43601C63">
                  <w:pPr>
                    <w:spacing w:line="34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昼间</w:t>
                  </w:r>
                </w:p>
              </w:tc>
              <w:tc>
                <w:tcPr>
                  <w:tcW w:w="1097" w:type="dxa"/>
                  <w:tcBorders>
                    <w:tl2br w:val="nil"/>
                    <w:tr2bl w:val="nil"/>
                  </w:tcBorders>
                  <w:noWrap w:val="0"/>
                  <w:vAlign w:val="center"/>
                </w:tcPr>
                <w:p w14:paraId="53A36E44">
                  <w:pPr>
                    <w:spacing w:line="34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夜间</w:t>
                  </w:r>
                </w:p>
              </w:tc>
            </w:tr>
            <w:tr w14:paraId="07C9E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370" w:type="dxa"/>
                  <w:tcBorders>
                    <w:tl2br w:val="nil"/>
                    <w:tr2bl w:val="nil"/>
                  </w:tcBorders>
                  <w:noWrap w:val="0"/>
                  <w:vAlign w:val="center"/>
                </w:tcPr>
                <w:p w14:paraId="0CF95518">
                  <w:pPr>
                    <w:spacing w:line="340" w:lineRule="exact"/>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N1</w:t>
                  </w:r>
                </w:p>
              </w:tc>
              <w:tc>
                <w:tcPr>
                  <w:tcW w:w="1204" w:type="dxa"/>
                  <w:tcBorders>
                    <w:tl2br w:val="nil"/>
                    <w:tr2bl w:val="nil"/>
                  </w:tcBorders>
                  <w:noWrap w:val="0"/>
                  <w:vAlign w:val="center"/>
                </w:tcPr>
                <w:p w14:paraId="2955C480">
                  <w:pPr>
                    <w:spacing w:line="340" w:lineRule="exact"/>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52~53</w:t>
                  </w:r>
                </w:p>
              </w:tc>
              <w:tc>
                <w:tcPr>
                  <w:tcW w:w="1174" w:type="dxa"/>
                  <w:tcBorders>
                    <w:tl2br w:val="nil"/>
                    <w:tr2bl w:val="nil"/>
                  </w:tcBorders>
                  <w:noWrap w:val="0"/>
                  <w:vAlign w:val="center"/>
                </w:tcPr>
                <w:p w14:paraId="57318740">
                  <w:pPr>
                    <w:spacing w:line="340" w:lineRule="exact"/>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44~44</w:t>
                  </w:r>
                </w:p>
              </w:tc>
              <w:tc>
                <w:tcPr>
                  <w:tcW w:w="886" w:type="dxa"/>
                  <w:tcBorders>
                    <w:tl2br w:val="nil"/>
                    <w:tr2bl w:val="nil"/>
                  </w:tcBorders>
                  <w:noWrap w:val="0"/>
                  <w:vAlign w:val="center"/>
                </w:tcPr>
                <w:p w14:paraId="27739DFD">
                  <w:pPr>
                    <w:spacing w:line="34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65</w:t>
                  </w:r>
                </w:p>
              </w:tc>
              <w:tc>
                <w:tcPr>
                  <w:tcW w:w="1111" w:type="dxa"/>
                  <w:tcBorders>
                    <w:tl2br w:val="nil"/>
                    <w:tr2bl w:val="nil"/>
                  </w:tcBorders>
                  <w:noWrap w:val="0"/>
                  <w:vAlign w:val="center"/>
                </w:tcPr>
                <w:p w14:paraId="36F1DE12">
                  <w:pPr>
                    <w:spacing w:line="34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55</w:t>
                  </w:r>
                </w:p>
              </w:tc>
              <w:tc>
                <w:tcPr>
                  <w:tcW w:w="1024" w:type="dxa"/>
                  <w:tcBorders>
                    <w:tl2br w:val="nil"/>
                    <w:tr2bl w:val="nil"/>
                  </w:tcBorders>
                  <w:noWrap w:val="0"/>
                  <w:vAlign w:val="center"/>
                </w:tcPr>
                <w:p w14:paraId="6CA55A37">
                  <w:pPr>
                    <w:spacing w:line="34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w:t>
                  </w:r>
                </w:p>
              </w:tc>
              <w:tc>
                <w:tcPr>
                  <w:tcW w:w="1097" w:type="dxa"/>
                  <w:tcBorders>
                    <w:tl2br w:val="nil"/>
                    <w:tr2bl w:val="nil"/>
                  </w:tcBorders>
                  <w:noWrap w:val="0"/>
                  <w:vAlign w:val="center"/>
                </w:tcPr>
                <w:p w14:paraId="785744E1">
                  <w:pPr>
                    <w:spacing w:line="34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w:t>
                  </w:r>
                </w:p>
              </w:tc>
            </w:tr>
          </w:tbl>
          <w:p w14:paraId="58F46E03">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eastAsia="宋体" w:cs="Times New Roman"/>
                <w:color w:val="auto"/>
                <w:sz w:val="26"/>
                <w:szCs w:val="26"/>
              </w:rPr>
            </w:pPr>
          </w:p>
          <w:p w14:paraId="3D42474B">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Times New Roman" w:hAnsi="Times New Roman" w:eastAsia="宋体"/>
                <w:color w:val="auto"/>
                <w:sz w:val="26"/>
                <w:szCs w:val="26"/>
                <w:lang w:val="en-US" w:eastAsia="zh-CN"/>
              </w:rPr>
            </w:pPr>
            <w:r>
              <w:rPr>
                <w:rFonts w:hint="default" w:ascii="Times New Roman" w:hAnsi="Times New Roman" w:eastAsia="宋体" w:cs="Times New Roman"/>
                <w:color w:val="auto"/>
                <w:sz w:val="26"/>
                <w:szCs w:val="26"/>
              </w:rPr>
              <w:t>由表</w:t>
            </w:r>
            <w:r>
              <w:rPr>
                <w:rFonts w:hint="eastAsia" w:ascii="Times New Roman" w:hAnsi="Times New Roman" w:eastAsia="宋体" w:cs="Times New Roman"/>
                <w:color w:val="auto"/>
                <w:sz w:val="26"/>
                <w:szCs w:val="26"/>
                <w:lang w:val="en-US" w:eastAsia="zh-CN"/>
              </w:rPr>
              <w:t>3.1-4</w:t>
            </w:r>
            <w:r>
              <w:rPr>
                <w:rFonts w:hint="default" w:ascii="Times New Roman" w:hAnsi="Times New Roman" w:cs="Times New Roman"/>
                <w:color w:val="auto"/>
                <w:sz w:val="26"/>
                <w:szCs w:val="26"/>
              </w:rPr>
              <w:t>得知，</w:t>
            </w:r>
            <w:r>
              <w:rPr>
                <w:rFonts w:hint="eastAsia" w:ascii="Times New Roman" w:hAnsi="Times New Roman" w:cs="Times New Roman"/>
                <w:color w:val="auto"/>
                <w:sz w:val="26"/>
                <w:szCs w:val="26"/>
                <w:lang w:val="en-US" w:eastAsia="zh-CN"/>
              </w:rPr>
              <w:t>本</w:t>
            </w:r>
            <w:r>
              <w:rPr>
                <w:rFonts w:hint="default" w:ascii="Times New Roman" w:hAnsi="Times New Roman" w:cs="Times New Roman"/>
                <w:color w:val="auto"/>
                <w:sz w:val="26"/>
                <w:szCs w:val="26"/>
              </w:rPr>
              <w:t>项目</w:t>
            </w:r>
            <w:r>
              <w:rPr>
                <w:rFonts w:hint="eastAsia" w:ascii="Times New Roman" w:hAnsi="Times New Roman" w:cs="Times New Roman"/>
                <w:color w:val="auto"/>
                <w:sz w:val="26"/>
                <w:szCs w:val="26"/>
                <w:lang w:val="en-US" w:eastAsia="zh-CN"/>
              </w:rPr>
              <w:t>周边声环境敏感点处</w:t>
            </w:r>
            <w:r>
              <w:rPr>
                <w:rFonts w:hint="default" w:ascii="Times New Roman" w:hAnsi="Times New Roman" w:cs="Times New Roman"/>
                <w:color w:val="auto"/>
                <w:sz w:val="26"/>
                <w:szCs w:val="26"/>
              </w:rPr>
              <w:t>声环境质量满足《声环境质量标准》（GB3096-2008）</w:t>
            </w:r>
            <w:r>
              <w:rPr>
                <w:rFonts w:hint="default" w:ascii="Times New Roman" w:hAnsi="Times New Roman" w:cs="Times New Roman"/>
                <w:color w:val="auto"/>
                <w:sz w:val="26"/>
                <w:szCs w:val="26"/>
                <w:lang w:val="en-US" w:eastAsia="zh-CN"/>
              </w:rPr>
              <w:t>3</w:t>
            </w:r>
            <w:r>
              <w:rPr>
                <w:rFonts w:hint="default" w:ascii="Times New Roman" w:hAnsi="Times New Roman" w:cs="Times New Roman"/>
                <w:color w:val="auto"/>
                <w:sz w:val="26"/>
                <w:szCs w:val="26"/>
              </w:rPr>
              <w:t>类标准，区域声环境质量现状较好</w:t>
            </w:r>
            <w:r>
              <w:rPr>
                <w:rFonts w:hint="default" w:ascii="Times New Roman" w:hAnsi="Times New Roman" w:cs="Times New Roman"/>
                <w:color w:val="auto"/>
                <w:sz w:val="26"/>
                <w:szCs w:val="26"/>
                <w:lang w:eastAsia="zh-CN"/>
              </w:rPr>
              <w:t>。</w:t>
            </w:r>
          </w:p>
          <w:p w14:paraId="17EBD665">
            <w:pPr>
              <w:adjustRightInd w:val="0"/>
              <w:snapToGrid w:val="0"/>
              <w:spacing w:line="460" w:lineRule="exact"/>
              <w:jc w:val="left"/>
              <w:rPr>
                <w:rFonts w:hint="eastAsia" w:ascii="Times New Roman" w:hAnsi="Times New Roman"/>
                <w:b/>
                <w:color w:val="auto"/>
                <w:sz w:val="26"/>
                <w:szCs w:val="26"/>
              </w:rPr>
            </w:pPr>
            <w:r>
              <w:rPr>
                <w:rFonts w:hint="eastAsia" w:ascii="Times New Roman" w:hAnsi="Times New Roman"/>
                <w:b/>
                <w:color w:val="auto"/>
                <w:sz w:val="26"/>
                <w:szCs w:val="26"/>
              </w:rPr>
              <w:t>3.1.</w:t>
            </w:r>
            <w:r>
              <w:rPr>
                <w:rFonts w:hint="eastAsia" w:ascii="Times New Roman" w:hAnsi="Times New Roman"/>
                <w:b/>
                <w:color w:val="auto"/>
                <w:sz w:val="26"/>
                <w:szCs w:val="26"/>
                <w:lang w:val="en-US" w:eastAsia="zh-CN"/>
              </w:rPr>
              <w:t>5</w:t>
            </w:r>
            <w:r>
              <w:rPr>
                <w:rFonts w:hint="eastAsia" w:ascii="Times New Roman" w:hAnsi="Times New Roman"/>
                <w:b/>
                <w:color w:val="auto"/>
                <w:sz w:val="26"/>
                <w:szCs w:val="26"/>
              </w:rPr>
              <w:t>地下水、土壤环境</w:t>
            </w:r>
          </w:p>
          <w:p w14:paraId="2DB93DFE">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rPr>
              <w:t>根据《建设项目环境影响报告表编制技术指南（污染影响类）（试行）》，</w:t>
            </w:r>
            <w:r>
              <w:rPr>
                <w:rFonts w:hint="eastAsia" w:ascii="Times New Roman" w:hAnsi="Times New Roman" w:eastAsia="宋体" w:cs="Times New Roman"/>
                <w:color w:val="auto"/>
                <w:sz w:val="26"/>
                <w:szCs w:val="26"/>
                <w:lang w:val="en-US" w:eastAsia="zh-CN"/>
              </w:rPr>
              <w:t>本</w:t>
            </w:r>
            <w:r>
              <w:rPr>
                <w:rFonts w:hint="eastAsia" w:ascii="Times New Roman" w:hAnsi="Times New Roman" w:eastAsia="宋体" w:cs="Times New Roman"/>
                <w:color w:val="auto"/>
                <w:sz w:val="26"/>
                <w:szCs w:val="26"/>
              </w:rPr>
              <w:t>项目</w:t>
            </w:r>
            <w:r>
              <w:rPr>
                <w:rFonts w:hint="eastAsia" w:ascii="Times New Roman" w:hAnsi="Times New Roman" w:eastAsia="宋体" w:cs="Times New Roman"/>
                <w:color w:val="auto"/>
                <w:sz w:val="26"/>
                <w:szCs w:val="26"/>
                <w:lang w:val="en-US" w:eastAsia="zh-CN"/>
              </w:rPr>
              <w:t>危废贮存库、油品库房区域为重点防渗区，均进行了防腐、防渗及防泄漏处理，</w:t>
            </w:r>
            <w:r>
              <w:rPr>
                <w:rFonts w:hint="eastAsia" w:ascii="Times New Roman" w:hAnsi="Times New Roman" w:eastAsia="宋体" w:cs="Times New Roman"/>
                <w:color w:val="auto"/>
                <w:sz w:val="26"/>
                <w:szCs w:val="26"/>
              </w:rPr>
              <w:t>可</w:t>
            </w:r>
            <w:r>
              <w:rPr>
                <w:rFonts w:hint="eastAsia" w:ascii="Times New Roman" w:hAnsi="Times New Roman" w:eastAsia="宋体" w:cs="Times New Roman"/>
                <w:color w:val="auto"/>
                <w:sz w:val="26"/>
                <w:szCs w:val="26"/>
                <w:lang w:val="en-US" w:eastAsia="zh-CN"/>
              </w:rPr>
              <w:t>及时防止物料</w:t>
            </w:r>
            <w:r>
              <w:rPr>
                <w:rFonts w:hint="eastAsia" w:ascii="Times New Roman" w:hAnsi="Times New Roman" w:eastAsia="宋体" w:cs="Times New Roman"/>
                <w:color w:val="auto"/>
                <w:sz w:val="26"/>
                <w:szCs w:val="26"/>
              </w:rPr>
              <w:t>渗漏发生，可从源头上控制项目对区域</w:t>
            </w:r>
            <w:r>
              <w:rPr>
                <w:rFonts w:hint="eastAsia" w:ascii="Times New Roman" w:hAnsi="Times New Roman" w:eastAsia="宋体" w:cs="Times New Roman"/>
                <w:color w:val="auto"/>
                <w:sz w:val="26"/>
                <w:szCs w:val="26"/>
                <w:lang w:val="en-US" w:eastAsia="zh-CN"/>
              </w:rPr>
              <w:t>地下水、</w:t>
            </w:r>
            <w:r>
              <w:rPr>
                <w:rFonts w:hint="eastAsia" w:ascii="Times New Roman" w:hAnsi="Times New Roman" w:eastAsia="宋体" w:cs="Times New Roman"/>
                <w:color w:val="auto"/>
                <w:sz w:val="26"/>
                <w:szCs w:val="26"/>
              </w:rPr>
              <w:t>土壤环境的污染</w:t>
            </w:r>
            <w:r>
              <w:rPr>
                <w:rFonts w:hint="eastAsia" w:ascii="Times New Roman" w:hAnsi="Times New Roman" w:eastAsia="宋体" w:cs="Times New Roman"/>
                <w:color w:val="auto"/>
                <w:sz w:val="26"/>
                <w:szCs w:val="26"/>
                <w:lang w:val="en-US" w:eastAsia="zh-CN"/>
              </w:rPr>
              <w:t>影响</w:t>
            </w:r>
            <w:r>
              <w:rPr>
                <w:rFonts w:hint="eastAsia" w:ascii="Times New Roman" w:hAnsi="Times New Roman" w:eastAsia="宋体" w:cs="Times New Roman"/>
                <w:color w:val="auto"/>
                <w:sz w:val="26"/>
                <w:szCs w:val="26"/>
              </w:rPr>
              <w:t>，</w:t>
            </w:r>
            <w:r>
              <w:rPr>
                <w:rFonts w:hint="eastAsia" w:ascii="Times New Roman" w:hAnsi="Times New Roman" w:eastAsia="宋体" w:cs="Times New Roman"/>
                <w:color w:val="auto"/>
                <w:sz w:val="26"/>
                <w:szCs w:val="26"/>
                <w:lang w:val="en-US" w:eastAsia="zh-CN"/>
              </w:rPr>
              <w:t>因此本项目无直接泄漏至地下水和土壤途径，</w:t>
            </w:r>
            <w:r>
              <w:rPr>
                <w:rFonts w:hint="eastAsia" w:ascii="Times New Roman" w:hAnsi="Times New Roman" w:eastAsia="宋体" w:cs="Times New Roman"/>
                <w:color w:val="auto"/>
                <w:sz w:val="26"/>
                <w:szCs w:val="26"/>
              </w:rPr>
              <w:t>不开展地下水和土壤环境质量现状</w:t>
            </w:r>
            <w:r>
              <w:rPr>
                <w:rFonts w:hint="eastAsia" w:ascii="Times New Roman" w:hAnsi="Times New Roman" w:eastAsia="宋体" w:cs="Times New Roman"/>
                <w:color w:val="auto"/>
                <w:sz w:val="26"/>
                <w:szCs w:val="26"/>
                <w:lang w:val="en-US" w:eastAsia="zh-CN"/>
              </w:rPr>
              <w:t>评价</w:t>
            </w:r>
            <w:r>
              <w:rPr>
                <w:rFonts w:hint="eastAsia" w:ascii="Times New Roman" w:hAnsi="Times New Roman" w:eastAsia="宋体" w:cs="Times New Roman"/>
                <w:color w:val="auto"/>
                <w:sz w:val="26"/>
                <w:szCs w:val="26"/>
              </w:rPr>
              <w:t>。</w:t>
            </w:r>
          </w:p>
          <w:p w14:paraId="4C7459BC">
            <w:pPr>
              <w:adjustRightInd w:val="0"/>
              <w:snapToGrid w:val="0"/>
              <w:spacing w:line="460" w:lineRule="exact"/>
              <w:jc w:val="left"/>
              <w:rPr>
                <w:rFonts w:hint="eastAsia" w:ascii="Times New Roman" w:hAnsi="Times New Roman"/>
                <w:b/>
                <w:color w:val="auto"/>
                <w:sz w:val="26"/>
                <w:szCs w:val="26"/>
              </w:rPr>
            </w:pPr>
            <w:r>
              <w:rPr>
                <w:rFonts w:ascii="Times New Roman" w:hAnsi="Times New Roman"/>
                <w:b/>
                <w:color w:val="auto"/>
                <w:sz w:val="26"/>
                <w:szCs w:val="26"/>
              </w:rPr>
              <w:t>3.1.</w:t>
            </w:r>
            <w:r>
              <w:rPr>
                <w:rFonts w:hint="eastAsia" w:ascii="Times New Roman" w:hAnsi="Times New Roman"/>
                <w:b/>
                <w:color w:val="auto"/>
                <w:sz w:val="26"/>
                <w:szCs w:val="26"/>
                <w:lang w:val="en-US" w:eastAsia="zh-CN"/>
              </w:rPr>
              <w:t>6</w:t>
            </w:r>
            <w:r>
              <w:rPr>
                <w:rFonts w:hint="eastAsia" w:ascii="Times New Roman" w:hAnsi="Times New Roman"/>
                <w:b/>
                <w:color w:val="auto"/>
                <w:sz w:val="26"/>
                <w:szCs w:val="26"/>
              </w:rPr>
              <w:t>生态</w:t>
            </w:r>
            <w:r>
              <w:rPr>
                <w:rFonts w:ascii="Times New Roman" w:hAnsi="Times New Roman"/>
                <w:b/>
                <w:color w:val="auto"/>
                <w:sz w:val="26"/>
                <w:szCs w:val="26"/>
              </w:rPr>
              <w:t>环境</w:t>
            </w:r>
            <w:r>
              <w:rPr>
                <w:rFonts w:hint="eastAsia" w:ascii="Times New Roman" w:hAnsi="Times New Roman"/>
                <w:b/>
                <w:color w:val="auto"/>
                <w:sz w:val="26"/>
                <w:szCs w:val="26"/>
              </w:rPr>
              <w:t>现状</w:t>
            </w:r>
          </w:p>
          <w:p w14:paraId="3B7A0E1D">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color w:val="auto"/>
                <w:sz w:val="26"/>
                <w:szCs w:val="26"/>
              </w:rPr>
              <w:t>本项目在现有项目已建标准厂房进行建设，</w:t>
            </w:r>
            <w:r>
              <w:rPr>
                <w:rFonts w:hint="eastAsia" w:ascii="Times New Roman" w:hAnsi="Times New Roman" w:eastAsia="宋体" w:cs="Times New Roman"/>
                <w:color w:val="auto"/>
                <w:sz w:val="26"/>
                <w:szCs w:val="26"/>
                <w:lang w:eastAsia="zh-CN"/>
              </w:rPr>
              <w:t>位于</w:t>
            </w:r>
            <w:r>
              <w:rPr>
                <w:rFonts w:hint="eastAsia" w:ascii="Times New Roman" w:hAnsi="Times New Roman" w:eastAsia="宋体" w:cs="Times New Roman"/>
                <w:color w:val="auto"/>
                <w:sz w:val="26"/>
                <w:szCs w:val="26"/>
                <w:lang w:val="en-GB"/>
              </w:rPr>
              <w:t>重庆西彭工业园区</w:t>
            </w:r>
            <w:r>
              <w:rPr>
                <w:rFonts w:hint="eastAsia" w:ascii="Times New Roman" w:hAnsi="Times New Roman" w:eastAsia="宋体" w:cs="Times New Roman"/>
                <w:color w:val="auto"/>
                <w:sz w:val="26"/>
                <w:szCs w:val="26"/>
                <w:lang w:val="en-US" w:eastAsia="zh-CN"/>
              </w:rPr>
              <w:t>西彭</w:t>
            </w:r>
            <w:r>
              <w:rPr>
                <w:rFonts w:hint="eastAsia" w:ascii="Times New Roman" w:hAnsi="Times New Roman" w:eastAsia="宋体" w:cs="Times New Roman"/>
                <w:color w:val="auto"/>
                <w:sz w:val="26"/>
                <w:szCs w:val="26"/>
                <w:lang w:val="en-GB" w:eastAsia="zh-CN"/>
              </w:rPr>
              <w:t>组团，</w:t>
            </w:r>
            <w:r>
              <w:rPr>
                <w:rFonts w:hint="eastAsia" w:ascii="Times New Roman" w:hAnsi="Times New Roman" w:eastAsia="宋体" w:cs="Times New Roman"/>
                <w:color w:val="auto"/>
                <w:sz w:val="26"/>
                <w:szCs w:val="26"/>
              </w:rPr>
              <w:t>周边现以已建城市生态系统为主，周边环境绿化较好，植被主要为常见花草、灌木及乔木类，生态结构简单。评价范围内未发现文物古迹、风景名胜及自然保护区，无珍稀保护动植物分布，生态环境现状比较稳定。</w:t>
            </w:r>
          </w:p>
        </w:tc>
      </w:tr>
      <w:tr w14:paraId="23431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800" w:type="dxa"/>
            <w:tcBorders>
              <w:tl2br w:val="nil"/>
              <w:tr2bl w:val="nil"/>
            </w:tcBorders>
            <w:noWrap w:val="0"/>
            <w:vAlign w:val="center"/>
          </w:tcPr>
          <w:p w14:paraId="6964FD18">
            <w:pPr>
              <w:adjustRightInd w:val="0"/>
              <w:snapToGrid w:val="0"/>
              <w:jc w:val="center"/>
              <w:rPr>
                <w:rFonts w:hint="default" w:ascii="Times New Roman" w:hAnsi="Times New Roman" w:cs="Times New Roman"/>
                <w:color w:val="auto"/>
                <w:kern w:val="0"/>
                <w:sz w:val="26"/>
                <w:szCs w:val="26"/>
              </w:rPr>
            </w:pPr>
            <w:r>
              <w:rPr>
                <w:rFonts w:hint="default" w:ascii="Times New Roman" w:hAnsi="Times New Roman" w:cs="Times New Roman"/>
                <w:color w:val="auto"/>
                <w:kern w:val="0"/>
                <w:sz w:val="26"/>
                <w:szCs w:val="26"/>
              </w:rPr>
              <w:t>环境</w:t>
            </w:r>
          </w:p>
          <w:p w14:paraId="7DB3C214">
            <w:pPr>
              <w:adjustRightInd w:val="0"/>
              <w:snapToGrid w:val="0"/>
              <w:jc w:val="center"/>
              <w:rPr>
                <w:rFonts w:hint="default" w:ascii="Times New Roman" w:hAnsi="Times New Roman" w:cs="Times New Roman"/>
                <w:color w:val="auto"/>
                <w:kern w:val="0"/>
                <w:sz w:val="26"/>
                <w:szCs w:val="26"/>
              </w:rPr>
            </w:pPr>
            <w:r>
              <w:rPr>
                <w:rFonts w:hint="default" w:ascii="Times New Roman" w:hAnsi="Times New Roman" w:cs="Times New Roman"/>
                <w:color w:val="auto"/>
                <w:kern w:val="0"/>
                <w:sz w:val="26"/>
                <w:szCs w:val="26"/>
              </w:rPr>
              <w:t>保护</w:t>
            </w:r>
          </w:p>
          <w:p w14:paraId="1BDD26CD">
            <w:pPr>
              <w:adjustRightInd w:val="0"/>
              <w:snapToGrid w:val="0"/>
              <w:jc w:val="center"/>
              <w:rPr>
                <w:rFonts w:hint="default" w:ascii="Times New Roman" w:hAnsi="Times New Roman" w:cs="Times New Roman"/>
                <w:color w:val="auto"/>
                <w:kern w:val="0"/>
                <w:sz w:val="26"/>
                <w:szCs w:val="26"/>
              </w:rPr>
            </w:pPr>
            <w:r>
              <w:rPr>
                <w:rFonts w:hint="default" w:ascii="Times New Roman" w:hAnsi="Times New Roman" w:cs="Times New Roman"/>
                <w:color w:val="auto"/>
                <w:kern w:val="0"/>
                <w:sz w:val="26"/>
                <w:szCs w:val="26"/>
              </w:rPr>
              <w:t>目标</w:t>
            </w:r>
          </w:p>
        </w:tc>
        <w:tc>
          <w:tcPr>
            <w:tcW w:w="8190" w:type="dxa"/>
            <w:tcBorders>
              <w:tl2br w:val="nil"/>
              <w:tr2bl w:val="nil"/>
            </w:tcBorders>
            <w:noWrap w:val="0"/>
            <w:vAlign w:val="center"/>
          </w:tcPr>
          <w:p w14:paraId="47200C39">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default" w:ascii="Times New Roman" w:hAnsi="Times New Roman" w:eastAsia="宋体"/>
                <w:b/>
                <w:bCs/>
                <w:color w:val="auto"/>
                <w:sz w:val="26"/>
                <w:szCs w:val="26"/>
                <w:lang w:val="en-US" w:eastAsia="zh-CN"/>
              </w:rPr>
            </w:pPr>
            <w:r>
              <w:rPr>
                <w:rFonts w:ascii="Times New Roman" w:hAnsi="Times New Roman"/>
                <w:b/>
                <w:bCs/>
                <w:color w:val="auto"/>
                <w:sz w:val="26"/>
                <w:szCs w:val="26"/>
              </w:rPr>
              <w:t>3.2</w:t>
            </w:r>
            <w:r>
              <w:rPr>
                <w:rFonts w:hint="eastAsia" w:ascii="Times New Roman" w:hAnsi="Times New Roman"/>
                <w:b/>
                <w:bCs/>
                <w:color w:val="auto"/>
                <w:sz w:val="26"/>
                <w:szCs w:val="26"/>
                <w:lang w:val="en-US" w:eastAsia="zh-CN"/>
              </w:rPr>
              <w:t>周边外环境</w:t>
            </w:r>
          </w:p>
          <w:p w14:paraId="0DFE5844">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Times New Roman" w:hAnsi="Times New Roman" w:eastAsia="宋体" w:cs="Times New Roman"/>
                <w:color w:val="auto"/>
                <w:sz w:val="26"/>
                <w:szCs w:val="26"/>
                <w:lang w:eastAsia="zh-CN"/>
              </w:rPr>
            </w:pPr>
            <w:r>
              <w:rPr>
                <w:rFonts w:hint="eastAsia" w:ascii="Times New Roman" w:hAnsi="Times New Roman" w:eastAsia="宋体" w:cs="Times New Roman"/>
                <w:color w:val="auto"/>
                <w:sz w:val="26"/>
                <w:szCs w:val="26"/>
                <w:lang w:val="en-GB" w:eastAsia="zh-CN"/>
              </w:rPr>
              <w:t>本项目位于重庆西彭工业园区西彭组团的现有厂区内。经调查，本项目</w:t>
            </w:r>
            <w:r>
              <w:rPr>
                <w:rFonts w:hint="eastAsia" w:ascii="Times New Roman" w:hAnsi="Times New Roman" w:eastAsia="宋体" w:cs="Times New Roman"/>
                <w:color w:val="auto"/>
                <w:sz w:val="26"/>
                <w:szCs w:val="26"/>
                <w:lang w:val="en-US" w:eastAsia="zh-CN"/>
              </w:rPr>
              <w:t>主要分布为规划的工业用地及工业企业</w:t>
            </w:r>
            <w:r>
              <w:rPr>
                <w:rFonts w:hint="eastAsia" w:ascii="Times New Roman" w:hAnsi="Times New Roman" w:eastAsia="宋体" w:cs="Times New Roman"/>
                <w:color w:val="auto"/>
                <w:sz w:val="26"/>
                <w:szCs w:val="26"/>
                <w:lang w:val="en-GB" w:eastAsia="zh-CN"/>
              </w:rPr>
              <w:t>。</w:t>
            </w:r>
            <w:r>
              <w:rPr>
                <w:rFonts w:hint="eastAsia" w:ascii="Times New Roman" w:hAnsi="Times New Roman" w:eastAsia="宋体" w:cs="Times New Roman"/>
                <w:color w:val="auto"/>
                <w:sz w:val="26"/>
                <w:szCs w:val="26"/>
                <w:lang w:val="en-GB"/>
              </w:rPr>
              <w:t>外环境关系见表</w:t>
            </w:r>
            <w:r>
              <w:rPr>
                <w:rFonts w:hint="eastAsia" w:ascii="Times New Roman" w:hAnsi="Times New Roman" w:eastAsia="宋体" w:cs="Times New Roman"/>
                <w:color w:val="auto"/>
                <w:sz w:val="26"/>
                <w:szCs w:val="26"/>
                <w:lang w:val="en-US" w:eastAsia="zh-CN"/>
              </w:rPr>
              <w:t>3.2-1</w:t>
            </w:r>
            <w:r>
              <w:rPr>
                <w:rFonts w:hint="eastAsia" w:ascii="Times New Roman" w:hAnsi="Times New Roman" w:eastAsia="宋体" w:cs="Times New Roman"/>
                <w:color w:val="auto"/>
                <w:sz w:val="26"/>
                <w:szCs w:val="26"/>
                <w:lang w:val="en-GB" w:eastAsia="zh-CN"/>
              </w:rPr>
              <w:t>。</w:t>
            </w:r>
          </w:p>
          <w:p w14:paraId="07D4DE0C">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default" w:ascii="Times New Roman" w:hAnsi="Times New Roman" w:eastAsia="宋体" w:cs="Times New Roman"/>
                <w:b/>
                <w:bCs/>
                <w:color w:val="auto"/>
                <w:sz w:val="26"/>
                <w:szCs w:val="26"/>
              </w:rPr>
            </w:pPr>
            <w:r>
              <w:rPr>
                <w:rFonts w:hint="default" w:ascii="Times New Roman" w:hAnsi="Times New Roman" w:eastAsia="宋体" w:cs="Times New Roman"/>
                <w:b/>
                <w:bCs/>
                <w:color w:val="auto"/>
                <w:sz w:val="26"/>
                <w:szCs w:val="26"/>
              </w:rPr>
              <w:t>表</w:t>
            </w:r>
            <w:r>
              <w:rPr>
                <w:rFonts w:hint="eastAsia" w:ascii="Times New Roman" w:hAnsi="Times New Roman" w:eastAsia="宋体" w:cs="Times New Roman"/>
                <w:b/>
                <w:bCs/>
                <w:color w:val="auto"/>
                <w:sz w:val="26"/>
                <w:szCs w:val="26"/>
                <w:lang w:val="en-US" w:eastAsia="zh-CN"/>
              </w:rPr>
              <w:t xml:space="preserve">3.2-1  </w:t>
            </w:r>
            <w:r>
              <w:rPr>
                <w:rFonts w:hint="default" w:ascii="Times New Roman" w:hAnsi="Times New Roman" w:eastAsia="宋体" w:cs="Times New Roman"/>
                <w:b/>
                <w:bCs/>
                <w:color w:val="auto"/>
                <w:sz w:val="26"/>
                <w:szCs w:val="26"/>
              </w:rPr>
              <w:t>周边</w:t>
            </w:r>
            <w:r>
              <w:rPr>
                <w:rFonts w:hint="eastAsia" w:ascii="Times New Roman" w:hAnsi="Times New Roman" w:eastAsia="宋体" w:cs="Times New Roman"/>
                <w:b/>
                <w:bCs/>
                <w:color w:val="auto"/>
                <w:sz w:val="26"/>
                <w:szCs w:val="26"/>
                <w:lang w:val="en-US" w:eastAsia="zh-CN"/>
              </w:rPr>
              <w:t>外</w:t>
            </w:r>
            <w:r>
              <w:rPr>
                <w:rFonts w:hint="default" w:ascii="Times New Roman" w:hAnsi="Times New Roman" w:eastAsia="宋体" w:cs="Times New Roman"/>
                <w:b/>
                <w:bCs/>
                <w:color w:val="auto"/>
                <w:sz w:val="26"/>
                <w:szCs w:val="26"/>
              </w:rPr>
              <w:t>环境关系一览表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3"/>
              <w:gridCol w:w="3252"/>
              <w:gridCol w:w="857"/>
              <w:gridCol w:w="1389"/>
              <w:gridCol w:w="1545"/>
            </w:tblGrid>
            <w:tr w14:paraId="4C8DA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14:paraId="46EB4FCA">
                  <w:pPr>
                    <w:adjustRightInd w:val="0"/>
                    <w:snapToGrid w:val="0"/>
                    <w:spacing w:line="240" w:lineRule="auto"/>
                    <w:jc w:val="center"/>
                    <w:rPr>
                      <w:rFonts w:hint="eastAsia"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z w:val="22"/>
                      <w:szCs w:val="22"/>
                      <w:lang w:val="en-US" w:eastAsia="zh-CN"/>
                    </w:rPr>
                    <w:t>序号</w:t>
                  </w:r>
                </w:p>
              </w:tc>
              <w:tc>
                <w:tcPr>
                  <w:tcW w:w="3325" w:type="dxa"/>
                  <w:tcBorders>
                    <w:tl2br w:val="nil"/>
                    <w:tr2bl w:val="nil"/>
                  </w:tcBorders>
                  <w:noWrap w:val="0"/>
                  <w:vAlign w:val="center"/>
                </w:tcPr>
                <w:p w14:paraId="6EE64893">
                  <w:pPr>
                    <w:adjustRightInd w:val="0"/>
                    <w:snapToGrid w:val="0"/>
                    <w:spacing w:line="240" w:lineRule="auto"/>
                    <w:jc w:val="center"/>
                    <w:rPr>
                      <w:rFonts w:hint="eastAsia"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z w:val="22"/>
                      <w:szCs w:val="22"/>
                      <w:lang w:val="en-US" w:eastAsia="zh-CN"/>
                    </w:rPr>
                    <w:t>名称</w:t>
                  </w:r>
                </w:p>
              </w:tc>
              <w:tc>
                <w:tcPr>
                  <w:tcW w:w="872" w:type="dxa"/>
                  <w:tcBorders>
                    <w:tl2br w:val="nil"/>
                    <w:tr2bl w:val="nil"/>
                  </w:tcBorders>
                  <w:noWrap w:val="0"/>
                  <w:vAlign w:val="center"/>
                </w:tcPr>
                <w:p w14:paraId="1A34B4C0">
                  <w:pPr>
                    <w:adjustRightInd w:val="0"/>
                    <w:snapToGrid w:val="0"/>
                    <w:spacing w:line="240" w:lineRule="auto"/>
                    <w:jc w:val="center"/>
                    <w:rPr>
                      <w:rFonts w:hint="eastAsia"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z w:val="22"/>
                      <w:szCs w:val="22"/>
                      <w:lang w:val="en-US" w:eastAsia="zh-CN"/>
                    </w:rPr>
                    <w:t>方位</w:t>
                  </w:r>
                </w:p>
              </w:tc>
              <w:tc>
                <w:tcPr>
                  <w:tcW w:w="1417" w:type="dxa"/>
                  <w:tcBorders>
                    <w:tl2br w:val="nil"/>
                    <w:tr2bl w:val="nil"/>
                  </w:tcBorders>
                  <w:noWrap w:val="0"/>
                  <w:vAlign w:val="center"/>
                </w:tcPr>
                <w:p w14:paraId="38F4F5CC">
                  <w:pPr>
                    <w:adjustRightInd w:val="0"/>
                    <w:snapToGrid w:val="0"/>
                    <w:spacing w:line="240" w:lineRule="auto"/>
                    <w:jc w:val="center"/>
                    <w:rPr>
                      <w:rFonts w:hint="eastAsia"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z w:val="22"/>
                      <w:szCs w:val="22"/>
                      <w:lang w:val="en-US" w:eastAsia="zh-CN"/>
                    </w:rPr>
                    <w:t>距厂界距离（m）</w:t>
                  </w:r>
                </w:p>
              </w:tc>
              <w:tc>
                <w:tcPr>
                  <w:tcW w:w="1577" w:type="dxa"/>
                  <w:tcBorders>
                    <w:tl2br w:val="nil"/>
                    <w:tr2bl w:val="nil"/>
                  </w:tcBorders>
                  <w:noWrap w:val="0"/>
                  <w:vAlign w:val="center"/>
                </w:tcPr>
                <w:p w14:paraId="55AA1D06">
                  <w:pPr>
                    <w:adjustRightInd w:val="0"/>
                    <w:snapToGrid w:val="0"/>
                    <w:spacing w:line="240" w:lineRule="auto"/>
                    <w:jc w:val="center"/>
                    <w:rPr>
                      <w:rFonts w:hint="eastAsia"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z w:val="22"/>
                      <w:szCs w:val="22"/>
                      <w:lang w:val="en-US" w:eastAsia="zh-CN"/>
                    </w:rPr>
                    <w:t>备注</w:t>
                  </w:r>
                </w:p>
              </w:tc>
            </w:tr>
            <w:tr w14:paraId="18FCED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14:paraId="09F0F39C">
                  <w:pPr>
                    <w:adjustRightInd w:val="0"/>
                    <w:snapToGrid w:val="0"/>
                    <w:spacing w:line="240" w:lineRule="auto"/>
                    <w:jc w:val="center"/>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w:t>
                  </w:r>
                </w:p>
              </w:tc>
              <w:tc>
                <w:tcPr>
                  <w:tcW w:w="3325" w:type="dxa"/>
                  <w:tcBorders>
                    <w:tl2br w:val="nil"/>
                    <w:tr2bl w:val="nil"/>
                  </w:tcBorders>
                  <w:noWrap w:val="0"/>
                  <w:vAlign w:val="center"/>
                </w:tcPr>
                <w:p w14:paraId="1D78E986">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eastAsia="宋体"/>
                      <w:color w:val="auto"/>
                      <w:sz w:val="22"/>
                      <w:szCs w:val="22"/>
                      <w:lang w:val="en-US" w:eastAsia="zh-CN"/>
                    </w:rPr>
                    <w:t>西南铝深加工厂</w:t>
                  </w:r>
                </w:p>
              </w:tc>
              <w:tc>
                <w:tcPr>
                  <w:tcW w:w="872" w:type="dxa"/>
                  <w:tcBorders>
                    <w:tl2br w:val="nil"/>
                    <w:tr2bl w:val="nil"/>
                  </w:tcBorders>
                  <w:noWrap w:val="0"/>
                  <w:vAlign w:val="center"/>
                </w:tcPr>
                <w:p w14:paraId="41E11550">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S</w:t>
                  </w:r>
                </w:p>
              </w:tc>
              <w:tc>
                <w:tcPr>
                  <w:tcW w:w="1417" w:type="dxa"/>
                  <w:tcBorders>
                    <w:tl2br w:val="nil"/>
                    <w:tr2bl w:val="nil"/>
                  </w:tcBorders>
                  <w:noWrap w:val="0"/>
                  <w:vAlign w:val="center"/>
                </w:tcPr>
                <w:p w14:paraId="4B0145CE">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10</w:t>
                  </w:r>
                </w:p>
              </w:tc>
              <w:tc>
                <w:tcPr>
                  <w:tcW w:w="1577" w:type="dxa"/>
                  <w:tcBorders>
                    <w:tl2br w:val="nil"/>
                    <w:tr2bl w:val="nil"/>
                  </w:tcBorders>
                  <w:noWrap w:val="0"/>
                  <w:vAlign w:val="center"/>
                </w:tcPr>
                <w:p w14:paraId="65054191">
                  <w:pPr>
                    <w:adjustRightInd w:val="0"/>
                    <w:snapToGrid w:val="0"/>
                    <w:spacing w:line="240" w:lineRule="auto"/>
                    <w:jc w:val="center"/>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已建成企业</w:t>
                  </w:r>
                </w:p>
              </w:tc>
            </w:tr>
            <w:tr w14:paraId="676A1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14:paraId="5020F17A">
                  <w:pPr>
                    <w:adjustRightInd w:val="0"/>
                    <w:snapToGrid w:val="0"/>
                    <w:spacing w:line="240" w:lineRule="auto"/>
                    <w:jc w:val="center"/>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w:t>
                  </w:r>
                </w:p>
              </w:tc>
              <w:tc>
                <w:tcPr>
                  <w:tcW w:w="3325" w:type="dxa"/>
                  <w:tcBorders>
                    <w:tl2br w:val="nil"/>
                    <w:tr2bl w:val="nil"/>
                  </w:tcBorders>
                  <w:noWrap w:val="0"/>
                  <w:vAlign w:val="center"/>
                </w:tcPr>
                <w:p w14:paraId="05D03B3B">
                  <w:pPr>
                    <w:adjustRightInd w:val="0"/>
                    <w:snapToGrid w:val="0"/>
                    <w:spacing w:line="240" w:lineRule="auto"/>
                    <w:jc w:val="center"/>
                    <w:rPr>
                      <w:rFonts w:hint="eastAsia" w:ascii="Times New Roman" w:hAnsi="Times New Roman" w:eastAsia="宋体" w:cs="Times New Roman"/>
                      <w:color w:val="auto"/>
                      <w:sz w:val="22"/>
                      <w:szCs w:val="22"/>
                      <w:lang w:val="en-US" w:eastAsia="zh-CN"/>
                    </w:rPr>
                  </w:pPr>
                  <w:r>
                    <w:rPr>
                      <w:rFonts w:hint="eastAsia"/>
                      <w:color w:val="auto"/>
                      <w:sz w:val="22"/>
                      <w:szCs w:val="22"/>
                      <w:lang w:val="en-US" w:eastAsia="zh-CN"/>
                    </w:rPr>
                    <w:t>中铝</w:t>
                  </w:r>
                  <w:r>
                    <w:rPr>
                      <w:rFonts w:hint="eastAsia"/>
                      <w:color w:val="auto"/>
                      <w:sz w:val="22"/>
                      <w:szCs w:val="22"/>
                    </w:rPr>
                    <w:t>西南铝挤压厂</w:t>
                  </w:r>
                </w:p>
              </w:tc>
              <w:tc>
                <w:tcPr>
                  <w:tcW w:w="872" w:type="dxa"/>
                  <w:tcBorders>
                    <w:tl2br w:val="nil"/>
                    <w:tr2bl w:val="nil"/>
                  </w:tcBorders>
                  <w:noWrap w:val="0"/>
                  <w:vAlign w:val="center"/>
                </w:tcPr>
                <w:p w14:paraId="47C73BA0">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w:t>
                  </w:r>
                </w:p>
              </w:tc>
              <w:tc>
                <w:tcPr>
                  <w:tcW w:w="1417" w:type="dxa"/>
                  <w:tcBorders>
                    <w:tl2br w:val="nil"/>
                    <w:tr2bl w:val="nil"/>
                  </w:tcBorders>
                  <w:noWrap w:val="0"/>
                  <w:vAlign w:val="center"/>
                </w:tcPr>
                <w:p w14:paraId="0600984B">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70</w:t>
                  </w:r>
                </w:p>
              </w:tc>
              <w:tc>
                <w:tcPr>
                  <w:tcW w:w="1577" w:type="dxa"/>
                  <w:tcBorders>
                    <w:tl2br w:val="nil"/>
                    <w:tr2bl w:val="nil"/>
                  </w:tcBorders>
                  <w:noWrap w:val="0"/>
                  <w:vAlign w:val="center"/>
                </w:tcPr>
                <w:p w14:paraId="4AD5D733">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已建成企业</w:t>
                  </w:r>
                </w:p>
              </w:tc>
            </w:tr>
            <w:tr w14:paraId="471C3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14:paraId="0B2D7D98">
                  <w:pPr>
                    <w:adjustRightInd w:val="0"/>
                    <w:snapToGrid w:val="0"/>
                    <w:spacing w:line="240" w:lineRule="auto"/>
                    <w:jc w:val="center"/>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3</w:t>
                  </w:r>
                </w:p>
              </w:tc>
              <w:tc>
                <w:tcPr>
                  <w:tcW w:w="3325" w:type="dxa"/>
                  <w:tcBorders>
                    <w:tl2br w:val="nil"/>
                    <w:tr2bl w:val="nil"/>
                  </w:tcBorders>
                  <w:noWrap w:val="0"/>
                  <w:vAlign w:val="center"/>
                </w:tcPr>
                <w:p w14:paraId="4156C64F">
                  <w:pPr>
                    <w:adjustRightInd w:val="0"/>
                    <w:snapToGrid w:val="0"/>
                    <w:spacing w:line="240" w:lineRule="auto"/>
                    <w:jc w:val="center"/>
                    <w:rPr>
                      <w:rFonts w:hint="eastAsia" w:ascii="Times New Roman" w:hAnsi="Times New Roman" w:eastAsia="宋体" w:cs="Times New Roman"/>
                      <w:color w:val="auto"/>
                      <w:sz w:val="22"/>
                      <w:szCs w:val="22"/>
                      <w:lang w:val="en-US" w:eastAsia="zh-CN"/>
                    </w:rPr>
                  </w:pPr>
                  <w:r>
                    <w:rPr>
                      <w:rFonts w:hint="eastAsia"/>
                      <w:color w:val="auto"/>
                      <w:sz w:val="22"/>
                      <w:szCs w:val="22"/>
                    </w:rPr>
                    <w:t>重庆西铝精密压铸有限责任公司</w:t>
                  </w:r>
                </w:p>
              </w:tc>
              <w:tc>
                <w:tcPr>
                  <w:tcW w:w="872" w:type="dxa"/>
                  <w:tcBorders>
                    <w:tl2br w:val="nil"/>
                    <w:tr2bl w:val="nil"/>
                  </w:tcBorders>
                  <w:noWrap w:val="0"/>
                  <w:vAlign w:val="center"/>
                </w:tcPr>
                <w:p w14:paraId="3D0A7E7A">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SW</w:t>
                  </w:r>
                </w:p>
              </w:tc>
              <w:tc>
                <w:tcPr>
                  <w:tcW w:w="1417" w:type="dxa"/>
                  <w:tcBorders>
                    <w:tl2br w:val="nil"/>
                    <w:tr2bl w:val="nil"/>
                  </w:tcBorders>
                  <w:noWrap w:val="0"/>
                  <w:vAlign w:val="center"/>
                </w:tcPr>
                <w:p w14:paraId="38EBB32F">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75</w:t>
                  </w:r>
                </w:p>
              </w:tc>
              <w:tc>
                <w:tcPr>
                  <w:tcW w:w="1577" w:type="dxa"/>
                  <w:tcBorders>
                    <w:tl2br w:val="nil"/>
                    <w:tr2bl w:val="nil"/>
                  </w:tcBorders>
                  <w:noWrap w:val="0"/>
                  <w:vAlign w:val="center"/>
                </w:tcPr>
                <w:p w14:paraId="02E213A6">
                  <w:pPr>
                    <w:adjustRightInd w:val="0"/>
                    <w:snapToGrid w:val="0"/>
                    <w:spacing w:line="240" w:lineRule="auto"/>
                    <w:jc w:val="center"/>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已建成企业</w:t>
                  </w:r>
                </w:p>
              </w:tc>
            </w:tr>
            <w:tr w14:paraId="466161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14:paraId="4A216867">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4</w:t>
                  </w:r>
                </w:p>
              </w:tc>
              <w:tc>
                <w:tcPr>
                  <w:tcW w:w="3325" w:type="dxa"/>
                  <w:tcBorders>
                    <w:tl2br w:val="nil"/>
                    <w:tr2bl w:val="nil"/>
                  </w:tcBorders>
                  <w:noWrap w:val="0"/>
                  <w:vAlign w:val="center"/>
                </w:tcPr>
                <w:p w14:paraId="587C1D56">
                  <w:pPr>
                    <w:adjustRightInd w:val="0"/>
                    <w:snapToGrid w:val="0"/>
                    <w:spacing w:line="240" w:lineRule="auto"/>
                    <w:jc w:val="center"/>
                    <w:rPr>
                      <w:rFonts w:hint="default" w:eastAsia="宋体"/>
                      <w:color w:val="auto"/>
                      <w:sz w:val="22"/>
                      <w:szCs w:val="22"/>
                      <w:lang w:val="en-US" w:eastAsia="zh-CN"/>
                    </w:rPr>
                  </w:pPr>
                  <w:r>
                    <w:rPr>
                      <w:rFonts w:hint="eastAsia"/>
                      <w:color w:val="auto"/>
                      <w:sz w:val="22"/>
                      <w:szCs w:val="22"/>
                      <w:lang w:val="en-US" w:eastAsia="zh-CN"/>
                    </w:rPr>
                    <w:t>机电公司</w:t>
                  </w:r>
                </w:p>
              </w:tc>
              <w:tc>
                <w:tcPr>
                  <w:tcW w:w="872" w:type="dxa"/>
                  <w:tcBorders>
                    <w:tl2br w:val="nil"/>
                    <w:tr2bl w:val="nil"/>
                  </w:tcBorders>
                  <w:noWrap w:val="0"/>
                  <w:vAlign w:val="center"/>
                </w:tcPr>
                <w:p w14:paraId="031DE0E4">
                  <w:pPr>
                    <w:adjustRightInd w:val="0"/>
                    <w:snapToGrid w:val="0"/>
                    <w:spacing w:line="240" w:lineRule="auto"/>
                    <w:jc w:val="center"/>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SW</w:t>
                  </w:r>
                </w:p>
              </w:tc>
              <w:tc>
                <w:tcPr>
                  <w:tcW w:w="1417" w:type="dxa"/>
                  <w:tcBorders>
                    <w:tl2br w:val="nil"/>
                    <w:tr2bl w:val="nil"/>
                  </w:tcBorders>
                  <w:noWrap w:val="0"/>
                  <w:vAlign w:val="center"/>
                </w:tcPr>
                <w:p w14:paraId="3374FC9E">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200</w:t>
                  </w:r>
                </w:p>
              </w:tc>
              <w:tc>
                <w:tcPr>
                  <w:tcW w:w="1577" w:type="dxa"/>
                  <w:tcBorders>
                    <w:tl2br w:val="nil"/>
                    <w:tr2bl w:val="nil"/>
                  </w:tcBorders>
                  <w:noWrap w:val="0"/>
                  <w:vAlign w:val="center"/>
                </w:tcPr>
                <w:p w14:paraId="268FC4B9">
                  <w:pPr>
                    <w:adjustRightInd w:val="0"/>
                    <w:snapToGrid w:val="0"/>
                    <w:spacing w:line="240" w:lineRule="auto"/>
                    <w:jc w:val="center"/>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已建成企业</w:t>
                  </w:r>
                </w:p>
              </w:tc>
            </w:tr>
            <w:tr w14:paraId="5971C6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14:paraId="08A6995B">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5</w:t>
                  </w:r>
                </w:p>
              </w:tc>
              <w:tc>
                <w:tcPr>
                  <w:tcW w:w="3325" w:type="dxa"/>
                  <w:tcBorders>
                    <w:tl2br w:val="nil"/>
                    <w:tr2bl w:val="nil"/>
                  </w:tcBorders>
                  <w:noWrap w:val="0"/>
                  <w:vAlign w:val="center"/>
                </w:tcPr>
                <w:p w14:paraId="28F53C2D">
                  <w:pPr>
                    <w:adjustRightInd w:val="0"/>
                    <w:snapToGrid w:val="0"/>
                    <w:spacing w:line="240" w:lineRule="auto"/>
                    <w:jc w:val="center"/>
                    <w:rPr>
                      <w:rFonts w:hint="default" w:eastAsia="宋体"/>
                      <w:color w:val="auto"/>
                      <w:sz w:val="22"/>
                      <w:szCs w:val="22"/>
                      <w:lang w:val="en-US" w:eastAsia="zh-CN"/>
                    </w:rPr>
                  </w:pPr>
                  <w:r>
                    <w:rPr>
                      <w:rFonts w:hint="eastAsia"/>
                      <w:color w:val="auto"/>
                      <w:sz w:val="22"/>
                      <w:szCs w:val="22"/>
                      <w:lang w:val="en-US" w:eastAsia="zh-CN"/>
                    </w:rPr>
                    <w:t>西南铝实业铸造二车间</w:t>
                  </w:r>
                </w:p>
              </w:tc>
              <w:tc>
                <w:tcPr>
                  <w:tcW w:w="872" w:type="dxa"/>
                  <w:tcBorders>
                    <w:tl2br w:val="nil"/>
                    <w:tr2bl w:val="nil"/>
                  </w:tcBorders>
                  <w:noWrap w:val="0"/>
                  <w:vAlign w:val="center"/>
                </w:tcPr>
                <w:p w14:paraId="4FBA8D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SW</w:t>
                  </w:r>
                </w:p>
              </w:tc>
              <w:tc>
                <w:tcPr>
                  <w:tcW w:w="1417" w:type="dxa"/>
                  <w:tcBorders>
                    <w:tl2br w:val="nil"/>
                    <w:tr2bl w:val="nil"/>
                  </w:tcBorders>
                  <w:noWrap w:val="0"/>
                  <w:vAlign w:val="center"/>
                </w:tcPr>
                <w:p w14:paraId="5ABA1174">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220</w:t>
                  </w:r>
                </w:p>
              </w:tc>
              <w:tc>
                <w:tcPr>
                  <w:tcW w:w="1577" w:type="dxa"/>
                  <w:tcBorders>
                    <w:tl2br w:val="nil"/>
                    <w:tr2bl w:val="nil"/>
                  </w:tcBorders>
                  <w:noWrap w:val="0"/>
                  <w:vAlign w:val="center"/>
                </w:tcPr>
                <w:p w14:paraId="528EF489">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与本项目同一建设单位</w:t>
                  </w:r>
                </w:p>
              </w:tc>
            </w:tr>
            <w:tr w14:paraId="4009B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14:paraId="792352F9">
                  <w:pPr>
                    <w:adjustRightInd w:val="0"/>
                    <w:snapToGrid w:val="0"/>
                    <w:spacing w:line="240" w:lineRule="auto"/>
                    <w:jc w:val="center"/>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6</w:t>
                  </w:r>
                </w:p>
              </w:tc>
              <w:tc>
                <w:tcPr>
                  <w:tcW w:w="3325" w:type="dxa"/>
                  <w:tcBorders>
                    <w:tl2br w:val="nil"/>
                    <w:tr2bl w:val="nil"/>
                  </w:tcBorders>
                  <w:noWrap w:val="0"/>
                  <w:vAlign w:val="center"/>
                </w:tcPr>
                <w:p w14:paraId="2A922859">
                  <w:pPr>
                    <w:adjustRightInd w:val="0"/>
                    <w:snapToGrid w:val="0"/>
                    <w:spacing w:line="240" w:lineRule="auto"/>
                    <w:jc w:val="center"/>
                    <w:rPr>
                      <w:rFonts w:hint="eastAsia" w:ascii="Times New Roman" w:hAnsi="Times New Roman" w:eastAsia="宋体" w:cs="Times New Roman"/>
                      <w:color w:val="auto"/>
                      <w:sz w:val="22"/>
                      <w:szCs w:val="22"/>
                      <w:lang w:val="en-US" w:eastAsia="zh-CN"/>
                    </w:rPr>
                  </w:pPr>
                  <w:r>
                    <w:rPr>
                      <w:rFonts w:hint="eastAsia"/>
                      <w:color w:val="auto"/>
                      <w:sz w:val="22"/>
                      <w:szCs w:val="22"/>
                    </w:rPr>
                    <w:t>重庆东鹏维他命饮料有限公司</w:t>
                  </w:r>
                </w:p>
              </w:tc>
              <w:tc>
                <w:tcPr>
                  <w:tcW w:w="872" w:type="dxa"/>
                  <w:tcBorders>
                    <w:tl2br w:val="nil"/>
                    <w:tr2bl w:val="nil"/>
                  </w:tcBorders>
                  <w:noWrap w:val="0"/>
                  <w:vAlign w:val="center"/>
                </w:tcPr>
                <w:p w14:paraId="5328E20A">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NW</w:t>
                  </w:r>
                </w:p>
              </w:tc>
              <w:tc>
                <w:tcPr>
                  <w:tcW w:w="1417" w:type="dxa"/>
                  <w:tcBorders>
                    <w:tl2br w:val="nil"/>
                    <w:tr2bl w:val="nil"/>
                  </w:tcBorders>
                  <w:noWrap w:val="0"/>
                  <w:vAlign w:val="center"/>
                </w:tcPr>
                <w:p w14:paraId="77F43107">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170</w:t>
                  </w:r>
                </w:p>
              </w:tc>
              <w:tc>
                <w:tcPr>
                  <w:tcW w:w="1577" w:type="dxa"/>
                  <w:tcBorders>
                    <w:tl2br w:val="nil"/>
                    <w:tr2bl w:val="nil"/>
                  </w:tcBorders>
                  <w:noWrap w:val="0"/>
                  <w:vAlign w:val="center"/>
                </w:tcPr>
                <w:p w14:paraId="4AE72207">
                  <w:pPr>
                    <w:adjustRightInd w:val="0"/>
                    <w:snapToGrid w:val="0"/>
                    <w:spacing w:line="240" w:lineRule="auto"/>
                    <w:jc w:val="center"/>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已建成企业</w:t>
                  </w:r>
                </w:p>
              </w:tc>
            </w:tr>
            <w:tr w14:paraId="2B269F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14:paraId="45329128">
                  <w:pPr>
                    <w:adjustRightInd w:val="0"/>
                    <w:snapToGrid w:val="0"/>
                    <w:spacing w:line="240" w:lineRule="auto"/>
                    <w:jc w:val="center"/>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7</w:t>
                  </w:r>
                </w:p>
              </w:tc>
              <w:tc>
                <w:tcPr>
                  <w:tcW w:w="3325" w:type="dxa"/>
                  <w:tcBorders>
                    <w:tl2br w:val="nil"/>
                    <w:tr2bl w:val="nil"/>
                  </w:tcBorders>
                  <w:noWrap w:val="0"/>
                  <w:vAlign w:val="center"/>
                </w:tcPr>
                <w:p w14:paraId="3BB43361">
                  <w:pPr>
                    <w:adjustRightInd w:val="0"/>
                    <w:snapToGrid w:val="0"/>
                    <w:spacing w:line="240" w:lineRule="auto"/>
                    <w:jc w:val="center"/>
                    <w:rPr>
                      <w:rFonts w:hint="eastAsia" w:ascii="Times New Roman" w:hAnsi="Times New Roman" w:eastAsia="宋体" w:cs="Times New Roman"/>
                      <w:color w:val="auto"/>
                      <w:sz w:val="22"/>
                      <w:szCs w:val="22"/>
                      <w:lang w:val="en-US" w:eastAsia="zh-CN"/>
                    </w:rPr>
                  </w:pPr>
                  <w:r>
                    <w:rPr>
                      <w:rFonts w:hint="eastAsia"/>
                      <w:color w:val="auto"/>
                      <w:sz w:val="22"/>
                      <w:szCs w:val="22"/>
                    </w:rPr>
                    <w:t>重庆新三鼎食品有限公司</w:t>
                  </w:r>
                </w:p>
              </w:tc>
              <w:tc>
                <w:tcPr>
                  <w:tcW w:w="872" w:type="dxa"/>
                  <w:tcBorders>
                    <w:tl2br w:val="nil"/>
                    <w:tr2bl w:val="nil"/>
                  </w:tcBorders>
                  <w:noWrap w:val="0"/>
                  <w:vAlign w:val="center"/>
                </w:tcPr>
                <w:p w14:paraId="1513CB40">
                  <w:pPr>
                    <w:adjustRightInd w:val="0"/>
                    <w:snapToGrid w:val="0"/>
                    <w:spacing w:line="240" w:lineRule="auto"/>
                    <w:jc w:val="center"/>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N</w:t>
                  </w:r>
                </w:p>
              </w:tc>
              <w:tc>
                <w:tcPr>
                  <w:tcW w:w="1417" w:type="dxa"/>
                  <w:tcBorders>
                    <w:tl2br w:val="nil"/>
                    <w:tr2bl w:val="nil"/>
                  </w:tcBorders>
                  <w:noWrap w:val="0"/>
                  <w:vAlign w:val="center"/>
                </w:tcPr>
                <w:p w14:paraId="604A8355">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140</w:t>
                  </w:r>
                </w:p>
              </w:tc>
              <w:tc>
                <w:tcPr>
                  <w:tcW w:w="1577" w:type="dxa"/>
                  <w:tcBorders>
                    <w:tl2br w:val="nil"/>
                    <w:tr2bl w:val="nil"/>
                  </w:tcBorders>
                  <w:noWrap w:val="0"/>
                  <w:vAlign w:val="center"/>
                </w:tcPr>
                <w:p w14:paraId="2BF48C6F">
                  <w:pPr>
                    <w:adjustRightInd w:val="0"/>
                    <w:snapToGrid w:val="0"/>
                    <w:spacing w:line="240" w:lineRule="auto"/>
                    <w:jc w:val="center"/>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已建成企业</w:t>
                  </w:r>
                </w:p>
              </w:tc>
            </w:tr>
            <w:tr w14:paraId="5ECBE8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14:paraId="52D55F4D">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8</w:t>
                  </w:r>
                </w:p>
              </w:tc>
              <w:tc>
                <w:tcPr>
                  <w:tcW w:w="3325" w:type="dxa"/>
                  <w:tcBorders>
                    <w:tl2br w:val="nil"/>
                    <w:tr2bl w:val="nil"/>
                  </w:tcBorders>
                  <w:noWrap w:val="0"/>
                  <w:vAlign w:val="center"/>
                </w:tcPr>
                <w:p w14:paraId="01AAE408">
                  <w:pPr>
                    <w:adjustRightInd w:val="0"/>
                    <w:snapToGrid w:val="0"/>
                    <w:spacing w:line="240" w:lineRule="auto"/>
                    <w:jc w:val="center"/>
                    <w:rPr>
                      <w:rFonts w:hint="eastAsia"/>
                      <w:color w:val="auto"/>
                      <w:sz w:val="22"/>
                      <w:szCs w:val="22"/>
                    </w:rPr>
                  </w:pPr>
                  <w:r>
                    <w:rPr>
                      <w:rFonts w:hint="eastAsia"/>
                      <w:color w:val="auto"/>
                      <w:sz w:val="22"/>
                      <w:szCs w:val="22"/>
                    </w:rPr>
                    <w:t>红天下食品有限公司</w:t>
                  </w:r>
                </w:p>
              </w:tc>
              <w:tc>
                <w:tcPr>
                  <w:tcW w:w="872" w:type="dxa"/>
                  <w:tcBorders>
                    <w:tl2br w:val="nil"/>
                    <w:tr2bl w:val="nil"/>
                  </w:tcBorders>
                  <w:noWrap w:val="0"/>
                  <w:vAlign w:val="center"/>
                </w:tcPr>
                <w:p w14:paraId="4662AEBE">
                  <w:pPr>
                    <w:adjustRightInd w:val="0"/>
                    <w:snapToGrid w:val="0"/>
                    <w:spacing w:line="240" w:lineRule="auto"/>
                    <w:jc w:val="center"/>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N</w:t>
                  </w:r>
                </w:p>
              </w:tc>
              <w:tc>
                <w:tcPr>
                  <w:tcW w:w="1417" w:type="dxa"/>
                  <w:tcBorders>
                    <w:tl2br w:val="nil"/>
                    <w:tr2bl w:val="nil"/>
                  </w:tcBorders>
                  <w:noWrap w:val="0"/>
                  <w:vAlign w:val="center"/>
                </w:tcPr>
                <w:p w14:paraId="4D23371E">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140</w:t>
                  </w:r>
                </w:p>
              </w:tc>
              <w:tc>
                <w:tcPr>
                  <w:tcW w:w="1577" w:type="dxa"/>
                  <w:tcBorders>
                    <w:tl2br w:val="nil"/>
                    <w:tr2bl w:val="nil"/>
                  </w:tcBorders>
                  <w:noWrap w:val="0"/>
                  <w:vAlign w:val="center"/>
                </w:tcPr>
                <w:p w14:paraId="6670EF95">
                  <w:pPr>
                    <w:adjustRightInd w:val="0"/>
                    <w:snapToGrid w:val="0"/>
                    <w:spacing w:line="240" w:lineRule="auto"/>
                    <w:jc w:val="center"/>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已建成企业</w:t>
                  </w:r>
                </w:p>
              </w:tc>
            </w:tr>
            <w:tr w14:paraId="6579AE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14:paraId="7233E98F">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9</w:t>
                  </w:r>
                </w:p>
              </w:tc>
              <w:tc>
                <w:tcPr>
                  <w:tcW w:w="3325" w:type="dxa"/>
                  <w:tcBorders>
                    <w:tl2br w:val="nil"/>
                    <w:tr2bl w:val="nil"/>
                  </w:tcBorders>
                  <w:noWrap w:val="0"/>
                  <w:vAlign w:val="center"/>
                </w:tcPr>
                <w:p w14:paraId="2014DCC0">
                  <w:pPr>
                    <w:adjustRightInd w:val="0"/>
                    <w:snapToGrid w:val="0"/>
                    <w:spacing w:line="240" w:lineRule="auto"/>
                    <w:jc w:val="center"/>
                    <w:rPr>
                      <w:rFonts w:hint="default" w:eastAsia="宋体"/>
                      <w:color w:val="auto"/>
                      <w:sz w:val="22"/>
                      <w:szCs w:val="22"/>
                      <w:lang w:val="en-US" w:eastAsia="zh-CN"/>
                    </w:rPr>
                  </w:pPr>
                  <w:r>
                    <w:rPr>
                      <w:rFonts w:hint="eastAsia"/>
                      <w:color w:val="auto"/>
                      <w:sz w:val="22"/>
                      <w:szCs w:val="22"/>
                      <w:lang w:val="en-US" w:eastAsia="zh-CN"/>
                    </w:rPr>
                    <w:t>项目北侧空地</w:t>
                  </w:r>
                </w:p>
              </w:tc>
              <w:tc>
                <w:tcPr>
                  <w:tcW w:w="872" w:type="dxa"/>
                  <w:tcBorders>
                    <w:tl2br w:val="nil"/>
                    <w:tr2bl w:val="nil"/>
                  </w:tcBorders>
                  <w:noWrap w:val="0"/>
                  <w:vAlign w:val="center"/>
                </w:tcPr>
                <w:p w14:paraId="6C9F5FCA">
                  <w:pPr>
                    <w:adjustRightInd w:val="0"/>
                    <w:snapToGrid w:val="0"/>
                    <w:spacing w:line="240" w:lineRule="auto"/>
                    <w:jc w:val="center"/>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N</w:t>
                  </w:r>
                </w:p>
              </w:tc>
              <w:tc>
                <w:tcPr>
                  <w:tcW w:w="1417" w:type="dxa"/>
                  <w:tcBorders>
                    <w:tl2br w:val="nil"/>
                    <w:tr2bl w:val="nil"/>
                  </w:tcBorders>
                  <w:noWrap w:val="0"/>
                  <w:vAlign w:val="center"/>
                </w:tcPr>
                <w:p w14:paraId="0016740E">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紧邻</w:t>
                  </w:r>
                </w:p>
              </w:tc>
              <w:tc>
                <w:tcPr>
                  <w:tcW w:w="1577" w:type="dxa"/>
                  <w:tcBorders>
                    <w:tl2br w:val="nil"/>
                    <w:tr2bl w:val="nil"/>
                  </w:tcBorders>
                  <w:noWrap w:val="0"/>
                  <w:vAlign w:val="center"/>
                </w:tcPr>
                <w:p w14:paraId="6870A633">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规划工业用地</w:t>
                  </w:r>
                </w:p>
              </w:tc>
            </w:tr>
            <w:tr w14:paraId="70815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14:paraId="1F6F0DBA">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10</w:t>
                  </w:r>
                </w:p>
              </w:tc>
              <w:tc>
                <w:tcPr>
                  <w:tcW w:w="3325" w:type="dxa"/>
                  <w:tcBorders>
                    <w:tl2br w:val="nil"/>
                    <w:tr2bl w:val="nil"/>
                  </w:tcBorders>
                  <w:noWrap w:val="0"/>
                  <w:vAlign w:val="center"/>
                </w:tcPr>
                <w:p w14:paraId="3665CB47">
                  <w:pPr>
                    <w:adjustRightInd w:val="0"/>
                    <w:snapToGrid w:val="0"/>
                    <w:spacing w:line="240" w:lineRule="auto"/>
                    <w:jc w:val="center"/>
                    <w:rPr>
                      <w:rFonts w:hint="eastAsia"/>
                      <w:color w:val="auto"/>
                      <w:sz w:val="22"/>
                      <w:szCs w:val="22"/>
                    </w:rPr>
                  </w:pPr>
                  <w:r>
                    <w:rPr>
                      <w:rFonts w:hint="eastAsia"/>
                      <w:color w:val="auto"/>
                      <w:sz w:val="22"/>
                      <w:szCs w:val="22"/>
                      <w:lang w:val="en-US" w:eastAsia="zh-CN"/>
                    </w:rPr>
                    <w:t>项目南侧空地</w:t>
                  </w:r>
                </w:p>
              </w:tc>
              <w:tc>
                <w:tcPr>
                  <w:tcW w:w="872" w:type="dxa"/>
                  <w:tcBorders>
                    <w:tl2br w:val="nil"/>
                    <w:tr2bl w:val="nil"/>
                  </w:tcBorders>
                  <w:noWrap w:val="0"/>
                  <w:vAlign w:val="center"/>
                </w:tcPr>
                <w:p w14:paraId="2973D0E5">
                  <w:pPr>
                    <w:adjustRightInd w:val="0"/>
                    <w:snapToGrid w:val="0"/>
                    <w:spacing w:line="240" w:lineRule="auto"/>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S</w:t>
                  </w:r>
                </w:p>
              </w:tc>
              <w:tc>
                <w:tcPr>
                  <w:tcW w:w="1417" w:type="dxa"/>
                  <w:tcBorders>
                    <w:tl2br w:val="nil"/>
                    <w:tr2bl w:val="nil"/>
                  </w:tcBorders>
                  <w:noWrap w:val="0"/>
                  <w:vAlign w:val="center"/>
                </w:tcPr>
                <w:p w14:paraId="7C3CF6C3">
                  <w:pPr>
                    <w:adjustRightInd w:val="0"/>
                    <w:snapToGrid w:val="0"/>
                    <w:spacing w:line="240" w:lineRule="auto"/>
                    <w:jc w:val="center"/>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紧邻</w:t>
                  </w:r>
                </w:p>
              </w:tc>
              <w:tc>
                <w:tcPr>
                  <w:tcW w:w="1577" w:type="dxa"/>
                  <w:tcBorders>
                    <w:tl2br w:val="nil"/>
                    <w:tr2bl w:val="nil"/>
                  </w:tcBorders>
                  <w:noWrap w:val="0"/>
                  <w:vAlign w:val="center"/>
                </w:tcPr>
                <w:p w14:paraId="7DCA6BFB">
                  <w:pPr>
                    <w:adjustRightInd w:val="0"/>
                    <w:snapToGrid w:val="0"/>
                    <w:spacing w:line="240" w:lineRule="auto"/>
                    <w:jc w:val="center"/>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规划工业用地</w:t>
                  </w:r>
                </w:p>
              </w:tc>
            </w:tr>
          </w:tbl>
          <w:p w14:paraId="292306CE">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eastAsia" w:ascii="Times New Roman" w:hAnsi="Times New Roman"/>
                <w:b/>
                <w:bCs/>
                <w:color w:val="auto"/>
                <w:sz w:val="26"/>
                <w:szCs w:val="26"/>
                <w:lang w:val="en-US" w:eastAsia="zh-CN"/>
              </w:rPr>
            </w:pPr>
          </w:p>
          <w:p w14:paraId="6A931BCE">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ascii="Times New Roman" w:hAnsi="Times New Roman"/>
                <w:b/>
                <w:bCs/>
                <w:color w:val="auto"/>
                <w:sz w:val="26"/>
                <w:szCs w:val="26"/>
              </w:rPr>
            </w:pPr>
            <w:r>
              <w:rPr>
                <w:rFonts w:hint="eastAsia" w:ascii="Times New Roman" w:hAnsi="Times New Roman"/>
                <w:b/>
                <w:bCs/>
                <w:color w:val="auto"/>
                <w:sz w:val="26"/>
                <w:szCs w:val="26"/>
                <w:lang w:val="en-US" w:eastAsia="zh-CN"/>
              </w:rPr>
              <w:t>3.3</w:t>
            </w:r>
            <w:r>
              <w:rPr>
                <w:rFonts w:ascii="Times New Roman" w:hAnsi="Times New Roman"/>
                <w:b/>
                <w:bCs/>
                <w:color w:val="auto"/>
                <w:sz w:val="26"/>
                <w:szCs w:val="26"/>
              </w:rPr>
              <w:t>环境保护目标</w:t>
            </w:r>
          </w:p>
          <w:p w14:paraId="3000CD14">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ascii="Times New Roman" w:hAnsi="Times New Roman"/>
                <w:color w:val="auto"/>
                <w:sz w:val="26"/>
                <w:szCs w:val="26"/>
              </w:rPr>
            </w:pPr>
            <w:r>
              <w:rPr>
                <w:rFonts w:hint="eastAsia" w:ascii="Times New Roman" w:hAnsi="Times New Roman"/>
                <w:color w:val="auto"/>
                <w:sz w:val="26"/>
                <w:szCs w:val="26"/>
              </w:rPr>
              <w:t>本项目位于</w:t>
            </w:r>
            <w:r>
              <w:rPr>
                <w:rFonts w:hint="eastAsia" w:ascii="Times New Roman" w:hAnsi="Times New Roman" w:eastAsia="宋体" w:cs="Times New Roman"/>
                <w:color w:val="auto"/>
                <w:sz w:val="26"/>
                <w:szCs w:val="26"/>
                <w:lang w:val="en-GB" w:eastAsia="zh-CN"/>
              </w:rPr>
              <w:t>重庆西彭工业园区西彭组团</w:t>
            </w:r>
            <w:r>
              <w:rPr>
                <w:rFonts w:hint="eastAsia" w:ascii="Times New Roman" w:hAnsi="Times New Roman" w:eastAsia="宋体" w:cs="Times New Roman"/>
                <w:color w:val="auto"/>
                <w:sz w:val="26"/>
                <w:szCs w:val="26"/>
                <w:lang w:val="en-US" w:eastAsia="zh-CN"/>
              </w:rPr>
              <w:t>现有厂房内进行建设</w:t>
            </w:r>
            <w:r>
              <w:rPr>
                <w:rFonts w:hint="eastAsia" w:ascii="Times New Roman" w:hAnsi="Times New Roman"/>
                <w:color w:val="auto"/>
                <w:sz w:val="26"/>
                <w:szCs w:val="26"/>
              </w:rPr>
              <w:t>，</w:t>
            </w:r>
            <w:r>
              <w:rPr>
                <w:rFonts w:hint="eastAsia" w:ascii="Times New Roman" w:hAnsi="Times New Roman"/>
                <w:color w:val="auto"/>
                <w:sz w:val="26"/>
                <w:szCs w:val="26"/>
                <w:lang w:val="en-US" w:eastAsia="zh-CN"/>
              </w:rPr>
              <w:t>项目周边不涉及自然保护区、风景名胜区、生态保护红线等需要特殊保护的区域</w:t>
            </w:r>
            <w:r>
              <w:rPr>
                <w:rFonts w:hint="eastAsia" w:ascii="Times New Roman" w:hAnsi="Times New Roman"/>
                <w:color w:val="auto"/>
                <w:sz w:val="26"/>
                <w:szCs w:val="26"/>
              </w:rPr>
              <w:t>。</w:t>
            </w:r>
          </w:p>
          <w:p w14:paraId="754F7D06">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ascii="Times New Roman" w:hAnsi="Times New Roman"/>
                <w:b/>
                <w:color w:val="auto"/>
                <w:sz w:val="26"/>
                <w:szCs w:val="26"/>
              </w:rPr>
            </w:pPr>
            <w:r>
              <w:rPr>
                <w:rFonts w:ascii="Times New Roman" w:hAnsi="Times New Roman"/>
                <w:b/>
                <w:color w:val="auto"/>
                <w:sz w:val="26"/>
                <w:szCs w:val="26"/>
              </w:rPr>
              <w:t>3.</w:t>
            </w:r>
            <w:r>
              <w:rPr>
                <w:rFonts w:hint="eastAsia" w:ascii="Times New Roman" w:hAnsi="Times New Roman"/>
                <w:b/>
                <w:color w:val="auto"/>
                <w:sz w:val="26"/>
                <w:szCs w:val="26"/>
                <w:lang w:val="en-US" w:eastAsia="zh-CN"/>
              </w:rPr>
              <w:t>3</w:t>
            </w:r>
            <w:r>
              <w:rPr>
                <w:rFonts w:ascii="Times New Roman" w:hAnsi="Times New Roman"/>
                <w:b/>
                <w:color w:val="auto"/>
                <w:sz w:val="26"/>
                <w:szCs w:val="26"/>
              </w:rPr>
              <w:t>.1大气环境</w:t>
            </w:r>
          </w:p>
          <w:p w14:paraId="2AA73318">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eastAsia" w:ascii="Times New Roman" w:hAnsi="Times New Roman" w:eastAsia="宋体"/>
                <w:color w:val="auto"/>
                <w:sz w:val="26"/>
                <w:szCs w:val="26"/>
                <w:lang w:eastAsia="zh-CN"/>
              </w:rPr>
            </w:pPr>
            <w:r>
              <w:rPr>
                <w:rFonts w:hint="eastAsia" w:ascii="Times New Roman" w:hAnsi="Times New Roman"/>
                <w:color w:val="auto"/>
                <w:sz w:val="26"/>
                <w:szCs w:val="26"/>
                <w:lang w:val="en-US" w:eastAsia="zh-CN"/>
              </w:rPr>
              <w:t>项目大气环境评价范围为500m，周边500m范围内主要大气环境保护目标主要为居民、学校等区域</w:t>
            </w:r>
            <w:r>
              <w:rPr>
                <w:rFonts w:hint="eastAsia" w:ascii="Times New Roman" w:hAnsi="Times New Roman"/>
                <w:color w:val="auto"/>
                <w:sz w:val="26"/>
                <w:szCs w:val="26"/>
                <w:lang w:eastAsia="zh-CN"/>
              </w:rPr>
              <w:t>，</w:t>
            </w:r>
            <w:r>
              <w:rPr>
                <w:rFonts w:ascii="Times New Roman" w:hAnsi="Times New Roman"/>
                <w:color w:val="auto"/>
                <w:sz w:val="26"/>
                <w:szCs w:val="26"/>
              </w:rPr>
              <w:t>详见表3.</w:t>
            </w:r>
            <w:r>
              <w:rPr>
                <w:rFonts w:hint="eastAsia" w:ascii="Times New Roman" w:hAnsi="Times New Roman"/>
                <w:color w:val="auto"/>
                <w:sz w:val="26"/>
                <w:szCs w:val="26"/>
                <w:lang w:val="en-US" w:eastAsia="zh-CN"/>
              </w:rPr>
              <w:t>3</w:t>
            </w:r>
            <w:r>
              <w:rPr>
                <w:rFonts w:ascii="Times New Roman" w:hAnsi="Times New Roman"/>
                <w:color w:val="auto"/>
                <w:sz w:val="26"/>
                <w:szCs w:val="26"/>
              </w:rPr>
              <w:t>-1</w:t>
            </w:r>
            <w:r>
              <w:rPr>
                <w:rFonts w:hint="eastAsia" w:ascii="Times New Roman" w:hAnsi="Times New Roman"/>
                <w:color w:val="auto"/>
                <w:sz w:val="26"/>
                <w:szCs w:val="26"/>
                <w:lang w:eastAsia="zh-CN"/>
              </w:rPr>
              <w:t>。</w:t>
            </w:r>
          </w:p>
          <w:p w14:paraId="4AC1ADD6">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ascii="Times New Roman" w:hAnsi="Times New Roman"/>
                <w:b/>
                <w:bCs w:val="0"/>
                <w:color w:val="auto"/>
                <w:sz w:val="26"/>
                <w:szCs w:val="26"/>
              </w:rPr>
            </w:pPr>
          </w:p>
          <w:p w14:paraId="26C97C17">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ascii="Times New Roman" w:hAnsi="Times New Roman"/>
                <w:b/>
                <w:bCs w:val="0"/>
                <w:color w:val="auto"/>
                <w:sz w:val="26"/>
                <w:szCs w:val="26"/>
              </w:rPr>
            </w:pPr>
            <w:r>
              <w:rPr>
                <w:rFonts w:ascii="Times New Roman" w:hAnsi="Times New Roman"/>
                <w:b/>
                <w:bCs w:val="0"/>
                <w:color w:val="auto"/>
                <w:sz w:val="26"/>
                <w:szCs w:val="26"/>
              </w:rPr>
              <w:t>表3.</w:t>
            </w:r>
            <w:r>
              <w:rPr>
                <w:rFonts w:hint="eastAsia" w:ascii="Times New Roman" w:hAnsi="Times New Roman"/>
                <w:b/>
                <w:bCs w:val="0"/>
                <w:color w:val="auto"/>
                <w:sz w:val="26"/>
                <w:szCs w:val="26"/>
                <w:lang w:val="en-US" w:eastAsia="zh-CN"/>
              </w:rPr>
              <w:t>3</w:t>
            </w:r>
            <w:r>
              <w:rPr>
                <w:rFonts w:ascii="Times New Roman" w:hAnsi="Times New Roman"/>
                <w:b/>
                <w:bCs w:val="0"/>
                <w:color w:val="auto"/>
                <w:sz w:val="26"/>
                <w:szCs w:val="26"/>
              </w:rPr>
              <w:t>-1</w:t>
            </w:r>
            <w:r>
              <w:rPr>
                <w:rFonts w:hint="eastAsia" w:ascii="Times New Roman" w:hAnsi="Times New Roman"/>
                <w:b/>
                <w:bCs w:val="0"/>
                <w:color w:val="auto"/>
                <w:sz w:val="26"/>
                <w:szCs w:val="26"/>
                <w:lang w:val="en-US" w:eastAsia="zh-CN"/>
              </w:rPr>
              <w:t xml:space="preserve">  本</w:t>
            </w:r>
            <w:r>
              <w:rPr>
                <w:rFonts w:ascii="Times New Roman" w:hAnsi="Times New Roman"/>
                <w:b/>
                <w:bCs w:val="0"/>
                <w:color w:val="auto"/>
                <w:sz w:val="26"/>
                <w:szCs w:val="26"/>
              </w:rPr>
              <w:t>项目主要</w:t>
            </w:r>
            <w:r>
              <w:rPr>
                <w:rFonts w:hint="eastAsia" w:ascii="Times New Roman" w:hAnsi="Times New Roman"/>
                <w:b/>
                <w:bCs w:val="0"/>
                <w:color w:val="auto"/>
                <w:sz w:val="26"/>
                <w:szCs w:val="26"/>
                <w:lang w:val="en-US" w:eastAsia="zh-CN"/>
              </w:rPr>
              <w:t>大气</w:t>
            </w:r>
            <w:r>
              <w:rPr>
                <w:rFonts w:ascii="Times New Roman" w:hAnsi="Times New Roman"/>
                <w:b/>
                <w:bCs w:val="0"/>
                <w:color w:val="auto"/>
                <w:sz w:val="26"/>
                <w:szCs w:val="26"/>
              </w:rPr>
              <w:t>环境保护目标分布一览表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25"/>
              <w:gridCol w:w="1815"/>
              <w:gridCol w:w="807"/>
              <w:gridCol w:w="758"/>
              <w:gridCol w:w="654"/>
              <w:gridCol w:w="972"/>
              <w:gridCol w:w="1045"/>
              <w:gridCol w:w="1130"/>
            </w:tblGrid>
            <w:tr w14:paraId="21AE84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0" w:hRule="atLeast"/>
                <w:jc w:val="center"/>
              </w:trPr>
              <w:tc>
                <w:tcPr>
                  <w:tcW w:w="541" w:type="dxa"/>
                  <w:vMerge w:val="restart"/>
                  <w:tcBorders>
                    <w:tl2br w:val="nil"/>
                    <w:tr2bl w:val="nil"/>
                  </w:tcBorders>
                  <w:noWrap w:val="0"/>
                  <w:vAlign w:val="center"/>
                </w:tcPr>
                <w:p w14:paraId="141A1B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r>
                    <w:rPr>
                      <w:rFonts w:ascii="Times New Roman" w:hAnsi="Times New Roman" w:eastAsia="宋体" w:cs="Times New Roman"/>
                      <w:color w:val="auto"/>
                      <w:sz w:val="22"/>
                      <w:szCs w:val="22"/>
                    </w:rPr>
                    <w:t>序号</w:t>
                  </w:r>
                </w:p>
              </w:tc>
              <w:tc>
                <w:tcPr>
                  <w:tcW w:w="1873" w:type="dxa"/>
                  <w:vMerge w:val="restart"/>
                  <w:tcBorders>
                    <w:tl2br w:val="nil"/>
                    <w:tr2bl w:val="nil"/>
                  </w:tcBorders>
                  <w:noWrap w:val="0"/>
                  <w:vAlign w:val="center"/>
                </w:tcPr>
                <w:p w14:paraId="6909C7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r>
                    <w:rPr>
                      <w:rFonts w:ascii="Times New Roman" w:hAnsi="Times New Roman" w:eastAsia="宋体" w:cs="Times New Roman"/>
                      <w:color w:val="auto"/>
                      <w:sz w:val="22"/>
                      <w:szCs w:val="22"/>
                    </w:rPr>
                    <w:t>环境保护目标名称</w:t>
                  </w:r>
                </w:p>
              </w:tc>
              <w:tc>
                <w:tcPr>
                  <w:tcW w:w="1612" w:type="dxa"/>
                  <w:gridSpan w:val="2"/>
                  <w:tcBorders>
                    <w:tl2br w:val="nil"/>
                    <w:tr2bl w:val="nil"/>
                  </w:tcBorders>
                  <w:noWrap w:val="0"/>
                  <w:vAlign w:val="center"/>
                </w:tcPr>
                <w:p w14:paraId="44C24B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r>
                    <w:rPr>
                      <w:rFonts w:ascii="Times New Roman" w:hAnsi="Times New Roman" w:eastAsia="宋体" w:cs="Times New Roman"/>
                      <w:color w:val="auto"/>
                      <w:sz w:val="22"/>
                      <w:szCs w:val="22"/>
                    </w:rPr>
                    <w:t>坐标</w:t>
                  </w:r>
                </w:p>
              </w:tc>
              <w:tc>
                <w:tcPr>
                  <w:tcW w:w="673" w:type="dxa"/>
                  <w:vMerge w:val="restart"/>
                  <w:tcBorders>
                    <w:tl2br w:val="nil"/>
                    <w:tr2bl w:val="nil"/>
                  </w:tcBorders>
                  <w:noWrap w:val="0"/>
                  <w:vAlign w:val="center"/>
                </w:tcPr>
                <w:p w14:paraId="337283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r>
                    <w:rPr>
                      <w:rFonts w:ascii="Times New Roman" w:hAnsi="Times New Roman" w:eastAsia="宋体" w:cs="Times New Roman"/>
                      <w:color w:val="auto"/>
                      <w:sz w:val="22"/>
                      <w:szCs w:val="22"/>
                    </w:rPr>
                    <w:t>相对方位</w:t>
                  </w:r>
                </w:p>
              </w:tc>
              <w:tc>
                <w:tcPr>
                  <w:tcW w:w="1002" w:type="dxa"/>
                  <w:vMerge w:val="restart"/>
                  <w:tcBorders>
                    <w:tl2br w:val="nil"/>
                    <w:tr2bl w:val="nil"/>
                  </w:tcBorders>
                  <w:noWrap w:val="0"/>
                  <w:vAlign w:val="center"/>
                </w:tcPr>
                <w:p w14:paraId="22AC87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r>
                    <w:rPr>
                      <w:rFonts w:ascii="Times New Roman" w:hAnsi="Times New Roman" w:eastAsia="宋体" w:cs="Times New Roman"/>
                      <w:color w:val="auto"/>
                      <w:sz w:val="22"/>
                      <w:szCs w:val="22"/>
                    </w:rPr>
                    <w:t>与厂界最近距离（m）</w:t>
                  </w:r>
                </w:p>
              </w:tc>
              <w:tc>
                <w:tcPr>
                  <w:tcW w:w="1077" w:type="dxa"/>
                  <w:vMerge w:val="restart"/>
                  <w:tcBorders>
                    <w:tl2br w:val="nil"/>
                    <w:tr2bl w:val="nil"/>
                  </w:tcBorders>
                  <w:noWrap w:val="0"/>
                  <w:vAlign w:val="center"/>
                </w:tcPr>
                <w:p w14:paraId="645976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r>
                    <w:rPr>
                      <w:rFonts w:ascii="Times New Roman" w:hAnsi="Times New Roman" w:eastAsia="宋体" w:cs="Times New Roman"/>
                      <w:color w:val="auto"/>
                      <w:sz w:val="22"/>
                      <w:szCs w:val="22"/>
                    </w:rPr>
                    <w:t>环境保护目标特征</w:t>
                  </w:r>
                </w:p>
              </w:tc>
              <w:tc>
                <w:tcPr>
                  <w:tcW w:w="1165" w:type="dxa"/>
                  <w:vMerge w:val="restart"/>
                  <w:tcBorders>
                    <w:tl2br w:val="nil"/>
                    <w:tr2bl w:val="nil"/>
                  </w:tcBorders>
                  <w:noWrap w:val="0"/>
                  <w:vAlign w:val="center"/>
                </w:tcPr>
                <w:p w14:paraId="23BE2C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r>
                    <w:rPr>
                      <w:rFonts w:ascii="Times New Roman" w:hAnsi="Times New Roman" w:eastAsia="宋体" w:cs="Times New Roman"/>
                      <w:color w:val="auto"/>
                      <w:sz w:val="22"/>
                      <w:szCs w:val="22"/>
                    </w:rPr>
                    <w:t>环境要素及功能区划</w:t>
                  </w:r>
                </w:p>
              </w:tc>
            </w:tr>
            <w:tr w14:paraId="3108CE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6" w:hRule="atLeast"/>
                <w:jc w:val="center"/>
              </w:trPr>
              <w:tc>
                <w:tcPr>
                  <w:tcW w:w="541" w:type="dxa"/>
                  <w:vMerge w:val="continue"/>
                  <w:tcBorders>
                    <w:tl2br w:val="nil"/>
                    <w:tr2bl w:val="nil"/>
                  </w:tcBorders>
                  <w:noWrap w:val="0"/>
                  <w:vAlign w:val="center"/>
                </w:tcPr>
                <w:p w14:paraId="75796E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p>
              </w:tc>
              <w:tc>
                <w:tcPr>
                  <w:tcW w:w="1873" w:type="dxa"/>
                  <w:vMerge w:val="continue"/>
                  <w:tcBorders>
                    <w:tl2br w:val="nil"/>
                    <w:tr2bl w:val="nil"/>
                  </w:tcBorders>
                  <w:noWrap w:val="0"/>
                  <w:vAlign w:val="center"/>
                </w:tcPr>
                <w:p w14:paraId="33C664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p>
              </w:tc>
              <w:tc>
                <w:tcPr>
                  <w:tcW w:w="831" w:type="dxa"/>
                  <w:tcBorders>
                    <w:tl2br w:val="nil"/>
                    <w:tr2bl w:val="nil"/>
                  </w:tcBorders>
                  <w:noWrap w:val="0"/>
                  <w:vAlign w:val="center"/>
                </w:tcPr>
                <w:p w14:paraId="5D2022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r>
                    <w:rPr>
                      <w:rFonts w:ascii="Times New Roman" w:hAnsi="Times New Roman" w:eastAsia="宋体" w:cs="Times New Roman"/>
                      <w:color w:val="auto"/>
                      <w:sz w:val="22"/>
                      <w:szCs w:val="22"/>
                    </w:rPr>
                    <w:t>X</w:t>
                  </w:r>
                </w:p>
              </w:tc>
              <w:tc>
                <w:tcPr>
                  <w:tcW w:w="781" w:type="dxa"/>
                  <w:tcBorders>
                    <w:tl2br w:val="nil"/>
                    <w:tr2bl w:val="nil"/>
                  </w:tcBorders>
                  <w:noWrap w:val="0"/>
                  <w:vAlign w:val="center"/>
                </w:tcPr>
                <w:p w14:paraId="3C2EFB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r>
                    <w:rPr>
                      <w:rFonts w:ascii="Times New Roman" w:hAnsi="Times New Roman" w:eastAsia="宋体" w:cs="Times New Roman"/>
                      <w:color w:val="auto"/>
                      <w:sz w:val="22"/>
                      <w:szCs w:val="22"/>
                    </w:rPr>
                    <w:t>Y</w:t>
                  </w:r>
                </w:p>
              </w:tc>
              <w:tc>
                <w:tcPr>
                  <w:tcW w:w="673" w:type="dxa"/>
                  <w:vMerge w:val="continue"/>
                  <w:tcBorders>
                    <w:tl2br w:val="nil"/>
                    <w:tr2bl w:val="nil"/>
                  </w:tcBorders>
                  <w:noWrap w:val="0"/>
                  <w:vAlign w:val="center"/>
                </w:tcPr>
                <w:p w14:paraId="64CB99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p>
              </w:tc>
              <w:tc>
                <w:tcPr>
                  <w:tcW w:w="1002" w:type="dxa"/>
                  <w:vMerge w:val="continue"/>
                  <w:tcBorders>
                    <w:tl2br w:val="nil"/>
                    <w:tr2bl w:val="nil"/>
                  </w:tcBorders>
                  <w:noWrap w:val="0"/>
                  <w:vAlign w:val="center"/>
                </w:tcPr>
                <w:p w14:paraId="4F799B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p>
              </w:tc>
              <w:tc>
                <w:tcPr>
                  <w:tcW w:w="1077" w:type="dxa"/>
                  <w:vMerge w:val="continue"/>
                  <w:tcBorders>
                    <w:tl2br w:val="nil"/>
                    <w:tr2bl w:val="nil"/>
                  </w:tcBorders>
                  <w:noWrap w:val="0"/>
                  <w:vAlign w:val="center"/>
                </w:tcPr>
                <w:p w14:paraId="098CC8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p>
              </w:tc>
              <w:tc>
                <w:tcPr>
                  <w:tcW w:w="1165" w:type="dxa"/>
                  <w:vMerge w:val="continue"/>
                  <w:tcBorders>
                    <w:tl2br w:val="nil"/>
                    <w:tr2bl w:val="nil"/>
                  </w:tcBorders>
                  <w:noWrap w:val="0"/>
                  <w:vAlign w:val="center"/>
                </w:tcPr>
                <w:p w14:paraId="48CE35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p>
              </w:tc>
            </w:tr>
            <w:tr w14:paraId="0E02F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 w:hRule="atLeast"/>
                <w:jc w:val="center"/>
              </w:trPr>
              <w:tc>
                <w:tcPr>
                  <w:tcW w:w="541" w:type="dxa"/>
                  <w:tcBorders>
                    <w:tl2br w:val="nil"/>
                    <w:tr2bl w:val="nil"/>
                  </w:tcBorders>
                  <w:noWrap w:val="0"/>
                  <w:vAlign w:val="center"/>
                </w:tcPr>
                <w:p w14:paraId="7F7F4A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2"/>
                      <w:szCs w:val="22"/>
                      <w:lang w:val="en-US" w:eastAsia="zh-CN"/>
                    </w:rPr>
                  </w:pPr>
                  <w:r>
                    <w:rPr>
                      <w:rFonts w:ascii="Times New Roman" w:hAnsi="Times New Roman" w:eastAsia="宋体" w:cs="Times New Roman"/>
                      <w:color w:val="auto"/>
                      <w:sz w:val="22"/>
                      <w:szCs w:val="22"/>
                    </w:rPr>
                    <w:t>1</w:t>
                  </w:r>
                  <w:r>
                    <w:rPr>
                      <w:rFonts w:hint="eastAsia" w:ascii="Times New Roman" w:hAnsi="Times New Roman" w:eastAsia="宋体" w:cs="Times New Roman"/>
                      <w:color w:val="auto"/>
                      <w:sz w:val="22"/>
                      <w:szCs w:val="22"/>
                      <w:lang w:val="en-US" w:eastAsia="zh-CN"/>
                    </w:rPr>
                    <w:t>#</w:t>
                  </w:r>
                </w:p>
              </w:tc>
              <w:tc>
                <w:tcPr>
                  <w:tcW w:w="1873" w:type="dxa"/>
                  <w:tcBorders>
                    <w:tl2br w:val="nil"/>
                    <w:tr2bl w:val="nil"/>
                  </w:tcBorders>
                  <w:noWrap w:val="0"/>
                  <w:vAlign w:val="center"/>
                </w:tcPr>
                <w:p w14:paraId="5BB204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尚江宸溪香苑</w:t>
                  </w:r>
                </w:p>
              </w:tc>
              <w:tc>
                <w:tcPr>
                  <w:tcW w:w="831" w:type="dxa"/>
                  <w:tcBorders>
                    <w:tl2br w:val="nil"/>
                    <w:tr2bl w:val="nil"/>
                  </w:tcBorders>
                  <w:noWrap w:val="0"/>
                  <w:vAlign w:val="center"/>
                </w:tcPr>
                <w:p w14:paraId="68CB79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250</w:t>
                  </w:r>
                </w:p>
              </w:tc>
              <w:tc>
                <w:tcPr>
                  <w:tcW w:w="781" w:type="dxa"/>
                  <w:tcBorders>
                    <w:tl2br w:val="nil"/>
                    <w:tr2bl w:val="nil"/>
                  </w:tcBorders>
                  <w:noWrap w:val="0"/>
                  <w:vAlign w:val="center"/>
                </w:tcPr>
                <w:p w14:paraId="6BF1BF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0</w:t>
                  </w:r>
                </w:p>
              </w:tc>
              <w:tc>
                <w:tcPr>
                  <w:tcW w:w="673" w:type="dxa"/>
                  <w:tcBorders>
                    <w:tl2br w:val="nil"/>
                    <w:tr2bl w:val="nil"/>
                  </w:tcBorders>
                  <w:noWrap w:val="0"/>
                  <w:vAlign w:val="center"/>
                </w:tcPr>
                <w:p w14:paraId="6E7DF1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2"/>
                      <w:szCs w:val="22"/>
                      <w:lang w:eastAsia="zh-CN"/>
                    </w:rPr>
                  </w:pPr>
                  <w:r>
                    <w:rPr>
                      <w:rFonts w:hint="eastAsia" w:ascii="Times New Roman" w:hAnsi="Times New Roman" w:eastAsia="宋体" w:cs="Times New Roman"/>
                      <w:color w:val="auto"/>
                      <w:sz w:val="22"/>
                      <w:szCs w:val="22"/>
                      <w:lang w:val="en-US" w:eastAsia="zh-CN"/>
                    </w:rPr>
                    <w:t>E</w:t>
                  </w:r>
                </w:p>
              </w:tc>
              <w:tc>
                <w:tcPr>
                  <w:tcW w:w="1002" w:type="dxa"/>
                  <w:tcBorders>
                    <w:tl2br w:val="nil"/>
                    <w:tr2bl w:val="nil"/>
                  </w:tcBorders>
                  <w:noWrap w:val="0"/>
                  <w:vAlign w:val="center"/>
                </w:tcPr>
                <w:p w14:paraId="218F33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110</w:t>
                  </w:r>
                </w:p>
              </w:tc>
              <w:tc>
                <w:tcPr>
                  <w:tcW w:w="1077" w:type="dxa"/>
                  <w:tcBorders>
                    <w:tl2br w:val="nil"/>
                    <w:tr2bl w:val="nil"/>
                  </w:tcBorders>
                  <w:noWrap w:val="0"/>
                  <w:vAlign w:val="center"/>
                </w:tcPr>
                <w:p w14:paraId="3EA7AE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约360户</w:t>
                  </w:r>
                </w:p>
              </w:tc>
              <w:tc>
                <w:tcPr>
                  <w:tcW w:w="1165" w:type="dxa"/>
                  <w:vMerge w:val="restart"/>
                  <w:tcBorders>
                    <w:tl2br w:val="nil"/>
                    <w:tr2bl w:val="nil"/>
                  </w:tcBorders>
                  <w:noWrap w:val="0"/>
                  <w:vAlign w:val="center"/>
                </w:tcPr>
                <w:p w14:paraId="59BE48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r>
                    <w:rPr>
                      <w:rFonts w:ascii="Times New Roman" w:hAnsi="Times New Roman" w:eastAsia="宋体" w:cs="Times New Roman"/>
                      <w:color w:val="auto"/>
                      <w:sz w:val="22"/>
                      <w:szCs w:val="22"/>
                    </w:rPr>
                    <w:t>环境空气二类功能区</w:t>
                  </w:r>
                </w:p>
              </w:tc>
            </w:tr>
            <w:tr w14:paraId="57050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 w:hRule="atLeast"/>
                <w:jc w:val="center"/>
              </w:trPr>
              <w:tc>
                <w:tcPr>
                  <w:tcW w:w="541" w:type="dxa"/>
                  <w:tcBorders>
                    <w:tl2br w:val="nil"/>
                    <w:tr2bl w:val="nil"/>
                  </w:tcBorders>
                  <w:noWrap w:val="0"/>
                  <w:vAlign w:val="center"/>
                </w:tcPr>
                <w:p w14:paraId="35AD8F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w:t>
                  </w:r>
                </w:p>
              </w:tc>
              <w:tc>
                <w:tcPr>
                  <w:tcW w:w="1873" w:type="dxa"/>
                  <w:tcBorders>
                    <w:tl2br w:val="nil"/>
                    <w:tr2bl w:val="nil"/>
                  </w:tcBorders>
                  <w:noWrap w:val="0"/>
                  <w:vAlign w:val="center"/>
                </w:tcPr>
                <w:p w14:paraId="22EBC7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窑瓦溪小区</w:t>
                  </w:r>
                </w:p>
              </w:tc>
              <w:tc>
                <w:tcPr>
                  <w:tcW w:w="831" w:type="dxa"/>
                  <w:tcBorders>
                    <w:tl2br w:val="nil"/>
                    <w:tr2bl w:val="nil"/>
                  </w:tcBorders>
                  <w:noWrap w:val="0"/>
                  <w:vAlign w:val="center"/>
                </w:tcPr>
                <w:p w14:paraId="7B857C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250</w:t>
                  </w:r>
                </w:p>
              </w:tc>
              <w:tc>
                <w:tcPr>
                  <w:tcW w:w="781" w:type="dxa"/>
                  <w:tcBorders>
                    <w:tl2br w:val="nil"/>
                    <w:tr2bl w:val="nil"/>
                  </w:tcBorders>
                  <w:noWrap w:val="0"/>
                  <w:vAlign w:val="center"/>
                </w:tcPr>
                <w:p w14:paraId="75A8D8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-110</w:t>
                  </w:r>
                </w:p>
              </w:tc>
              <w:tc>
                <w:tcPr>
                  <w:tcW w:w="673" w:type="dxa"/>
                  <w:tcBorders>
                    <w:tl2br w:val="nil"/>
                    <w:tr2bl w:val="nil"/>
                  </w:tcBorders>
                  <w:noWrap w:val="0"/>
                  <w:vAlign w:val="center"/>
                </w:tcPr>
                <w:p w14:paraId="35A9F3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SE</w:t>
                  </w:r>
                </w:p>
              </w:tc>
              <w:tc>
                <w:tcPr>
                  <w:tcW w:w="1002" w:type="dxa"/>
                  <w:tcBorders>
                    <w:tl2br w:val="nil"/>
                    <w:tr2bl w:val="nil"/>
                  </w:tcBorders>
                  <w:noWrap w:val="0"/>
                  <w:vAlign w:val="center"/>
                </w:tcPr>
                <w:p w14:paraId="543FF3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140</w:t>
                  </w:r>
                </w:p>
              </w:tc>
              <w:tc>
                <w:tcPr>
                  <w:tcW w:w="1077" w:type="dxa"/>
                  <w:tcBorders>
                    <w:tl2br w:val="nil"/>
                    <w:tr2bl w:val="nil"/>
                  </w:tcBorders>
                  <w:noWrap w:val="0"/>
                  <w:vAlign w:val="center"/>
                </w:tcPr>
                <w:p w14:paraId="49B087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lang w:val="en-US" w:eastAsia="zh-CN"/>
                    </w:rPr>
                    <w:t>约200户</w:t>
                  </w:r>
                </w:p>
              </w:tc>
              <w:tc>
                <w:tcPr>
                  <w:tcW w:w="1165" w:type="dxa"/>
                  <w:vMerge w:val="continue"/>
                  <w:tcBorders>
                    <w:tl2br w:val="nil"/>
                    <w:tr2bl w:val="nil"/>
                  </w:tcBorders>
                  <w:noWrap w:val="0"/>
                  <w:vAlign w:val="center"/>
                </w:tcPr>
                <w:p w14:paraId="0338AA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p>
              </w:tc>
            </w:tr>
            <w:tr w14:paraId="7473DB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 w:hRule="atLeast"/>
                <w:jc w:val="center"/>
              </w:trPr>
              <w:tc>
                <w:tcPr>
                  <w:tcW w:w="541" w:type="dxa"/>
                  <w:tcBorders>
                    <w:tl2br w:val="nil"/>
                    <w:tr2bl w:val="nil"/>
                  </w:tcBorders>
                  <w:noWrap w:val="0"/>
                  <w:vAlign w:val="center"/>
                </w:tcPr>
                <w:p w14:paraId="7B79DA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3#</w:t>
                  </w:r>
                </w:p>
              </w:tc>
              <w:tc>
                <w:tcPr>
                  <w:tcW w:w="1873" w:type="dxa"/>
                  <w:tcBorders>
                    <w:tl2br w:val="nil"/>
                    <w:tr2bl w:val="nil"/>
                  </w:tcBorders>
                  <w:noWrap w:val="0"/>
                  <w:vAlign w:val="center"/>
                </w:tcPr>
                <w:p w14:paraId="319FC6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北京城建熙城</w:t>
                  </w:r>
                </w:p>
              </w:tc>
              <w:tc>
                <w:tcPr>
                  <w:tcW w:w="831" w:type="dxa"/>
                  <w:tcBorders>
                    <w:tl2br w:val="nil"/>
                    <w:tr2bl w:val="nil"/>
                  </w:tcBorders>
                  <w:noWrap w:val="0"/>
                  <w:vAlign w:val="center"/>
                </w:tcPr>
                <w:p w14:paraId="627E05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420</w:t>
                  </w:r>
                </w:p>
              </w:tc>
              <w:tc>
                <w:tcPr>
                  <w:tcW w:w="781" w:type="dxa"/>
                  <w:tcBorders>
                    <w:tl2br w:val="nil"/>
                    <w:tr2bl w:val="nil"/>
                  </w:tcBorders>
                  <w:noWrap w:val="0"/>
                  <w:vAlign w:val="center"/>
                </w:tcPr>
                <w:p w14:paraId="207ADA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0</w:t>
                  </w:r>
                </w:p>
              </w:tc>
              <w:tc>
                <w:tcPr>
                  <w:tcW w:w="673" w:type="dxa"/>
                  <w:tcBorders>
                    <w:tl2br w:val="nil"/>
                    <w:tr2bl w:val="nil"/>
                  </w:tcBorders>
                  <w:noWrap w:val="0"/>
                  <w:vAlign w:val="center"/>
                </w:tcPr>
                <w:p w14:paraId="1602CB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E</w:t>
                  </w:r>
                </w:p>
              </w:tc>
              <w:tc>
                <w:tcPr>
                  <w:tcW w:w="1002" w:type="dxa"/>
                  <w:tcBorders>
                    <w:tl2br w:val="nil"/>
                    <w:tr2bl w:val="nil"/>
                  </w:tcBorders>
                  <w:noWrap w:val="0"/>
                  <w:vAlign w:val="center"/>
                </w:tcPr>
                <w:p w14:paraId="1ACD7C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300</w:t>
                  </w:r>
                </w:p>
              </w:tc>
              <w:tc>
                <w:tcPr>
                  <w:tcW w:w="1077" w:type="dxa"/>
                  <w:tcBorders>
                    <w:tl2br w:val="nil"/>
                    <w:tr2bl w:val="nil"/>
                  </w:tcBorders>
                  <w:noWrap w:val="0"/>
                  <w:vAlign w:val="center"/>
                </w:tcPr>
                <w:p w14:paraId="7088AA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lang w:val="en-US" w:eastAsia="zh-CN"/>
                    </w:rPr>
                    <w:t>约1000户</w:t>
                  </w:r>
                </w:p>
              </w:tc>
              <w:tc>
                <w:tcPr>
                  <w:tcW w:w="1165" w:type="dxa"/>
                  <w:vMerge w:val="continue"/>
                  <w:tcBorders>
                    <w:tl2br w:val="nil"/>
                    <w:tr2bl w:val="nil"/>
                  </w:tcBorders>
                  <w:noWrap w:val="0"/>
                  <w:vAlign w:val="center"/>
                </w:tcPr>
                <w:p w14:paraId="30DC10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p>
              </w:tc>
            </w:tr>
            <w:tr w14:paraId="30E7E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 w:hRule="atLeast"/>
                <w:jc w:val="center"/>
              </w:trPr>
              <w:tc>
                <w:tcPr>
                  <w:tcW w:w="541" w:type="dxa"/>
                  <w:tcBorders>
                    <w:tl2br w:val="nil"/>
                    <w:tr2bl w:val="nil"/>
                  </w:tcBorders>
                  <w:noWrap w:val="0"/>
                  <w:vAlign w:val="center"/>
                </w:tcPr>
                <w:p w14:paraId="1435DA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4#</w:t>
                  </w:r>
                </w:p>
              </w:tc>
              <w:tc>
                <w:tcPr>
                  <w:tcW w:w="1873" w:type="dxa"/>
                  <w:tcBorders>
                    <w:tl2br w:val="nil"/>
                    <w:tr2bl w:val="nil"/>
                  </w:tcBorders>
                  <w:noWrap w:val="0"/>
                  <w:vAlign w:val="center"/>
                </w:tcPr>
                <w:p w14:paraId="1F8F26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国色天香</w:t>
                  </w:r>
                </w:p>
              </w:tc>
              <w:tc>
                <w:tcPr>
                  <w:tcW w:w="831" w:type="dxa"/>
                  <w:tcBorders>
                    <w:tl2br w:val="nil"/>
                    <w:tr2bl w:val="nil"/>
                  </w:tcBorders>
                  <w:noWrap w:val="0"/>
                  <w:vAlign w:val="center"/>
                </w:tcPr>
                <w:p w14:paraId="1B54AB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400</w:t>
                  </w:r>
                </w:p>
              </w:tc>
              <w:tc>
                <w:tcPr>
                  <w:tcW w:w="781" w:type="dxa"/>
                  <w:tcBorders>
                    <w:tl2br w:val="nil"/>
                    <w:tr2bl w:val="nil"/>
                  </w:tcBorders>
                  <w:noWrap w:val="0"/>
                  <w:vAlign w:val="center"/>
                </w:tcPr>
                <w:p w14:paraId="1937E1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100</w:t>
                  </w:r>
                </w:p>
              </w:tc>
              <w:tc>
                <w:tcPr>
                  <w:tcW w:w="673" w:type="dxa"/>
                  <w:tcBorders>
                    <w:tl2br w:val="nil"/>
                    <w:tr2bl w:val="nil"/>
                  </w:tcBorders>
                  <w:noWrap w:val="0"/>
                  <w:vAlign w:val="center"/>
                </w:tcPr>
                <w:p w14:paraId="481DF2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NE</w:t>
                  </w:r>
                </w:p>
              </w:tc>
              <w:tc>
                <w:tcPr>
                  <w:tcW w:w="1002" w:type="dxa"/>
                  <w:tcBorders>
                    <w:tl2br w:val="nil"/>
                    <w:tr2bl w:val="nil"/>
                  </w:tcBorders>
                  <w:noWrap w:val="0"/>
                  <w:vAlign w:val="center"/>
                </w:tcPr>
                <w:p w14:paraId="58B0C9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380</w:t>
                  </w:r>
                </w:p>
              </w:tc>
              <w:tc>
                <w:tcPr>
                  <w:tcW w:w="1077" w:type="dxa"/>
                  <w:tcBorders>
                    <w:tl2br w:val="nil"/>
                    <w:tr2bl w:val="nil"/>
                  </w:tcBorders>
                  <w:noWrap w:val="0"/>
                  <w:vAlign w:val="center"/>
                </w:tcPr>
                <w:p w14:paraId="53C01B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lang w:val="en-US" w:eastAsia="zh-CN"/>
                    </w:rPr>
                    <w:t>约1000户</w:t>
                  </w:r>
                </w:p>
              </w:tc>
              <w:tc>
                <w:tcPr>
                  <w:tcW w:w="1165" w:type="dxa"/>
                  <w:vMerge w:val="continue"/>
                  <w:tcBorders>
                    <w:tl2br w:val="nil"/>
                    <w:tr2bl w:val="nil"/>
                  </w:tcBorders>
                  <w:noWrap w:val="0"/>
                  <w:vAlign w:val="center"/>
                </w:tcPr>
                <w:p w14:paraId="129EC9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p>
              </w:tc>
            </w:tr>
            <w:tr w14:paraId="06915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 w:hRule="atLeast"/>
                <w:jc w:val="center"/>
              </w:trPr>
              <w:tc>
                <w:tcPr>
                  <w:tcW w:w="541" w:type="dxa"/>
                  <w:tcBorders>
                    <w:tl2br w:val="nil"/>
                    <w:tr2bl w:val="nil"/>
                  </w:tcBorders>
                  <w:noWrap w:val="0"/>
                  <w:vAlign w:val="center"/>
                </w:tcPr>
                <w:p w14:paraId="67B56D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5#</w:t>
                  </w:r>
                </w:p>
              </w:tc>
              <w:tc>
                <w:tcPr>
                  <w:tcW w:w="1873" w:type="dxa"/>
                  <w:tcBorders>
                    <w:tl2br w:val="nil"/>
                    <w:tr2bl w:val="nil"/>
                  </w:tcBorders>
                  <w:noWrap w:val="0"/>
                  <w:vAlign w:val="center"/>
                </w:tcPr>
                <w:p w14:paraId="36B814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北京城建御峰</w:t>
                  </w:r>
                </w:p>
              </w:tc>
              <w:tc>
                <w:tcPr>
                  <w:tcW w:w="831" w:type="dxa"/>
                  <w:tcBorders>
                    <w:tl2br w:val="nil"/>
                    <w:tr2bl w:val="nil"/>
                  </w:tcBorders>
                  <w:noWrap w:val="0"/>
                  <w:vAlign w:val="center"/>
                </w:tcPr>
                <w:p w14:paraId="738274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430</w:t>
                  </w:r>
                </w:p>
              </w:tc>
              <w:tc>
                <w:tcPr>
                  <w:tcW w:w="781" w:type="dxa"/>
                  <w:tcBorders>
                    <w:tl2br w:val="nil"/>
                    <w:tr2bl w:val="nil"/>
                  </w:tcBorders>
                  <w:noWrap w:val="0"/>
                  <w:vAlign w:val="center"/>
                </w:tcPr>
                <w:p w14:paraId="3AE8D3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370</w:t>
                  </w:r>
                </w:p>
              </w:tc>
              <w:tc>
                <w:tcPr>
                  <w:tcW w:w="673" w:type="dxa"/>
                  <w:tcBorders>
                    <w:tl2br w:val="nil"/>
                    <w:tr2bl w:val="nil"/>
                  </w:tcBorders>
                  <w:noWrap w:val="0"/>
                  <w:vAlign w:val="center"/>
                </w:tcPr>
                <w:p w14:paraId="602039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NE</w:t>
                  </w:r>
                </w:p>
              </w:tc>
              <w:tc>
                <w:tcPr>
                  <w:tcW w:w="1002" w:type="dxa"/>
                  <w:tcBorders>
                    <w:tl2br w:val="nil"/>
                    <w:tr2bl w:val="nil"/>
                  </w:tcBorders>
                  <w:noWrap w:val="0"/>
                  <w:vAlign w:val="center"/>
                </w:tcPr>
                <w:p w14:paraId="070603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450</w:t>
                  </w:r>
                </w:p>
              </w:tc>
              <w:tc>
                <w:tcPr>
                  <w:tcW w:w="1077" w:type="dxa"/>
                  <w:tcBorders>
                    <w:tl2br w:val="nil"/>
                    <w:tr2bl w:val="nil"/>
                  </w:tcBorders>
                  <w:noWrap w:val="0"/>
                  <w:vAlign w:val="center"/>
                </w:tcPr>
                <w:p w14:paraId="148B5A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lang w:val="en-US" w:eastAsia="zh-CN"/>
                    </w:rPr>
                    <w:t>约600户</w:t>
                  </w:r>
                </w:p>
              </w:tc>
              <w:tc>
                <w:tcPr>
                  <w:tcW w:w="1165" w:type="dxa"/>
                  <w:vMerge w:val="continue"/>
                  <w:tcBorders>
                    <w:tl2br w:val="nil"/>
                    <w:tr2bl w:val="nil"/>
                  </w:tcBorders>
                  <w:noWrap w:val="0"/>
                  <w:vAlign w:val="center"/>
                </w:tcPr>
                <w:p w14:paraId="79D76F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p>
              </w:tc>
            </w:tr>
            <w:tr w14:paraId="2F20B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 w:hRule="atLeast"/>
                <w:jc w:val="center"/>
              </w:trPr>
              <w:tc>
                <w:tcPr>
                  <w:tcW w:w="541" w:type="dxa"/>
                  <w:tcBorders>
                    <w:tl2br w:val="nil"/>
                    <w:tr2bl w:val="nil"/>
                  </w:tcBorders>
                  <w:noWrap w:val="0"/>
                  <w:vAlign w:val="center"/>
                </w:tcPr>
                <w:p w14:paraId="7C8502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6#</w:t>
                  </w:r>
                </w:p>
              </w:tc>
              <w:tc>
                <w:tcPr>
                  <w:tcW w:w="1873" w:type="dxa"/>
                  <w:tcBorders>
                    <w:tl2br w:val="nil"/>
                    <w:tr2bl w:val="nil"/>
                  </w:tcBorders>
                  <w:noWrap w:val="0"/>
                  <w:vAlign w:val="center"/>
                </w:tcPr>
                <w:p w14:paraId="5B2E1E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星光名都</w:t>
                  </w:r>
                </w:p>
              </w:tc>
              <w:tc>
                <w:tcPr>
                  <w:tcW w:w="831" w:type="dxa"/>
                  <w:tcBorders>
                    <w:tl2br w:val="nil"/>
                    <w:tr2bl w:val="nil"/>
                  </w:tcBorders>
                  <w:noWrap w:val="0"/>
                  <w:vAlign w:val="center"/>
                </w:tcPr>
                <w:p w14:paraId="45D748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380</w:t>
                  </w:r>
                </w:p>
              </w:tc>
              <w:tc>
                <w:tcPr>
                  <w:tcW w:w="781" w:type="dxa"/>
                  <w:tcBorders>
                    <w:tl2br w:val="nil"/>
                    <w:tr2bl w:val="nil"/>
                  </w:tcBorders>
                  <w:noWrap w:val="0"/>
                  <w:vAlign w:val="center"/>
                </w:tcPr>
                <w:p w14:paraId="250C41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-280</w:t>
                  </w:r>
                </w:p>
              </w:tc>
              <w:tc>
                <w:tcPr>
                  <w:tcW w:w="673" w:type="dxa"/>
                  <w:tcBorders>
                    <w:tl2br w:val="nil"/>
                    <w:tr2bl w:val="nil"/>
                  </w:tcBorders>
                  <w:noWrap w:val="0"/>
                  <w:vAlign w:val="center"/>
                </w:tcPr>
                <w:p w14:paraId="2BC691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SE</w:t>
                  </w:r>
                </w:p>
              </w:tc>
              <w:tc>
                <w:tcPr>
                  <w:tcW w:w="1002" w:type="dxa"/>
                  <w:tcBorders>
                    <w:tl2br w:val="nil"/>
                    <w:tr2bl w:val="nil"/>
                  </w:tcBorders>
                  <w:noWrap w:val="0"/>
                  <w:vAlign w:val="center"/>
                </w:tcPr>
                <w:p w14:paraId="180DC1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460</w:t>
                  </w:r>
                </w:p>
              </w:tc>
              <w:tc>
                <w:tcPr>
                  <w:tcW w:w="1077" w:type="dxa"/>
                  <w:tcBorders>
                    <w:tl2br w:val="nil"/>
                    <w:tr2bl w:val="nil"/>
                  </w:tcBorders>
                  <w:noWrap w:val="0"/>
                  <w:vAlign w:val="center"/>
                </w:tcPr>
                <w:p w14:paraId="4D413F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lang w:val="en-US" w:eastAsia="zh-CN"/>
                    </w:rPr>
                    <w:t>约2000户</w:t>
                  </w:r>
                </w:p>
              </w:tc>
              <w:tc>
                <w:tcPr>
                  <w:tcW w:w="1165" w:type="dxa"/>
                  <w:vMerge w:val="continue"/>
                  <w:tcBorders>
                    <w:tl2br w:val="nil"/>
                    <w:tr2bl w:val="nil"/>
                  </w:tcBorders>
                  <w:noWrap w:val="0"/>
                  <w:vAlign w:val="center"/>
                </w:tcPr>
                <w:p w14:paraId="0F4960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p>
              </w:tc>
            </w:tr>
            <w:tr w14:paraId="171FBB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 w:hRule="atLeast"/>
                <w:jc w:val="center"/>
              </w:trPr>
              <w:tc>
                <w:tcPr>
                  <w:tcW w:w="541" w:type="dxa"/>
                  <w:tcBorders>
                    <w:tl2br w:val="nil"/>
                    <w:tr2bl w:val="nil"/>
                  </w:tcBorders>
                  <w:noWrap w:val="0"/>
                  <w:vAlign w:val="center"/>
                </w:tcPr>
                <w:p w14:paraId="545E67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7#</w:t>
                  </w:r>
                </w:p>
              </w:tc>
              <w:tc>
                <w:tcPr>
                  <w:tcW w:w="1873" w:type="dxa"/>
                  <w:tcBorders>
                    <w:tl2br w:val="nil"/>
                    <w:tr2bl w:val="nil"/>
                  </w:tcBorders>
                  <w:noWrap w:val="0"/>
                  <w:vAlign w:val="center"/>
                </w:tcPr>
                <w:p w14:paraId="1D9DB5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西彭一中</w:t>
                  </w:r>
                </w:p>
              </w:tc>
              <w:tc>
                <w:tcPr>
                  <w:tcW w:w="831" w:type="dxa"/>
                  <w:tcBorders>
                    <w:tl2br w:val="nil"/>
                    <w:tr2bl w:val="nil"/>
                  </w:tcBorders>
                  <w:noWrap w:val="0"/>
                  <w:vAlign w:val="center"/>
                </w:tcPr>
                <w:p w14:paraId="188291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210</w:t>
                  </w:r>
                </w:p>
              </w:tc>
              <w:tc>
                <w:tcPr>
                  <w:tcW w:w="781" w:type="dxa"/>
                  <w:tcBorders>
                    <w:tl2br w:val="nil"/>
                    <w:tr2bl w:val="nil"/>
                  </w:tcBorders>
                  <w:noWrap w:val="0"/>
                  <w:vAlign w:val="center"/>
                </w:tcPr>
                <w:p w14:paraId="5CCC6E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-370</w:t>
                  </w:r>
                </w:p>
              </w:tc>
              <w:tc>
                <w:tcPr>
                  <w:tcW w:w="673" w:type="dxa"/>
                  <w:tcBorders>
                    <w:tl2br w:val="nil"/>
                    <w:tr2bl w:val="nil"/>
                  </w:tcBorders>
                  <w:noWrap w:val="0"/>
                  <w:vAlign w:val="center"/>
                </w:tcPr>
                <w:p w14:paraId="1F47D1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SE</w:t>
                  </w:r>
                </w:p>
              </w:tc>
              <w:tc>
                <w:tcPr>
                  <w:tcW w:w="1002" w:type="dxa"/>
                  <w:tcBorders>
                    <w:tl2br w:val="nil"/>
                    <w:tr2bl w:val="nil"/>
                  </w:tcBorders>
                  <w:noWrap w:val="0"/>
                  <w:vAlign w:val="center"/>
                </w:tcPr>
                <w:p w14:paraId="66970E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480</w:t>
                  </w:r>
                </w:p>
              </w:tc>
              <w:tc>
                <w:tcPr>
                  <w:tcW w:w="1077" w:type="dxa"/>
                  <w:tcBorders>
                    <w:tl2br w:val="nil"/>
                    <w:tr2bl w:val="nil"/>
                  </w:tcBorders>
                  <w:noWrap w:val="0"/>
                  <w:vAlign w:val="center"/>
                </w:tcPr>
                <w:p w14:paraId="6E4AB1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师生约1000人</w:t>
                  </w:r>
                </w:p>
              </w:tc>
              <w:tc>
                <w:tcPr>
                  <w:tcW w:w="1165" w:type="dxa"/>
                  <w:vMerge w:val="continue"/>
                  <w:tcBorders>
                    <w:tl2br w:val="nil"/>
                    <w:tr2bl w:val="nil"/>
                  </w:tcBorders>
                  <w:noWrap w:val="0"/>
                  <w:vAlign w:val="center"/>
                </w:tcPr>
                <w:p w14:paraId="6B4CC6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p>
              </w:tc>
            </w:tr>
            <w:tr w14:paraId="1274FF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 w:hRule="atLeast"/>
                <w:jc w:val="center"/>
              </w:trPr>
              <w:tc>
                <w:tcPr>
                  <w:tcW w:w="541" w:type="dxa"/>
                  <w:tcBorders>
                    <w:tl2br w:val="nil"/>
                    <w:tr2bl w:val="nil"/>
                  </w:tcBorders>
                  <w:noWrap w:val="0"/>
                  <w:vAlign w:val="center"/>
                </w:tcPr>
                <w:p w14:paraId="49E9A0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8#</w:t>
                  </w:r>
                </w:p>
              </w:tc>
              <w:tc>
                <w:tcPr>
                  <w:tcW w:w="1873" w:type="dxa"/>
                  <w:tcBorders>
                    <w:tl2br w:val="nil"/>
                    <w:tr2bl w:val="nil"/>
                  </w:tcBorders>
                  <w:noWrap w:val="0"/>
                  <w:vAlign w:val="center"/>
                </w:tcPr>
                <w:p w14:paraId="5EC103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周边散居居民点</w:t>
                  </w:r>
                </w:p>
              </w:tc>
              <w:tc>
                <w:tcPr>
                  <w:tcW w:w="831" w:type="dxa"/>
                  <w:tcBorders>
                    <w:tl2br w:val="nil"/>
                    <w:tr2bl w:val="nil"/>
                  </w:tcBorders>
                  <w:noWrap w:val="0"/>
                  <w:vAlign w:val="center"/>
                </w:tcPr>
                <w:p w14:paraId="5084A2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0</w:t>
                  </w:r>
                </w:p>
              </w:tc>
              <w:tc>
                <w:tcPr>
                  <w:tcW w:w="781" w:type="dxa"/>
                  <w:tcBorders>
                    <w:tl2br w:val="nil"/>
                    <w:tr2bl w:val="nil"/>
                  </w:tcBorders>
                  <w:noWrap w:val="0"/>
                  <w:vAlign w:val="center"/>
                </w:tcPr>
                <w:p w14:paraId="698D07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-60</w:t>
                  </w:r>
                </w:p>
              </w:tc>
              <w:tc>
                <w:tcPr>
                  <w:tcW w:w="673" w:type="dxa"/>
                  <w:tcBorders>
                    <w:tl2br w:val="nil"/>
                    <w:tr2bl w:val="nil"/>
                  </w:tcBorders>
                  <w:noWrap w:val="0"/>
                  <w:vAlign w:val="center"/>
                </w:tcPr>
                <w:p w14:paraId="16C54D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SE</w:t>
                  </w:r>
                </w:p>
              </w:tc>
              <w:tc>
                <w:tcPr>
                  <w:tcW w:w="1002" w:type="dxa"/>
                  <w:tcBorders>
                    <w:tl2br w:val="nil"/>
                    <w:tr2bl w:val="nil"/>
                  </w:tcBorders>
                  <w:noWrap w:val="0"/>
                  <w:vAlign w:val="center"/>
                </w:tcPr>
                <w:p w14:paraId="0407C9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10</w:t>
                  </w:r>
                </w:p>
              </w:tc>
              <w:tc>
                <w:tcPr>
                  <w:tcW w:w="1077" w:type="dxa"/>
                  <w:tcBorders>
                    <w:tl2br w:val="nil"/>
                    <w:tr2bl w:val="nil"/>
                  </w:tcBorders>
                  <w:noWrap w:val="0"/>
                  <w:vAlign w:val="center"/>
                </w:tcPr>
                <w:p w14:paraId="1A47A9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约50户</w:t>
                  </w:r>
                </w:p>
              </w:tc>
              <w:tc>
                <w:tcPr>
                  <w:tcW w:w="1165" w:type="dxa"/>
                  <w:vMerge w:val="continue"/>
                  <w:tcBorders>
                    <w:tl2br w:val="nil"/>
                    <w:tr2bl w:val="nil"/>
                  </w:tcBorders>
                  <w:noWrap w:val="0"/>
                  <w:vAlign w:val="center"/>
                </w:tcPr>
                <w:p w14:paraId="4DA53C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p>
              </w:tc>
            </w:tr>
            <w:tr w14:paraId="0078AF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 w:hRule="atLeast"/>
                <w:jc w:val="center"/>
              </w:trPr>
              <w:tc>
                <w:tcPr>
                  <w:tcW w:w="541" w:type="dxa"/>
                  <w:tcBorders>
                    <w:tl2br w:val="nil"/>
                    <w:tr2bl w:val="nil"/>
                  </w:tcBorders>
                  <w:noWrap w:val="0"/>
                  <w:vAlign w:val="center"/>
                </w:tcPr>
                <w:p w14:paraId="4B90DC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9#</w:t>
                  </w:r>
                </w:p>
              </w:tc>
              <w:tc>
                <w:tcPr>
                  <w:tcW w:w="1873" w:type="dxa"/>
                  <w:tcBorders>
                    <w:tl2br w:val="nil"/>
                    <w:tr2bl w:val="nil"/>
                  </w:tcBorders>
                  <w:noWrap w:val="0"/>
                  <w:vAlign w:val="center"/>
                </w:tcPr>
                <w:p w14:paraId="67C6E0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周边散居居民点</w:t>
                  </w:r>
                </w:p>
              </w:tc>
              <w:tc>
                <w:tcPr>
                  <w:tcW w:w="831" w:type="dxa"/>
                  <w:tcBorders>
                    <w:tl2br w:val="nil"/>
                    <w:tr2bl w:val="nil"/>
                  </w:tcBorders>
                  <w:noWrap w:val="0"/>
                  <w:vAlign w:val="center"/>
                </w:tcPr>
                <w:p w14:paraId="0C1F50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-500</w:t>
                  </w:r>
                </w:p>
              </w:tc>
              <w:tc>
                <w:tcPr>
                  <w:tcW w:w="781" w:type="dxa"/>
                  <w:tcBorders>
                    <w:tl2br w:val="nil"/>
                    <w:tr2bl w:val="nil"/>
                  </w:tcBorders>
                  <w:noWrap w:val="0"/>
                  <w:vAlign w:val="center"/>
                </w:tcPr>
                <w:p w14:paraId="342A15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-70</w:t>
                  </w:r>
                </w:p>
              </w:tc>
              <w:tc>
                <w:tcPr>
                  <w:tcW w:w="673" w:type="dxa"/>
                  <w:tcBorders>
                    <w:tl2br w:val="nil"/>
                    <w:tr2bl w:val="nil"/>
                  </w:tcBorders>
                  <w:noWrap w:val="0"/>
                  <w:vAlign w:val="center"/>
                </w:tcPr>
                <w:p w14:paraId="18B78F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SW</w:t>
                  </w:r>
                </w:p>
              </w:tc>
              <w:tc>
                <w:tcPr>
                  <w:tcW w:w="1002" w:type="dxa"/>
                  <w:tcBorders>
                    <w:tl2br w:val="nil"/>
                    <w:tr2bl w:val="nil"/>
                  </w:tcBorders>
                  <w:noWrap w:val="0"/>
                  <w:vAlign w:val="center"/>
                </w:tcPr>
                <w:p w14:paraId="59E8DE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340</w:t>
                  </w:r>
                </w:p>
              </w:tc>
              <w:tc>
                <w:tcPr>
                  <w:tcW w:w="1077" w:type="dxa"/>
                  <w:tcBorders>
                    <w:tl2br w:val="nil"/>
                    <w:tr2bl w:val="nil"/>
                  </w:tcBorders>
                  <w:noWrap w:val="0"/>
                  <w:vAlign w:val="center"/>
                </w:tcPr>
                <w:p w14:paraId="4097FF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lang w:val="en-US" w:eastAsia="zh-CN"/>
                    </w:rPr>
                    <w:t>约50户</w:t>
                  </w:r>
                </w:p>
              </w:tc>
              <w:tc>
                <w:tcPr>
                  <w:tcW w:w="1165" w:type="dxa"/>
                  <w:vMerge w:val="continue"/>
                  <w:tcBorders>
                    <w:tl2br w:val="nil"/>
                    <w:tr2bl w:val="nil"/>
                  </w:tcBorders>
                  <w:noWrap w:val="0"/>
                  <w:vAlign w:val="center"/>
                </w:tcPr>
                <w:p w14:paraId="11FC68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p>
              </w:tc>
            </w:tr>
          </w:tbl>
          <w:p w14:paraId="5DC27ECC">
            <w:pPr>
              <w:rPr>
                <w:rFonts w:ascii="Times New Roman" w:hAnsi="Times New Roman"/>
                <w:color w:val="auto"/>
              </w:rPr>
            </w:pPr>
            <w:r>
              <w:rPr>
                <w:rFonts w:ascii="宋体" w:hAnsi="宋体"/>
                <w:color w:val="auto"/>
                <w:kern w:val="0"/>
              </w:rPr>
              <w:t>注：坐标原点为厂区中</w:t>
            </w:r>
            <w:r>
              <w:rPr>
                <w:rFonts w:hint="default" w:ascii="Times New Roman" w:hAnsi="Times New Roman" w:cs="Times New Roman"/>
                <w:color w:val="auto"/>
                <w:kern w:val="0"/>
              </w:rPr>
              <w:t>心位置</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lang w:val="en-US" w:eastAsia="zh-CN"/>
              </w:rPr>
              <w:t>东经</w:t>
            </w:r>
            <w:r>
              <w:rPr>
                <w:rFonts w:hint="default" w:ascii="Times New Roman" w:hAnsi="Times New Roman" w:cs="Times New Roman"/>
                <w:color w:val="auto"/>
                <w:kern w:val="0"/>
                <w:lang w:eastAsia="zh-CN"/>
              </w:rPr>
              <w:t>106.321007</w:t>
            </w:r>
            <w:r>
              <w:rPr>
                <w:rFonts w:hint="default" w:ascii="Times New Roman" w:hAnsi="Times New Roman" w:cs="Times New Roman"/>
                <w:color w:val="auto"/>
                <w:kern w:val="0"/>
                <w:lang w:val="en-US" w:eastAsia="zh-CN"/>
              </w:rPr>
              <w:t>°</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lang w:val="en-US" w:eastAsia="zh-CN"/>
              </w:rPr>
              <w:t>北纬</w:t>
            </w:r>
            <w:r>
              <w:rPr>
                <w:rFonts w:hint="default" w:ascii="Times New Roman" w:hAnsi="Times New Roman" w:cs="Times New Roman"/>
                <w:color w:val="auto"/>
                <w:kern w:val="0"/>
                <w:lang w:eastAsia="zh-CN"/>
              </w:rPr>
              <w:t>29.315830</w:t>
            </w:r>
            <w:r>
              <w:rPr>
                <w:rFonts w:hint="default" w:ascii="Times New Roman" w:hAnsi="Times New Roman" w:cs="Times New Roman"/>
                <w:color w:val="auto"/>
                <w:kern w:val="0"/>
                <w:lang w:val="en-US" w:eastAsia="zh-CN"/>
              </w:rPr>
              <w:t>°</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，东</w:t>
            </w:r>
            <w:r>
              <w:rPr>
                <w:rFonts w:ascii="宋体" w:hAnsi="宋体"/>
                <w:color w:val="auto"/>
                <w:kern w:val="0"/>
              </w:rPr>
              <w:t>西为</w:t>
            </w:r>
            <w:r>
              <w:rPr>
                <w:color w:val="auto"/>
                <w:kern w:val="0"/>
              </w:rPr>
              <w:t>X</w:t>
            </w:r>
            <w:r>
              <w:rPr>
                <w:rFonts w:ascii="宋体" w:hAnsi="宋体"/>
                <w:color w:val="auto"/>
                <w:kern w:val="0"/>
              </w:rPr>
              <w:t>轴，南北为</w:t>
            </w:r>
            <w:r>
              <w:rPr>
                <w:color w:val="auto"/>
                <w:kern w:val="0"/>
              </w:rPr>
              <w:t>Y</w:t>
            </w:r>
            <w:r>
              <w:rPr>
                <w:rFonts w:ascii="宋体" w:hAnsi="宋体"/>
                <w:color w:val="auto"/>
                <w:kern w:val="0"/>
              </w:rPr>
              <w:t>轴。</w:t>
            </w:r>
          </w:p>
          <w:p w14:paraId="3E6F9E2F">
            <w:pPr>
              <w:adjustRightInd w:val="0"/>
              <w:snapToGrid w:val="0"/>
              <w:spacing w:line="460" w:lineRule="exact"/>
              <w:ind w:firstLine="522" w:firstLineChars="200"/>
              <w:jc w:val="left"/>
              <w:rPr>
                <w:rFonts w:ascii="Times New Roman" w:hAnsi="Times New Roman"/>
                <w:b/>
                <w:color w:val="auto"/>
                <w:sz w:val="26"/>
                <w:szCs w:val="26"/>
              </w:rPr>
            </w:pPr>
          </w:p>
          <w:p w14:paraId="3E71A5D0">
            <w:pPr>
              <w:adjustRightInd w:val="0"/>
              <w:snapToGrid w:val="0"/>
              <w:spacing w:line="460" w:lineRule="exact"/>
              <w:jc w:val="left"/>
              <w:rPr>
                <w:rFonts w:ascii="Times New Roman" w:hAnsi="Times New Roman"/>
                <w:b/>
                <w:color w:val="auto"/>
                <w:sz w:val="26"/>
                <w:szCs w:val="26"/>
              </w:rPr>
            </w:pPr>
            <w:r>
              <w:rPr>
                <w:rFonts w:ascii="Times New Roman" w:hAnsi="Times New Roman"/>
                <w:b/>
                <w:color w:val="auto"/>
                <w:sz w:val="26"/>
                <w:szCs w:val="26"/>
              </w:rPr>
              <w:t>3.</w:t>
            </w:r>
            <w:r>
              <w:rPr>
                <w:rFonts w:hint="eastAsia" w:ascii="Times New Roman" w:hAnsi="Times New Roman"/>
                <w:b/>
                <w:color w:val="auto"/>
                <w:sz w:val="26"/>
                <w:szCs w:val="26"/>
                <w:lang w:val="en-US" w:eastAsia="zh-CN"/>
              </w:rPr>
              <w:t>3</w:t>
            </w:r>
            <w:r>
              <w:rPr>
                <w:rFonts w:ascii="Times New Roman" w:hAnsi="Times New Roman"/>
                <w:b/>
                <w:color w:val="auto"/>
                <w:sz w:val="26"/>
                <w:szCs w:val="26"/>
              </w:rPr>
              <w:t>.2声环境</w:t>
            </w:r>
          </w:p>
          <w:p w14:paraId="5BE0B617">
            <w:pPr>
              <w:adjustRightInd w:val="0"/>
              <w:snapToGrid w:val="0"/>
              <w:spacing w:line="460" w:lineRule="exact"/>
              <w:ind w:firstLine="520" w:firstLineChars="200"/>
              <w:jc w:val="left"/>
              <w:rPr>
                <w:rFonts w:ascii="Times New Roman" w:hAnsi="Times New Roman"/>
                <w:bCs/>
                <w:color w:val="auto"/>
                <w:sz w:val="26"/>
                <w:szCs w:val="26"/>
              </w:rPr>
            </w:pPr>
            <w:r>
              <w:rPr>
                <w:rFonts w:hint="eastAsia" w:ascii="Times New Roman" w:hAnsi="Times New Roman"/>
                <w:bCs/>
                <w:color w:val="auto"/>
                <w:sz w:val="26"/>
                <w:szCs w:val="26"/>
              </w:rPr>
              <w:t>本项目厂界外50m范围</w:t>
            </w:r>
            <w:r>
              <w:rPr>
                <w:rFonts w:hint="eastAsia" w:ascii="Times New Roman" w:hAnsi="Times New Roman"/>
                <w:bCs/>
                <w:color w:val="auto"/>
                <w:sz w:val="26"/>
                <w:szCs w:val="26"/>
                <w:lang w:val="en-US" w:eastAsia="zh-CN"/>
              </w:rPr>
              <w:t>主要</w:t>
            </w:r>
            <w:r>
              <w:rPr>
                <w:rFonts w:hint="eastAsia" w:ascii="Times New Roman" w:hAnsi="Times New Roman"/>
                <w:bCs/>
                <w:color w:val="auto"/>
                <w:sz w:val="26"/>
                <w:szCs w:val="26"/>
              </w:rPr>
              <w:t>声环境保护目标</w:t>
            </w:r>
            <w:r>
              <w:rPr>
                <w:rFonts w:hint="eastAsia" w:ascii="Times New Roman" w:hAnsi="Times New Roman"/>
                <w:bCs/>
                <w:color w:val="auto"/>
                <w:sz w:val="26"/>
                <w:szCs w:val="26"/>
                <w:lang w:val="en-US" w:eastAsia="zh-CN"/>
              </w:rPr>
              <w:t>为散居居民点</w:t>
            </w:r>
            <w:r>
              <w:rPr>
                <w:rFonts w:ascii="Times New Roman" w:hAnsi="Times New Roman"/>
                <w:bCs/>
                <w:color w:val="auto"/>
                <w:sz w:val="26"/>
                <w:szCs w:val="26"/>
              </w:rPr>
              <w:t>。</w:t>
            </w:r>
          </w:p>
          <w:p w14:paraId="2ADCD4CF">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ascii="Times New Roman" w:hAnsi="Times New Roman"/>
                <w:b/>
                <w:bCs w:val="0"/>
                <w:color w:val="auto"/>
                <w:sz w:val="26"/>
                <w:szCs w:val="26"/>
              </w:rPr>
            </w:pPr>
            <w:r>
              <w:rPr>
                <w:rFonts w:ascii="Times New Roman" w:hAnsi="Times New Roman"/>
                <w:b/>
                <w:bCs w:val="0"/>
                <w:color w:val="auto"/>
                <w:sz w:val="26"/>
                <w:szCs w:val="26"/>
              </w:rPr>
              <w:t>表3.</w:t>
            </w:r>
            <w:r>
              <w:rPr>
                <w:rFonts w:hint="eastAsia" w:ascii="Times New Roman" w:hAnsi="Times New Roman"/>
                <w:b/>
                <w:bCs w:val="0"/>
                <w:color w:val="auto"/>
                <w:sz w:val="26"/>
                <w:szCs w:val="26"/>
                <w:lang w:val="en-US" w:eastAsia="zh-CN"/>
              </w:rPr>
              <w:t>3</w:t>
            </w:r>
            <w:r>
              <w:rPr>
                <w:rFonts w:ascii="Times New Roman" w:hAnsi="Times New Roman"/>
                <w:b/>
                <w:bCs w:val="0"/>
                <w:color w:val="auto"/>
                <w:sz w:val="26"/>
                <w:szCs w:val="26"/>
              </w:rPr>
              <w:t>-</w:t>
            </w:r>
            <w:r>
              <w:rPr>
                <w:rFonts w:hint="eastAsia" w:ascii="Times New Roman" w:hAnsi="Times New Roman"/>
                <w:b/>
                <w:bCs w:val="0"/>
                <w:color w:val="auto"/>
                <w:sz w:val="26"/>
                <w:szCs w:val="26"/>
                <w:lang w:val="en-US" w:eastAsia="zh-CN"/>
              </w:rPr>
              <w:t>2</w:t>
            </w:r>
            <w:r>
              <w:rPr>
                <w:rFonts w:ascii="Times New Roman" w:hAnsi="Times New Roman"/>
                <w:b/>
                <w:bCs w:val="0"/>
                <w:color w:val="auto"/>
                <w:sz w:val="26"/>
                <w:szCs w:val="26"/>
              </w:rPr>
              <w:t xml:space="preserve"> </w:t>
            </w:r>
            <w:r>
              <w:rPr>
                <w:rFonts w:hint="eastAsia" w:ascii="Times New Roman" w:hAnsi="Times New Roman"/>
                <w:b/>
                <w:bCs w:val="0"/>
                <w:color w:val="auto"/>
                <w:sz w:val="26"/>
                <w:szCs w:val="26"/>
                <w:lang w:val="en-US" w:eastAsia="zh-CN"/>
              </w:rPr>
              <w:t xml:space="preserve"> 本</w:t>
            </w:r>
            <w:r>
              <w:rPr>
                <w:rFonts w:ascii="Times New Roman" w:hAnsi="Times New Roman"/>
                <w:b/>
                <w:bCs w:val="0"/>
                <w:color w:val="auto"/>
                <w:sz w:val="26"/>
                <w:szCs w:val="26"/>
              </w:rPr>
              <w:t>项目主要</w:t>
            </w:r>
            <w:r>
              <w:rPr>
                <w:rFonts w:hint="eastAsia" w:ascii="Times New Roman" w:hAnsi="Times New Roman"/>
                <w:b/>
                <w:bCs w:val="0"/>
                <w:color w:val="auto"/>
                <w:sz w:val="26"/>
                <w:szCs w:val="26"/>
                <w:lang w:val="en-US" w:eastAsia="zh-CN"/>
              </w:rPr>
              <w:t>声</w:t>
            </w:r>
            <w:r>
              <w:rPr>
                <w:rFonts w:ascii="Times New Roman" w:hAnsi="Times New Roman"/>
                <w:b/>
                <w:bCs w:val="0"/>
                <w:color w:val="auto"/>
                <w:sz w:val="26"/>
                <w:szCs w:val="26"/>
              </w:rPr>
              <w:t>环境保护目标分布一览表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04"/>
              <w:gridCol w:w="1928"/>
              <w:gridCol w:w="1061"/>
              <w:gridCol w:w="2176"/>
              <w:gridCol w:w="1937"/>
            </w:tblGrid>
            <w:tr w14:paraId="03514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17" w:type="dxa"/>
                  <w:vMerge w:val="restart"/>
                  <w:tcBorders>
                    <w:tl2br w:val="nil"/>
                    <w:tr2bl w:val="nil"/>
                  </w:tcBorders>
                  <w:noWrap w:val="0"/>
                  <w:vAlign w:val="center"/>
                </w:tcPr>
                <w:p w14:paraId="1144630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2"/>
                      <w:szCs w:val="22"/>
                    </w:rPr>
                  </w:pPr>
                  <w:r>
                    <w:rPr>
                      <w:rFonts w:ascii="Times New Roman" w:hAnsi="Times New Roman" w:eastAsia="宋体" w:cs="Times New Roman"/>
                      <w:color w:val="auto"/>
                      <w:sz w:val="22"/>
                      <w:szCs w:val="22"/>
                    </w:rPr>
                    <w:t>序号</w:t>
                  </w:r>
                </w:p>
              </w:tc>
              <w:tc>
                <w:tcPr>
                  <w:tcW w:w="1973" w:type="dxa"/>
                  <w:vMerge w:val="restart"/>
                  <w:tcBorders>
                    <w:tl2br w:val="nil"/>
                    <w:tr2bl w:val="nil"/>
                  </w:tcBorders>
                  <w:noWrap w:val="0"/>
                  <w:vAlign w:val="center"/>
                </w:tcPr>
                <w:p w14:paraId="6C1A4CF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2"/>
                      <w:szCs w:val="22"/>
                    </w:rPr>
                  </w:pPr>
                  <w:r>
                    <w:rPr>
                      <w:rFonts w:ascii="Times New Roman" w:hAnsi="Times New Roman" w:eastAsia="宋体" w:cs="Times New Roman"/>
                      <w:color w:val="auto"/>
                      <w:sz w:val="22"/>
                      <w:szCs w:val="22"/>
                    </w:rPr>
                    <w:t>环境保护目标名称</w:t>
                  </w:r>
                </w:p>
              </w:tc>
              <w:tc>
                <w:tcPr>
                  <w:tcW w:w="1085" w:type="dxa"/>
                  <w:vMerge w:val="restart"/>
                  <w:tcBorders>
                    <w:tl2br w:val="nil"/>
                    <w:tr2bl w:val="nil"/>
                  </w:tcBorders>
                  <w:noWrap w:val="0"/>
                  <w:vAlign w:val="center"/>
                </w:tcPr>
                <w:p w14:paraId="4E6F03E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2"/>
                      <w:szCs w:val="22"/>
                    </w:rPr>
                  </w:pPr>
                  <w:r>
                    <w:rPr>
                      <w:rFonts w:ascii="Times New Roman" w:hAnsi="Times New Roman" w:eastAsia="宋体" w:cs="Times New Roman"/>
                      <w:color w:val="auto"/>
                      <w:sz w:val="22"/>
                      <w:szCs w:val="22"/>
                    </w:rPr>
                    <w:t>相对方位</w:t>
                  </w:r>
                </w:p>
              </w:tc>
              <w:tc>
                <w:tcPr>
                  <w:tcW w:w="2227" w:type="dxa"/>
                  <w:vMerge w:val="restart"/>
                  <w:tcBorders>
                    <w:tl2br w:val="nil"/>
                    <w:tr2bl w:val="nil"/>
                  </w:tcBorders>
                  <w:noWrap w:val="0"/>
                  <w:vAlign w:val="center"/>
                </w:tcPr>
                <w:p w14:paraId="5A7DF4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sz w:val="22"/>
                      <w:szCs w:val="22"/>
                    </w:rPr>
                  </w:pPr>
                  <w:r>
                    <w:rPr>
                      <w:rFonts w:ascii="Times New Roman" w:hAnsi="Times New Roman" w:eastAsia="宋体" w:cs="Times New Roman"/>
                      <w:color w:val="auto"/>
                      <w:sz w:val="22"/>
                      <w:szCs w:val="22"/>
                    </w:rPr>
                    <w:t>与厂界最近距离（m）</w:t>
                  </w:r>
                </w:p>
              </w:tc>
              <w:tc>
                <w:tcPr>
                  <w:tcW w:w="1982" w:type="dxa"/>
                  <w:vMerge w:val="restart"/>
                  <w:tcBorders>
                    <w:tl2br w:val="nil"/>
                    <w:tr2bl w:val="nil"/>
                  </w:tcBorders>
                  <w:noWrap w:val="0"/>
                  <w:vAlign w:val="center"/>
                </w:tcPr>
                <w:p w14:paraId="298676F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2"/>
                      <w:szCs w:val="22"/>
                    </w:rPr>
                  </w:pPr>
                  <w:r>
                    <w:rPr>
                      <w:rFonts w:ascii="Times New Roman" w:hAnsi="Times New Roman" w:eastAsia="宋体" w:cs="Times New Roman"/>
                      <w:color w:val="auto"/>
                      <w:sz w:val="22"/>
                      <w:szCs w:val="22"/>
                    </w:rPr>
                    <w:t>环境保护目标特征</w:t>
                  </w:r>
                </w:p>
              </w:tc>
            </w:tr>
            <w:tr w14:paraId="1EE462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17" w:type="dxa"/>
                  <w:vMerge w:val="continue"/>
                  <w:tcBorders>
                    <w:tl2br w:val="nil"/>
                    <w:tr2bl w:val="nil"/>
                  </w:tcBorders>
                  <w:noWrap w:val="0"/>
                  <w:vAlign w:val="center"/>
                </w:tcPr>
                <w:p w14:paraId="3BC4564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2"/>
                      <w:szCs w:val="22"/>
                    </w:rPr>
                  </w:pPr>
                </w:p>
              </w:tc>
              <w:tc>
                <w:tcPr>
                  <w:tcW w:w="1973" w:type="dxa"/>
                  <w:vMerge w:val="continue"/>
                  <w:tcBorders>
                    <w:tl2br w:val="nil"/>
                    <w:tr2bl w:val="nil"/>
                  </w:tcBorders>
                  <w:noWrap w:val="0"/>
                  <w:vAlign w:val="center"/>
                </w:tcPr>
                <w:p w14:paraId="0568F60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2"/>
                      <w:szCs w:val="22"/>
                    </w:rPr>
                  </w:pPr>
                </w:p>
              </w:tc>
              <w:tc>
                <w:tcPr>
                  <w:tcW w:w="1085" w:type="dxa"/>
                  <w:vMerge w:val="continue"/>
                  <w:tcBorders>
                    <w:tl2br w:val="nil"/>
                    <w:tr2bl w:val="nil"/>
                  </w:tcBorders>
                  <w:noWrap w:val="0"/>
                  <w:vAlign w:val="center"/>
                </w:tcPr>
                <w:p w14:paraId="19D6588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2"/>
                      <w:szCs w:val="22"/>
                    </w:rPr>
                  </w:pPr>
                </w:p>
              </w:tc>
              <w:tc>
                <w:tcPr>
                  <w:tcW w:w="2227" w:type="dxa"/>
                  <w:vMerge w:val="continue"/>
                  <w:tcBorders>
                    <w:tl2br w:val="nil"/>
                    <w:tr2bl w:val="nil"/>
                  </w:tcBorders>
                  <w:noWrap w:val="0"/>
                  <w:vAlign w:val="center"/>
                </w:tcPr>
                <w:p w14:paraId="44EBA20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2"/>
                      <w:szCs w:val="22"/>
                    </w:rPr>
                  </w:pPr>
                </w:p>
              </w:tc>
              <w:tc>
                <w:tcPr>
                  <w:tcW w:w="1982" w:type="dxa"/>
                  <w:vMerge w:val="continue"/>
                  <w:tcBorders>
                    <w:tl2br w:val="nil"/>
                    <w:tr2bl w:val="nil"/>
                  </w:tcBorders>
                  <w:noWrap w:val="0"/>
                  <w:vAlign w:val="center"/>
                </w:tcPr>
                <w:p w14:paraId="758BDAF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ascii="Times New Roman" w:hAnsi="Times New Roman" w:eastAsia="宋体" w:cs="Times New Roman"/>
                      <w:color w:val="auto"/>
                      <w:sz w:val="22"/>
                      <w:szCs w:val="22"/>
                    </w:rPr>
                  </w:pPr>
                </w:p>
              </w:tc>
            </w:tr>
            <w:tr w14:paraId="062000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 w:hRule="atLeast"/>
                <w:jc w:val="center"/>
              </w:trPr>
              <w:tc>
                <w:tcPr>
                  <w:tcW w:w="617" w:type="dxa"/>
                  <w:tcBorders>
                    <w:tl2br w:val="nil"/>
                    <w:tr2bl w:val="nil"/>
                  </w:tcBorders>
                  <w:noWrap w:val="0"/>
                  <w:vAlign w:val="center"/>
                </w:tcPr>
                <w:p w14:paraId="26C4F09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w:t>
                  </w:r>
                </w:p>
              </w:tc>
              <w:tc>
                <w:tcPr>
                  <w:tcW w:w="1973" w:type="dxa"/>
                  <w:tcBorders>
                    <w:tl2br w:val="nil"/>
                    <w:tr2bl w:val="nil"/>
                  </w:tcBorders>
                  <w:noWrap w:val="0"/>
                  <w:vAlign w:val="center"/>
                </w:tcPr>
                <w:p w14:paraId="1FA54F7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周边散居居民点</w:t>
                  </w:r>
                </w:p>
              </w:tc>
              <w:tc>
                <w:tcPr>
                  <w:tcW w:w="1085" w:type="dxa"/>
                  <w:tcBorders>
                    <w:tl2br w:val="nil"/>
                    <w:tr2bl w:val="nil"/>
                  </w:tcBorders>
                  <w:noWrap w:val="0"/>
                  <w:vAlign w:val="center"/>
                </w:tcPr>
                <w:p w14:paraId="028E08A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SE</w:t>
                  </w:r>
                </w:p>
              </w:tc>
              <w:tc>
                <w:tcPr>
                  <w:tcW w:w="2227" w:type="dxa"/>
                  <w:tcBorders>
                    <w:tl2br w:val="nil"/>
                    <w:tr2bl w:val="nil"/>
                  </w:tcBorders>
                  <w:noWrap w:val="0"/>
                  <w:vAlign w:val="center"/>
                </w:tcPr>
                <w:p w14:paraId="42FEB91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10</w:t>
                  </w:r>
                </w:p>
              </w:tc>
              <w:tc>
                <w:tcPr>
                  <w:tcW w:w="1982" w:type="dxa"/>
                  <w:tcBorders>
                    <w:tl2br w:val="nil"/>
                    <w:tr2bl w:val="nil"/>
                  </w:tcBorders>
                  <w:noWrap w:val="0"/>
                  <w:vAlign w:val="center"/>
                </w:tcPr>
                <w:p w14:paraId="6D1DDD2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约20户</w:t>
                  </w:r>
                </w:p>
              </w:tc>
            </w:tr>
          </w:tbl>
          <w:p w14:paraId="0B000B89">
            <w:pPr>
              <w:keepNext w:val="0"/>
              <w:keepLines w:val="0"/>
              <w:pageBreakBefore w:val="0"/>
              <w:widowControl w:val="0"/>
              <w:kinsoku/>
              <w:wordWrap/>
              <w:overflowPunct/>
              <w:topLinePunct w:val="0"/>
              <w:autoSpaceDE/>
              <w:autoSpaceDN/>
              <w:bidi w:val="0"/>
              <w:adjustRightInd/>
              <w:snapToGrid/>
              <w:spacing w:line="460" w:lineRule="exact"/>
              <w:ind w:firstLine="522" w:firstLineChars="200"/>
              <w:jc w:val="both"/>
              <w:textAlignment w:val="auto"/>
              <w:rPr>
                <w:rFonts w:ascii="Times New Roman" w:hAnsi="Times New Roman"/>
                <w:b/>
                <w:color w:val="auto"/>
                <w:sz w:val="26"/>
                <w:szCs w:val="26"/>
              </w:rPr>
            </w:pPr>
          </w:p>
          <w:p w14:paraId="402E41E1">
            <w:pPr>
              <w:adjustRightInd w:val="0"/>
              <w:snapToGrid w:val="0"/>
              <w:spacing w:line="460" w:lineRule="exact"/>
              <w:jc w:val="left"/>
              <w:rPr>
                <w:rFonts w:ascii="Times New Roman" w:hAnsi="Times New Roman"/>
                <w:b/>
                <w:color w:val="auto"/>
                <w:sz w:val="26"/>
                <w:szCs w:val="26"/>
              </w:rPr>
            </w:pPr>
            <w:r>
              <w:rPr>
                <w:rFonts w:ascii="Times New Roman" w:hAnsi="Times New Roman"/>
                <w:b/>
                <w:color w:val="auto"/>
                <w:sz w:val="26"/>
                <w:szCs w:val="26"/>
              </w:rPr>
              <w:t>3.</w:t>
            </w:r>
            <w:r>
              <w:rPr>
                <w:rFonts w:hint="eastAsia" w:ascii="Times New Roman" w:hAnsi="Times New Roman"/>
                <w:b/>
                <w:color w:val="auto"/>
                <w:sz w:val="26"/>
                <w:szCs w:val="26"/>
                <w:lang w:val="en-US" w:eastAsia="zh-CN"/>
              </w:rPr>
              <w:t>3</w:t>
            </w:r>
            <w:r>
              <w:rPr>
                <w:rFonts w:ascii="Times New Roman" w:hAnsi="Times New Roman"/>
                <w:b/>
                <w:color w:val="auto"/>
                <w:sz w:val="26"/>
                <w:szCs w:val="26"/>
              </w:rPr>
              <w:t>.3地下水环境</w:t>
            </w:r>
          </w:p>
          <w:p w14:paraId="08E9CA49">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Times New Roman" w:hAnsi="Times New Roman" w:eastAsia="宋体" w:cs="Times New Roman"/>
                <w:color w:val="auto"/>
                <w:sz w:val="26"/>
                <w:szCs w:val="26"/>
              </w:rPr>
            </w:pPr>
            <w:r>
              <w:rPr>
                <w:rFonts w:hint="eastAsia" w:ascii="Times New Roman" w:hAnsi="Times New Roman"/>
                <w:bCs/>
                <w:color w:val="auto"/>
                <w:sz w:val="26"/>
                <w:szCs w:val="26"/>
                <w:lang w:val="en-US" w:eastAsia="zh-CN"/>
              </w:rPr>
              <w:t>本项目</w:t>
            </w:r>
            <w:r>
              <w:rPr>
                <w:rFonts w:ascii="Times New Roman" w:hAnsi="Times New Roman"/>
                <w:bCs/>
                <w:color w:val="auto"/>
                <w:sz w:val="26"/>
                <w:szCs w:val="26"/>
              </w:rPr>
              <w:t>厂界外500m范围内的无地</w:t>
            </w:r>
            <w:r>
              <w:rPr>
                <w:rFonts w:hint="eastAsia" w:ascii="Times New Roman" w:hAnsi="Times New Roman"/>
                <w:bCs/>
                <w:color w:val="auto"/>
                <w:sz w:val="26"/>
                <w:szCs w:val="26"/>
              </w:rPr>
              <w:t>下</w:t>
            </w:r>
            <w:r>
              <w:rPr>
                <w:rFonts w:ascii="Times New Roman" w:hAnsi="Times New Roman"/>
                <w:bCs/>
                <w:color w:val="auto"/>
                <w:sz w:val="26"/>
                <w:szCs w:val="26"/>
              </w:rPr>
              <w:t>水集中式饮用水源和热水、矿泉水、温泉等特殊地下水资源。</w:t>
            </w:r>
          </w:p>
        </w:tc>
      </w:tr>
      <w:tr w14:paraId="2E631E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Borders>
              <w:tl2br w:val="nil"/>
              <w:tr2bl w:val="nil"/>
            </w:tcBorders>
            <w:noWrap w:val="0"/>
            <w:vAlign w:val="center"/>
          </w:tcPr>
          <w:p w14:paraId="1C1A2EBB">
            <w:pPr>
              <w:adjustRightInd w:val="0"/>
              <w:snapToGrid w:val="0"/>
              <w:jc w:val="center"/>
              <w:rPr>
                <w:rFonts w:hint="default" w:ascii="Times New Roman" w:hAnsi="Times New Roman" w:cs="Times New Roman"/>
                <w:color w:val="auto"/>
                <w:kern w:val="0"/>
                <w:sz w:val="26"/>
                <w:szCs w:val="26"/>
              </w:rPr>
            </w:pPr>
            <w:r>
              <w:rPr>
                <w:rFonts w:hint="default" w:ascii="Times New Roman" w:hAnsi="Times New Roman" w:cs="Times New Roman"/>
                <w:color w:val="auto"/>
                <w:kern w:val="0"/>
                <w:sz w:val="26"/>
                <w:szCs w:val="26"/>
              </w:rPr>
              <w:t>污染</w:t>
            </w:r>
          </w:p>
          <w:p w14:paraId="2AA37BAB">
            <w:pPr>
              <w:adjustRightInd w:val="0"/>
              <w:snapToGrid w:val="0"/>
              <w:jc w:val="center"/>
              <w:rPr>
                <w:rFonts w:hint="default" w:ascii="Times New Roman" w:hAnsi="Times New Roman" w:cs="Times New Roman"/>
                <w:color w:val="auto"/>
                <w:kern w:val="0"/>
                <w:sz w:val="26"/>
                <w:szCs w:val="26"/>
              </w:rPr>
            </w:pPr>
            <w:r>
              <w:rPr>
                <w:rFonts w:hint="default" w:ascii="Times New Roman" w:hAnsi="Times New Roman" w:cs="Times New Roman"/>
                <w:color w:val="auto"/>
                <w:kern w:val="0"/>
                <w:sz w:val="26"/>
                <w:szCs w:val="26"/>
              </w:rPr>
              <w:t>物排</w:t>
            </w:r>
          </w:p>
          <w:p w14:paraId="36D0D567">
            <w:pPr>
              <w:adjustRightInd w:val="0"/>
              <w:snapToGrid w:val="0"/>
              <w:jc w:val="center"/>
              <w:rPr>
                <w:rFonts w:hint="default" w:ascii="Times New Roman" w:hAnsi="Times New Roman" w:cs="Times New Roman"/>
                <w:color w:val="auto"/>
                <w:kern w:val="0"/>
                <w:sz w:val="26"/>
                <w:szCs w:val="26"/>
              </w:rPr>
            </w:pPr>
            <w:r>
              <w:rPr>
                <w:rFonts w:hint="default" w:ascii="Times New Roman" w:hAnsi="Times New Roman" w:cs="Times New Roman"/>
                <w:color w:val="auto"/>
                <w:kern w:val="0"/>
                <w:sz w:val="26"/>
                <w:szCs w:val="26"/>
              </w:rPr>
              <w:t>放控</w:t>
            </w:r>
          </w:p>
          <w:p w14:paraId="24963334">
            <w:pPr>
              <w:adjustRightInd w:val="0"/>
              <w:snapToGrid w:val="0"/>
              <w:jc w:val="center"/>
              <w:rPr>
                <w:rFonts w:hint="default" w:ascii="Times New Roman" w:hAnsi="Times New Roman" w:cs="Times New Roman"/>
                <w:color w:val="auto"/>
                <w:kern w:val="0"/>
                <w:sz w:val="26"/>
                <w:szCs w:val="26"/>
              </w:rPr>
            </w:pPr>
            <w:r>
              <w:rPr>
                <w:rFonts w:hint="default" w:ascii="Times New Roman" w:hAnsi="Times New Roman" w:cs="Times New Roman"/>
                <w:color w:val="auto"/>
                <w:kern w:val="0"/>
                <w:sz w:val="26"/>
                <w:szCs w:val="26"/>
              </w:rPr>
              <w:t>制标</w:t>
            </w:r>
          </w:p>
          <w:p w14:paraId="12A976D7">
            <w:pPr>
              <w:adjustRightInd w:val="0"/>
              <w:snapToGrid w:val="0"/>
              <w:jc w:val="center"/>
              <w:rPr>
                <w:rFonts w:hint="default" w:ascii="Times New Roman" w:hAnsi="Times New Roman" w:cs="Times New Roman"/>
                <w:color w:val="auto"/>
                <w:kern w:val="0"/>
                <w:sz w:val="26"/>
                <w:szCs w:val="26"/>
              </w:rPr>
            </w:pPr>
            <w:r>
              <w:rPr>
                <w:rFonts w:hint="default" w:ascii="Times New Roman" w:hAnsi="Times New Roman" w:cs="Times New Roman"/>
                <w:color w:val="auto"/>
                <w:kern w:val="0"/>
                <w:sz w:val="26"/>
                <w:szCs w:val="26"/>
              </w:rPr>
              <w:t>准</w:t>
            </w:r>
          </w:p>
        </w:tc>
        <w:tc>
          <w:tcPr>
            <w:tcW w:w="8190" w:type="dxa"/>
            <w:tcBorders>
              <w:tl2br w:val="nil"/>
              <w:tr2bl w:val="nil"/>
            </w:tcBorders>
            <w:noWrap w:val="0"/>
            <w:vAlign w:val="center"/>
          </w:tcPr>
          <w:p w14:paraId="06708159">
            <w:pPr>
              <w:adjustRightInd w:val="0"/>
              <w:snapToGrid w:val="0"/>
              <w:spacing w:line="460" w:lineRule="exact"/>
              <w:jc w:val="left"/>
              <w:rPr>
                <w:rFonts w:ascii="Times New Roman" w:hAnsi="Times New Roman"/>
                <w:b/>
                <w:bCs/>
                <w:color w:val="auto"/>
                <w:sz w:val="26"/>
                <w:szCs w:val="26"/>
              </w:rPr>
            </w:pPr>
            <w:r>
              <w:rPr>
                <w:rFonts w:ascii="Times New Roman" w:hAnsi="Times New Roman"/>
                <w:b/>
                <w:bCs/>
                <w:color w:val="auto"/>
                <w:sz w:val="26"/>
                <w:szCs w:val="26"/>
              </w:rPr>
              <w:t>3.</w:t>
            </w:r>
            <w:r>
              <w:rPr>
                <w:rFonts w:hint="eastAsia" w:ascii="Times New Roman" w:hAnsi="Times New Roman"/>
                <w:b/>
                <w:bCs/>
                <w:color w:val="auto"/>
                <w:sz w:val="26"/>
                <w:szCs w:val="26"/>
                <w:lang w:val="en-US" w:eastAsia="zh-CN"/>
              </w:rPr>
              <w:t>4</w:t>
            </w:r>
            <w:r>
              <w:rPr>
                <w:rFonts w:ascii="Times New Roman" w:hAnsi="Times New Roman"/>
                <w:b/>
                <w:bCs/>
                <w:color w:val="auto"/>
                <w:sz w:val="26"/>
                <w:szCs w:val="26"/>
              </w:rPr>
              <w:t>污染物排放控制标准</w:t>
            </w:r>
          </w:p>
          <w:p w14:paraId="10BA24E2">
            <w:pPr>
              <w:adjustRightInd w:val="0"/>
              <w:snapToGrid w:val="0"/>
              <w:spacing w:line="460" w:lineRule="exact"/>
              <w:ind w:firstLine="520" w:firstLineChars="200"/>
              <w:jc w:val="left"/>
              <w:rPr>
                <w:rFonts w:hint="eastAsia" w:ascii="Times New Roman" w:hAnsi="Times New Roman"/>
                <w:bCs/>
                <w:color w:val="auto"/>
                <w:sz w:val="26"/>
                <w:szCs w:val="26"/>
              </w:rPr>
            </w:pPr>
            <w:r>
              <w:rPr>
                <w:rFonts w:hint="eastAsia" w:ascii="Times New Roman" w:hAnsi="Times New Roman"/>
                <w:bCs/>
                <w:color w:val="auto"/>
                <w:sz w:val="26"/>
                <w:szCs w:val="26"/>
              </w:rPr>
              <w:t>（1）废气</w:t>
            </w:r>
          </w:p>
          <w:p w14:paraId="0D1BB44E">
            <w:pPr>
              <w:adjustRightInd w:val="0"/>
              <w:snapToGrid w:val="0"/>
              <w:spacing w:line="460" w:lineRule="exact"/>
              <w:ind w:firstLine="520" w:firstLineChars="200"/>
              <w:jc w:val="both"/>
              <w:rPr>
                <w:rFonts w:hint="default" w:ascii="Times New Roman" w:hAnsi="Times New Roman"/>
                <w:bCs/>
                <w:color w:val="auto"/>
                <w:sz w:val="26"/>
                <w:szCs w:val="26"/>
                <w:lang w:val="en-US" w:eastAsia="zh-CN"/>
              </w:rPr>
            </w:pPr>
            <w:r>
              <w:rPr>
                <w:rFonts w:hint="eastAsia" w:ascii="Times New Roman" w:hAnsi="Times New Roman"/>
                <w:bCs/>
                <w:color w:val="auto"/>
                <w:sz w:val="26"/>
                <w:szCs w:val="26"/>
                <w:lang w:val="en-US" w:eastAsia="zh-CN"/>
              </w:rPr>
              <w:t>本项目2个25吨熔炼炉废气和1个16吨熔炼炉废气收集后一并采用1#“旋风+布袋除尘器”处理后，依托现有21m高DA002排气筒排放；2台均质炉废气经现有15m高DA004排气筒排放；铝回收装置废气经3#“重力沉降+低压脉冲袋式除尘器”处理后，由1根20m高DA003排气筒排放。</w:t>
            </w:r>
          </w:p>
          <w:p w14:paraId="01D6FF9F">
            <w:pPr>
              <w:adjustRightInd w:val="0"/>
              <w:snapToGrid w:val="0"/>
              <w:spacing w:line="460" w:lineRule="exact"/>
              <w:ind w:firstLine="520" w:firstLineChars="200"/>
              <w:jc w:val="both"/>
              <w:rPr>
                <w:rFonts w:hint="eastAsia" w:ascii="Times New Roman" w:hAnsi="Times New Roman"/>
                <w:bCs/>
                <w:color w:val="auto"/>
                <w:sz w:val="26"/>
                <w:szCs w:val="26"/>
                <w:lang w:val="en-US" w:eastAsia="zh-CN"/>
              </w:rPr>
            </w:pPr>
            <w:r>
              <w:rPr>
                <w:rFonts w:hint="eastAsia" w:ascii="Times New Roman" w:hAnsi="Times New Roman"/>
                <w:bCs/>
                <w:color w:val="auto"/>
                <w:sz w:val="26"/>
                <w:szCs w:val="26"/>
                <w:lang w:val="en-US" w:eastAsia="zh-CN"/>
              </w:rPr>
              <w:t>根据《铸造工业大气污染物排放标准》（GB 39726-2020），“新建企业自2021年1 月1日起，现有企业自2023年7月1日起，其大气污染物排放控制按照本标准的规定执行，不再执行《工业炉窑大气污染物排放标准》（GB 9078-1996）、《大气污染物综合排放标准》（GB 16297-1996）中的相关规定”。故本项目熔炼、均质、炒灰产生的废气优先执行《铸造工业大气污染物排放标准》（GB 39726-2020）中相关要求，《铸造工业大气污染物排放标准》（GB 39726-2020）未规定的因子，执行《工业炉窑大气污染物排放标准》（</w:t>
            </w:r>
            <w:r>
              <w:rPr>
                <w:rFonts w:hint="default" w:ascii="Times New Roman" w:hAnsi="Times New Roman"/>
                <w:bCs/>
                <w:color w:val="auto"/>
                <w:sz w:val="26"/>
                <w:szCs w:val="26"/>
                <w:lang w:val="en-US" w:eastAsia="zh-CN"/>
              </w:rPr>
              <w:t>DB 50/659-2016</w:t>
            </w:r>
            <w:r>
              <w:rPr>
                <w:rFonts w:hint="eastAsia" w:ascii="Times New Roman" w:hAnsi="Times New Roman"/>
                <w:bCs/>
                <w:color w:val="auto"/>
                <w:sz w:val="26"/>
                <w:szCs w:val="26"/>
                <w:lang w:val="en-US" w:eastAsia="zh-CN"/>
              </w:rPr>
              <w:t>）、《大气污染物综合排放标准》（</w:t>
            </w:r>
            <w:r>
              <w:rPr>
                <w:rFonts w:hint="default" w:ascii="Times New Roman" w:hAnsi="Times New Roman"/>
                <w:bCs/>
                <w:color w:val="auto"/>
                <w:sz w:val="26"/>
                <w:szCs w:val="26"/>
                <w:lang w:val="en-US" w:eastAsia="zh-CN"/>
              </w:rPr>
              <w:t>DB50/418-2016</w:t>
            </w:r>
            <w:r>
              <w:rPr>
                <w:rFonts w:hint="eastAsia" w:ascii="Times New Roman" w:hAnsi="Times New Roman"/>
                <w:bCs/>
                <w:color w:val="auto"/>
                <w:sz w:val="26"/>
                <w:szCs w:val="26"/>
                <w:lang w:val="en-US" w:eastAsia="zh-CN"/>
              </w:rPr>
              <w:t>）相关要求。</w:t>
            </w:r>
          </w:p>
          <w:p w14:paraId="57259B99">
            <w:pPr>
              <w:adjustRightInd w:val="0"/>
              <w:snapToGrid w:val="0"/>
              <w:spacing w:line="460" w:lineRule="exact"/>
              <w:ind w:firstLine="520" w:firstLineChars="200"/>
              <w:jc w:val="both"/>
              <w:rPr>
                <w:rFonts w:hint="eastAsia" w:ascii="Times New Roman" w:hAnsi="Times New Roman"/>
                <w:bCs/>
                <w:color w:val="auto"/>
                <w:sz w:val="26"/>
                <w:szCs w:val="26"/>
                <w:lang w:val="en-US" w:eastAsia="zh-CN"/>
              </w:rPr>
            </w:pPr>
            <w:r>
              <w:rPr>
                <w:rFonts w:hint="eastAsia" w:ascii="Times New Roman" w:hAnsi="Times New Roman"/>
                <w:bCs/>
                <w:color w:val="auto"/>
                <w:sz w:val="26"/>
                <w:szCs w:val="26"/>
                <w:lang w:val="en-US" w:eastAsia="zh-CN"/>
              </w:rPr>
              <w:t>各熔炼炉产生的有组织排放的颗粒物执行《铸造工业大气污染物排放标准》（GB 39726-2020），各熔炼炉有组织排放的</w:t>
            </w:r>
            <w:r>
              <w:rPr>
                <w:rFonts w:hint="default" w:ascii="Times New Roman" w:hAnsi="Times New Roman"/>
                <w:bCs/>
                <w:color w:val="auto"/>
                <w:sz w:val="26"/>
                <w:szCs w:val="26"/>
                <w:lang w:val="en-US" w:eastAsia="zh-CN"/>
              </w:rPr>
              <w:t>SO</w:t>
            </w:r>
            <w:r>
              <w:rPr>
                <w:rFonts w:hint="default" w:ascii="Times New Roman" w:hAnsi="Times New Roman"/>
                <w:bCs/>
                <w:color w:val="auto"/>
                <w:sz w:val="26"/>
                <w:szCs w:val="26"/>
                <w:vertAlign w:val="subscript"/>
                <w:lang w:val="en-US" w:eastAsia="zh-CN"/>
              </w:rPr>
              <w:t>2</w:t>
            </w:r>
            <w:r>
              <w:rPr>
                <w:rFonts w:hint="eastAsia" w:ascii="Times New Roman" w:hAnsi="Times New Roman"/>
                <w:bCs/>
                <w:color w:val="auto"/>
                <w:sz w:val="26"/>
                <w:szCs w:val="26"/>
                <w:lang w:val="en-US" w:eastAsia="zh-CN"/>
              </w:rPr>
              <w:t>、</w:t>
            </w:r>
            <w:r>
              <w:rPr>
                <w:rFonts w:hint="default" w:ascii="Times New Roman" w:hAnsi="Times New Roman"/>
                <w:bCs/>
                <w:color w:val="auto"/>
                <w:sz w:val="26"/>
                <w:szCs w:val="26"/>
                <w:lang w:val="en-US" w:eastAsia="zh-CN"/>
              </w:rPr>
              <w:t>NO</w:t>
            </w:r>
            <w:r>
              <w:rPr>
                <w:rFonts w:hint="default" w:ascii="Times New Roman" w:hAnsi="Times New Roman"/>
                <w:bCs/>
                <w:color w:val="auto"/>
                <w:sz w:val="26"/>
                <w:szCs w:val="26"/>
                <w:vertAlign w:val="subscript"/>
                <w:lang w:val="en-US" w:eastAsia="zh-CN"/>
              </w:rPr>
              <w:t>X</w:t>
            </w:r>
            <w:r>
              <w:rPr>
                <w:rFonts w:hint="eastAsia" w:ascii="Times New Roman" w:hAnsi="Times New Roman"/>
                <w:bCs/>
                <w:color w:val="auto"/>
                <w:sz w:val="26"/>
                <w:szCs w:val="26"/>
                <w:lang w:val="en-US" w:eastAsia="zh-CN"/>
              </w:rPr>
              <w:t>、氟化物执行重庆市《工业炉窑大气污染物排放标准》（</w:t>
            </w:r>
            <w:r>
              <w:rPr>
                <w:rFonts w:hint="default" w:ascii="Times New Roman" w:hAnsi="Times New Roman"/>
                <w:bCs/>
                <w:color w:val="auto"/>
                <w:sz w:val="26"/>
                <w:szCs w:val="26"/>
                <w:lang w:val="en-US" w:eastAsia="zh-CN"/>
              </w:rPr>
              <w:t>DB 50/659-2016</w:t>
            </w:r>
            <w:r>
              <w:rPr>
                <w:rFonts w:hint="eastAsia" w:ascii="Times New Roman" w:hAnsi="Times New Roman"/>
                <w:bCs/>
                <w:color w:val="auto"/>
                <w:sz w:val="26"/>
                <w:szCs w:val="26"/>
                <w:lang w:val="en-US" w:eastAsia="zh-CN"/>
              </w:rPr>
              <w:t>），各熔炼炉有组织排放的</w:t>
            </w:r>
            <w:r>
              <w:rPr>
                <w:rFonts w:hint="default" w:ascii="Times New Roman" w:hAnsi="Times New Roman"/>
                <w:bCs/>
                <w:color w:val="auto"/>
                <w:sz w:val="26"/>
                <w:szCs w:val="26"/>
                <w:lang w:val="en-US" w:eastAsia="zh-CN"/>
              </w:rPr>
              <w:t>HCl</w:t>
            </w:r>
            <w:r>
              <w:rPr>
                <w:rFonts w:hint="eastAsia" w:ascii="Times New Roman" w:hAnsi="Times New Roman"/>
                <w:bCs/>
                <w:color w:val="auto"/>
                <w:sz w:val="26"/>
                <w:szCs w:val="26"/>
                <w:lang w:val="en-US" w:eastAsia="zh-CN"/>
              </w:rPr>
              <w:t>执行重庆市《大气污染物综合排放标准》（</w:t>
            </w:r>
            <w:r>
              <w:rPr>
                <w:rFonts w:hint="default" w:ascii="Times New Roman" w:hAnsi="Times New Roman"/>
                <w:bCs/>
                <w:color w:val="auto"/>
                <w:sz w:val="26"/>
                <w:szCs w:val="26"/>
                <w:lang w:val="en-US" w:eastAsia="zh-CN"/>
              </w:rPr>
              <w:t>DB50/418-2016</w:t>
            </w:r>
            <w:r>
              <w:rPr>
                <w:rFonts w:hint="eastAsia" w:ascii="Times New Roman" w:hAnsi="Times New Roman"/>
                <w:bCs/>
                <w:color w:val="auto"/>
                <w:sz w:val="26"/>
                <w:szCs w:val="26"/>
                <w:lang w:val="en-US" w:eastAsia="zh-CN"/>
              </w:rPr>
              <w:t>）；铝回收装置有组织排放的颗粒物执行《铸造工业大气污染物排放标准》（GB 39726-2020），铝回收装置有组织排放的氟化物、HCl执行《大气污染物综合排放标准》（DB50/418-2016）表1相关标准；均质炉有组织排放的颗粒物、</w:t>
            </w:r>
            <w:r>
              <w:rPr>
                <w:rFonts w:hint="default" w:ascii="Times New Roman" w:hAnsi="Times New Roman"/>
                <w:bCs/>
                <w:color w:val="auto"/>
                <w:sz w:val="26"/>
                <w:szCs w:val="26"/>
                <w:lang w:val="en-US" w:eastAsia="zh-CN"/>
              </w:rPr>
              <w:t>SO</w:t>
            </w:r>
            <w:r>
              <w:rPr>
                <w:rFonts w:hint="default" w:ascii="Times New Roman" w:hAnsi="Times New Roman"/>
                <w:bCs/>
                <w:color w:val="auto"/>
                <w:sz w:val="26"/>
                <w:szCs w:val="26"/>
                <w:vertAlign w:val="subscript"/>
                <w:lang w:val="en-US" w:eastAsia="zh-CN"/>
              </w:rPr>
              <w:t>2</w:t>
            </w:r>
            <w:r>
              <w:rPr>
                <w:rFonts w:hint="eastAsia" w:ascii="Times New Roman" w:hAnsi="Times New Roman"/>
                <w:bCs/>
                <w:color w:val="auto"/>
                <w:sz w:val="26"/>
                <w:szCs w:val="26"/>
                <w:lang w:val="en-US" w:eastAsia="zh-CN"/>
              </w:rPr>
              <w:t>、</w:t>
            </w:r>
            <w:r>
              <w:rPr>
                <w:rFonts w:hint="default" w:ascii="Times New Roman" w:hAnsi="Times New Roman"/>
                <w:bCs/>
                <w:color w:val="auto"/>
                <w:sz w:val="26"/>
                <w:szCs w:val="26"/>
                <w:lang w:val="en-US" w:eastAsia="zh-CN"/>
              </w:rPr>
              <w:t>NO</w:t>
            </w:r>
            <w:r>
              <w:rPr>
                <w:rFonts w:hint="default" w:ascii="Times New Roman" w:hAnsi="Times New Roman"/>
                <w:bCs/>
                <w:color w:val="auto"/>
                <w:sz w:val="26"/>
                <w:szCs w:val="26"/>
                <w:vertAlign w:val="subscript"/>
                <w:lang w:val="en-US" w:eastAsia="zh-CN"/>
              </w:rPr>
              <w:t>X</w:t>
            </w:r>
            <w:r>
              <w:rPr>
                <w:rFonts w:hint="eastAsia" w:ascii="Times New Roman" w:hAnsi="Times New Roman"/>
                <w:bCs/>
                <w:color w:val="auto"/>
                <w:sz w:val="26"/>
                <w:szCs w:val="26"/>
                <w:lang w:val="en-US" w:eastAsia="zh-CN"/>
              </w:rPr>
              <w:t>执行《铸造工业大气污染物排放标准》（GB 39726-2020）。</w:t>
            </w:r>
          </w:p>
          <w:p w14:paraId="02686CDB">
            <w:pPr>
              <w:adjustRightInd w:val="0"/>
              <w:snapToGrid w:val="0"/>
              <w:spacing w:line="460" w:lineRule="exact"/>
              <w:ind w:firstLine="520" w:firstLineChars="200"/>
              <w:jc w:val="left"/>
              <w:rPr>
                <w:rFonts w:hint="eastAsia" w:ascii="Times New Roman" w:hAnsi="Times New Roman"/>
                <w:bCs/>
                <w:color w:val="auto"/>
                <w:sz w:val="26"/>
                <w:szCs w:val="26"/>
                <w:lang w:val="en-US" w:eastAsia="zh-CN"/>
              </w:rPr>
            </w:pPr>
            <w:r>
              <w:rPr>
                <w:rFonts w:hint="eastAsia" w:ascii="Times New Roman" w:hAnsi="Times New Roman"/>
                <w:bCs/>
                <w:color w:val="auto"/>
                <w:sz w:val="26"/>
                <w:szCs w:val="26"/>
                <w:lang w:val="en-US" w:eastAsia="zh-CN"/>
              </w:rPr>
              <w:t>厂区内厂房外无组织排放颗粒物执行《铸造工业大气污染物排放标准》（GB 39726-2020）。厂界外无组织排放的颗粒物、</w:t>
            </w:r>
            <w:r>
              <w:rPr>
                <w:rFonts w:hint="default" w:ascii="Times New Roman" w:hAnsi="Times New Roman"/>
                <w:bCs/>
                <w:color w:val="auto"/>
                <w:sz w:val="26"/>
                <w:szCs w:val="26"/>
                <w:lang w:val="en-US" w:eastAsia="zh-CN"/>
              </w:rPr>
              <w:t>SO</w:t>
            </w:r>
            <w:r>
              <w:rPr>
                <w:rFonts w:hint="default" w:ascii="Times New Roman" w:hAnsi="Times New Roman"/>
                <w:bCs/>
                <w:color w:val="auto"/>
                <w:sz w:val="26"/>
                <w:szCs w:val="26"/>
                <w:vertAlign w:val="subscript"/>
                <w:lang w:val="en-US" w:eastAsia="zh-CN"/>
              </w:rPr>
              <w:t>2</w:t>
            </w:r>
            <w:r>
              <w:rPr>
                <w:rFonts w:hint="eastAsia" w:ascii="Times New Roman" w:hAnsi="Times New Roman"/>
                <w:bCs/>
                <w:color w:val="auto"/>
                <w:sz w:val="26"/>
                <w:szCs w:val="26"/>
                <w:lang w:val="en-US" w:eastAsia="zh-CN"/>
              </w:rPr>
              <w:t>、</w:t>
            </w:r>
            <w:r>
              <w:rPr>
                <w:rFonts w:hint="default" w:ascii="Times New Roman" w:hAnsi="Times New Roman"/>
                <w:bCs/>
                <w:color w:val="auto"/>
                <w:sz w:val="26"/>
                <w:szCs w:val="26"/>
                <w:lang w:val="en-US" w:eastAsia="zh-CN"/>
              </w:rPr>
              <w:t>NOx</w:t>
            </w:r>
            <w:r>
              <w:rPr>
                <w:rFonts w:hint="eastAsia" w:ascii="Times New Roman" w:hAnsi="Times New Roman"/>
                <w:bCs/>
                <w:color w:val="auto"/>
                <w:sz w:val="26"/>
                <w:szCs w:val="26"/>
                <w:lang w:val="en-US" w:eastAsia="zh-CN"/>
              </w:rPr>
              <w:t>、氟化物、</w:t>
            </w:r>
            <w:r>
              <w:rPr>
                <w:rFonts w:hint="default" w:ascii="Times New Roman" w:hAnsi="Times New Roman"/>
                <w:bCs/>
                <w:color w:val="auto"/>
                <w:sz w:val="26"/>
                <w:szCs w:val="26"/>
                <w:lang w:val="en-US" w:eastAsia="zh-CN"/>
              </w:rPr>
              <w:t>HCl</w:t>
            </w:r>
            <w:r>
              <w:rPr>
                <w:rFonts w:hint="eastAsia" w:ascii="Times New Roman" w:hAnsi="Times New Roman"/>
                <w:bCs/>
                <w:color w:val="auto"/>
                <w:sz w:val="26"/>
                <w:szCs w:val="26"/>
                <w:lang w:val="en-US" w:eastAsia="zh-CN"/>
              </w:rPr>
              <w:t>执行《大气污染物综合排放标准》（</w:t>
            </w:r>
            <w:r>
              <w:rPr>
                <w:rFonts w:hint="default" w:ascii="Times New Roman" w:hAnsi="Times New Roman"/>
                <w:bCs/>
                <w:color w:val="auto"/>
                <w:sz w:val="26"/>
                <w:szCs w:val="26"/>
                <w:lang w:val="en-US" w:eastAsia="zh-CN"/>
              </w:rPr>
              <w:t>DB50/418-2016</w:t>
            </w:r>
            <w:r>
              <w:rPr>
                <w:rFonts w:hint="eastAsia" w:ascii="Times New Roman" w:hAnsi="Times New Roman"/>
                <w:bCs/>
                <w:color w:val="auto"/>
                <w:sz w:val="26"/>
                <w:szCs w:val="26"/>
                <w:lang w:val="en-US" w:eastAsia="zh-CN"/>
              </w:rPr>
              <w:t>）表</w:t>
            </w:r>
            <w:r>
              <w:rPr>
                <w:rFonts w:hint="default" w:ascii="Times New Roman" w:hAnsi="Times New Roman"/>
                <w:bCs/>
                <w:color w:val="auto"/>
                <w:sz w:val="26"/>
                <w:szCs w:val="26"/>
                <w:lang w:val="en-US" w:eastAsia="zh-CN"/>
              </w:rPr>
              <w:t>1</w:t>
            </w:r>
            <w:r>
              <w:rPr>
                <w:rFonts w:hint="eastAsia" w:ascii="Times New Roman" w:hAnsi="Times New Roman"/>
                <w:bCs/>
                <w:color w:val="auto"/>
                <w:sz w:val="26"/>
                <w:szCs w:val="26"/>
                <w:lang w:val="en-US" w:eastAsia="zh-CN"/>
              </w:rPr>
              <w:t>相关标准。</w:t>
            </w:r>
          </w:p>
          <w:p w14:paraId="3E8D00FB">
            <w:pPr>
              <w:adjustRightInd w:val="0"/>
              <w:snapToGrid w:val="0"/>
              <w:spacing w:line="460" w:lineRule="exact"/>
              <w:ind w:firstLine="520" w:firstLineChars="200"/>
              <w:jc w:val="left"/>
              <w:rPr>
                <w:rFonts w:hint="default" w:ascii="Times New Roman" w:hAnsi="Times New Roman"/>
                <w:bCs/>
                <w:color w:val="auto"/>
                <w:sz w:val="26"/>
                <w:szCs w:val="26"/>
                <w:lang w:val="en-US" w:eastAsia="zh-CN"/>
              </w:rPr>
            </w:pPr>
            <w:r>
              <w:rPr>
                <w:rFonts w:hint="eastAsia" w:ascii="Times New Roman" w:hAnsi="Times New Roman"/>
                <w:bCs/>
                <w:color w:val="auto"/>
                <w:sz w:val="26"/>
                <w:szCs w:val="26"/>
                <w:lang w:val="en-US" w:eastAsia="zh-CN"/>
              </w:rPr>
              <w:t>同时，本项目切削液使用过程将挥发少量的非甲烷总烃，企业厂区内 VOCs 无组织排放监控点浓度应执行《挥发性有机物无组织排放控制标准》（GB 37822-2019）相关要求。</w:t>
            </w:r>
          </w:p>
          <w:p w14:paraId="08DADE2A">
            <w:pPr>
              <w:adjustRightInd w:val="0"/>
              <w:snapToGrid w:val="0"/>
              <w:spacing w:line="460" w:lineRule="exact"/>
              <w:ind w:firstLine="520" w:firstLineChars="200"/>
              <w:jc w:val="left"/>
              <w:rPr>
                <w:rFonts w:hint="eastAsia" w:ascii="Times New Roman" w:hAnsi="Times New Roman" w:eastAsia="宋体" w:cs="Times New Roman"/>
                <w:bCs/>
                <w:color w:val="auto"/>
                <w:sz w:val="26"/>
                <w:szCs w:val="26"/>
                <w:lang w:val="en-US" w:eastAsia="zh-CN"/>
              </w:rPr>
            </w:pPr>
            <w:r>
              <w:rPr>
                <w:rFonts w:hint="eastAsia" w:ascii="Times New Roman" w:hAnsi="Times New Roman"/>
                <w:bCs/>
                <w:color w:val="auto"/>
                <w:sz w:val="26"/>
                <w:szCs w:val="26"/>
                <w:lang w:val="en-US" w:eastAsia="zh-CN"/>
              </w:rPr>
              <w:t>相关标准详见表3.4-1</w:t>
            </w:r>
            <w:r>
              <w:rPr>
                <w:rFonts w:hint="default" w:ascii="Times New Roman" w:hAnsi="Times New Roman"/>
                <w:bCs/>
                <w:color w:val="auto"/>
                <w:sz w:val="26"/>
                <w:szCs w:val="26"/>
                <w:lang w:val="en-US" w:eastAsia="zh-CN"/>
              </w:rPr>
              <w:t>~</w:t>
            </w:r>
            <w:r>
              <w:rPr>
                <w:rFonts w:hint="eastAsia" w:ascii="Times New Roman" w:hAnsi="Times New Roman"/>
                <w:bCs/>
                <w:color w:val="auto"/>
                <w:sz w:val="26"/>
                <w:szCs w:val="26"/>
                <w:lang w:val="en-US" w:eastAsia="zh-CN"/>
              </w:rPr>
              <w:t>表3</w:t>
            </w:r>
            <w:r>
              <w:rPr>
                <w:rFonts w:hint="eastAsia" w:ascii="Times New Roman" w:hAnsi="Times New Roman" w:eastAsia="宋体" w:cs="Times New Roman"/>
                <w:bCs/>
                <w:color w:val="auto"/>
                <w:sz w:val="26"/>
                <w:szCs w:val="26"/>
                <w:lang w:val="en-US" w:eastAsia="zh-CN"/>
              </w:rPr>
              <w:t>.4-5。</w:t>
            </w:r>
          </w:p>
          <w:p w14:paraId="6E764907">
            <w:pPr>
              <w:adjustRightInd w:val="0"/>
              <w:snapToGrid w:val="0"/>
              <w:spacing w:line="460" w:lineRule="exact"/>
              <w:ind w:firstLine="520" w:firstLineChars="200"/>
              <w:jc w:val="left"/>
              <w:rPr>
                <w:rFonts w:hint="default" w:ascii="Times New Roman" w:hAnsi="Times New Roman" w:eastAsia="宋体" w:cs="Times New Roman"/>
                <w:bCs/>
                <w:color w:val="auto"/>
                <w:sz w:val="26"/>
                <w:szCs w:val="26"/>
                <w:lang w:val="en-US" w:eastAsia="zh-CN"/>
              </w:rPr>
            </w:pPr>
          </w:p>
          <w:p w14:paraId="48B90990">
            <w:pPr>
              <w:adjustRightInd w:val="0"/>
              <w:snapToGrid w:val="0"/>
              <w:spacing w:line="460" w:lineRule="exact"/>
              <w:jc w:val="center"/>
              <w:rPr>
                <w:rFonts w:hint="default" w:ascii="Times New Roman" w:hAnsi="Times New Roman" w:eastAsia="宋体"/>
                <w:b/>
                <w:bCs w:val="0"/>
                <w:color w:val="auto"/>
                <w:sz w:val="26"/>
                <w:szCs w:val="26"/>
                <w:lang w:val="en-US" w:eastAsia="zh-CN"/>
              </w:rPr>
            </w:pPr>
            <w:r>
              <w:rPr>
                <w:rFonts w:ascii="Times New Roman" w:hAnsi="Times New Roman"/>
                <w:b/>
                <w:bCs w:val="0"/>
                <w:color w:val="auto"/>
                <w:sz w:val="26"/>
                <w:szCs w:val="26"/>
              </w:rPr>
              <w:t>表3.</w:t>
            </w:r>
            <w:r>
              <w:rPr>
                <w:rFonts w:hint="eastAsia" w:ascii="Times New Roman" w:hAnsi="Times New Roman"/>
                <w:b/>
                <w:bCs w:val="0"/>
                <w:color w:val="auto"/>
                <w:sz w:val="26"/>
                <w:szCs w:val="26"/>
                <w:lang w:val="en-US" w:eastAsia="zh-CN"/>
              </w:rPr>
              <w:t>4</w:t>
            </w:r>
            <w:r>
              <w:rPr>
                <w:rFonts w:ascii="Times New Roman" w:hAnsi="Times New Roman"/>
                <w:b/>
                <w:bCs w:val="0"/>
                <w:color w:val="auto"/>
                <w:sz w:val="26"/>
                <w:szCs w:val="26"/>
              </w:rPr>
              <w:t xml:space="preserve">-1  </w:t>
            </w:r>
            <w:r>
              <w:rPr>
                <w:rFonts w:hint="eastAsia" w:ascii="Times New Roman" w:hAnsi="Times New Roman"/>
                <w:b/>
                <w:bCs w:val="0"/>
                <w:color w:val="auto"/>
                <w:sz w:val="26"/>
                <w:szCs w:val="26"/>
                <w:lang w:val="en-US" w:eastAsia="zh-CN"/>
              </w:rPr>
              <w:t>工业炉窑大气污染物排放标准  单位：mg/m</w:t>
            </w:r>
            <w:r>
              <w:rPr>
                <w:rFonts w:hint="eastAsia" w:ascii="Times New Roman" w:hAnsi="Times New Roman"/>
                <w:b/>
                <w:bCs w:val="0"/>
                <w:color w:val="auto"/>
                <w:sz w:val="26"/>
                <w:szCs w:val="26"/>
                <w:vertAlign w:val="superscript"/>
                <w:lang w:val="en-US" w:eastAsia="zh-CN"/>
              </w:rPr>
              <w:t>3</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387"/>
              <w:gridCol w:w="1875"/>
              <w:gridCol w:w="1150"/>
              <w:gridCol w:w="1440"/>
              <w:gridCol w:w="1854"/>
            </w:tblGrid>
            <w:tr w14:paraId="688F3B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7863" w:type="dxa"/>
                  <w:gridSpan w:val="5"/>
                  <w:tcBorders>
                    <w:tl2br w:val="nil"/>
                    <w:tr2bl w:val="nil"/>
                  </w:tcBorders>
                  <w:noWrap w:val="0"/>
                  <w:vAlign w:val="center"/>
                </w:tcPr>
                <w:p w14:paraId="459C9C6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lang w:val="en-US" w:eastAsia="zh-CN"/>
                    </w:rPr>
                    <w:t>表1 工业炉窑有害污染物最高允许排放浓度</w:t>
                  </w:r>
                </w:p>
              </w:tc>
            </w:tr>
            <w:tr w14:paraId="775D29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1416" w:type="dxa"/>
                  <w:tcBorders>
                    <w:tl2br w:val="nil"/>
                    <w:tr2bl w:val="nil"/>
                  </w:tcBorders>
                  <w:noWrap w:val="0"/>
                  <w:vAlign w:val="center"/>
                </w:tcPr>
                <w:p w14:paraId="4AE4662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序号</w:t>
                  </w:r>
                </w:p>
              </w:tc>
              <w:tc>
                <w:tcPr>
                  <w:tcW w:w="3086" w:type="dxa"/>
                  <w:gridSpan w:val="2"/>
                  <w:tcBorders>
                    <w:tl2br w:val="nil"/>
                    <w:tr2bl w:val="nil"/>
                  </w:tcBorders>
                  <w:noWrap w:val="0"/>
                  <w:vAlign w:val="center"/>
                </w:tcPr>
                <w:p w14:paraId="33B886EC">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ascii="Times New Roman" w:hAnsi="Times New Roman" w:eastAsia="宋体" w:cs="Times New Roman"/>
                      <w:color w:val="auto"/>
                      <w:sz w:val="22"/>
                      <w:szCs w:val="22"/>
                    </w:rPr>
                  </w:pPr>
                  <w:r>
                    <w:rPr>
                      <w:rFonts w:hint="eastAsia" w:ascii="宋体" w:hAnsi="宋体" w:eastAsia="宋体" w:cs="宋体"/>
                      <w:color w:val="auto"/>
                      <w:kern w:val="0"/>
                      <w:sz w:val="22"/>
                      <w:szCs w:val="22"/>
                      <w:lang w:val="en-US" w:eastAsia="zh-CN" w:bidi="ar"/>
                    </w:rPr>
                    <w:t>有害污染物名称</w:t>
                  </w:r>
                </w:p>
              </w:tc>
              <w:tc>
                <w:tcPr>
                  <w:tcW w:w="1469" w:type="dxa"/>
                  <w:tcBorders>
                    <w:tl2br w:val="nil"/>
                    <w:tr2bl w:val="nil"/>
                  </w:tcBorders>
                  <w:noWrap w:val="0"/>
                  <w:vAlign w:val="center"/>
                </w:tcPr>
                <w:p w14:paraId="5675A9E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适用区域</w:t>
                  </w:r>
                </w:p>
              </w:tc>
              <w:tc>
                <w:tcPr>
                  <w:tcW w:w="1892" w:type="dxa"/>
                  <w:tcBorders>
                    <w:tl2br w:val="nil"/>
                    <w:tr2bl w:val="nil"/>
                  </w:tcBorders>
                  <w:noWrap w:val="0"/>
                  <w:vAlign w:val="center"/>
                </w:tcPr>
                <w:p w14:paraId="443F0CC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最高允许浓度</w:t>
                  </w:r>
                </w:p>
              </w:tc>
            </w:tr>
            <w:tr w14:paraId="43089A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1416" w:type="dxa"/>
                  <w:tcBorders>
                    <w:tl2br w:val="nil"/>
                    <w:tr2bl w:val="nil"/>
                  </w:tcBorders>
                  <w:noWrap w:val="0"/>
                  <w:vAlign w:val="center"/>
                </w:tcPr>
                <w:p w14:paraId="6F1B626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w:t>
                  </w:r>
                </w:p>
              </w:tc>
              <w:tc>
                <w:tcPr>
                  <w:tcW w:w="1913" w:type="dxa"/>
                  <w:tcBorders>
                    <w:tl2br w:val="nil"/>
                    <w:tr2bl w:val="nil"/>
                  </w:tcBorders>
                  <w:noWrap w:val="0"/>
                  <w:vAlign w:val="center"/>
                </w:tcPr>
                <w:p w14:paraId="58839A8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二氧化硫</w:t>
                  </w:r>
                </w:p>
              </w:tc>
              <w:tc>
                <w:tcPr>
                  <w:tcW w:w="1173" w:type="dxa"/>
                  <w:tcBorders>
                    <w:tl2br w:val="nil"/>
                    <w:tr2bl w:val="nil"/>
                  </w:tcBorders>
                  <w:noWrap w:val="0"/>
                  <w:vAlign w:val="center"/>
                </w:tcPr>
                <w:p w14:paraId="1995526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其他炉窑</w:t>
                  </w:r>
                </w:p>
              </w:tc>
              <w:tc>
                <w:tcPr>
                  <w:tcW w:w="1469" w:type="dxa"/>
                  <w:tcBorders>
                    <w:tl2br w:val="nil"/>
                    <w:tr2bl w:val="nil"/>
                  </w:tcBorders>
                  <w:noWrap w:val="0"/>
                  <w:vAlign w:val="center"/>
                </w:tcPr>
                <w:p w14:paraId="2532B1B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主城区</w:t>
                  </w:r>
                </w:p>
              </w:tc>
              <w:tc>
                <w:tcPr>
                  <w:tcW w:w="1892" w:type="dxa"/>
                  <w:tcBorders>
                    <w:tl2br w:val="nil"/>
                    <w:tr2bl w:val="nil"/>
                  </w:tcBorders>
                  <w:noWrap w:val="0"/>
                  <w:vAlign w:val="center"/>
                </w:tcPr>
                <w:p w14:paraId="5D81268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100</w:t>
                  </w:r>
                </w:p>
              </w:tc>
            </w:tr>
            <w:tr w14:paraId="3B7E55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1416" w:type="dxa"/>
                  <w:tcBorders>
                    <w:tl2br w:val="nil"/>
                    <w:tr2bl w:val="nil"/>
                  </w:tcBorders>
                  <w:noWrap w:val="0"/>
                  <w:vAlign w:val="center"/>
                </w:tcPr>
                <w:p w14:paraId="2C6CBF4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w:t>
                  </w:r>
                </w:p>
              </w:tc>
              <w:tc>
                <w:tcPr>
                  <w:tcW w:w="1913" w:type="dxa"/>
                  <w:tcBorders>
                    <w:tl2br w:val="nil"/>
                    <w:tr2bl w:val="nil"/>
                  </w:tcBorders>
                  <w:noWrap w:val="0"/>
                  <w:vAlign w:val="center"/>
                </w:tcPr>
                <w:p w14:paraId="6D4FFD7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氮氧化物</w:t>
                  </w:r>
                </w:p>
              </w:tc>
              <w:tc>
                <w:tcPr>
                  <w:tcW w:w="1173" w:type="dxa"/>
                  <w:tcBorders>
                    <w:tl2br w:val="nil"/>
                    <w:tr2bl w:val="nil"/>
                  </w:tcBorders>
                  <w:noWrap w:val="0"/>
                  <w:vAlign w:val="center"/>
                </w:tcPr>
                <w:p w14:paraId="28C8BBA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燃气炉窑</w:t>
                  </w:r>
                </w:p>
              </w:tc>
              <w:tc>
                <w:tcPr>
                  <w:tcW w:w="1469" w:type="dxa"/>
                  <w:tcBorders>
                    <w:tl2br w:val="nil"/>
                    <w:tr2bl w:val="nil"/>
                  </w:tcBorders>
                  <w:noWrap w:val="0"/>
                  <w:vAlign w:val="center"/>
                </w:tcPr>
                <w:p w14:paraId="030370A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lang w:val="en-US" w:eastAsia="zh-CN"/>
                    </w:rPr>
                    <w:t>主城区</w:t>
                  </w:r>
                </w:p>
              </w:tc>
              <w:tc>
                <w:tcPr>
                  <w:tcW w:w="1892" w:type="dxa"/>
                  <w:tcBorders>
                    <w:tl2br w:val="nil"/>
                    <w:tr2bl w:val="nil"/>
                  </w:tcBorders>
                  <w:noWrap w:val="0"/>
                  <w:vAlign w:val="center"/>
                </w:tcPr>
                <w:p w14:paraId="0C99B68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300（小时天然气用量大于500m</w:t>
                  </w:r>
                  <w:r>
                    <w:rPr>
                      <w:rFonts w:hint="eastAsia" w:ascii="Times New Roman" w:hAnsi="Times New Roman" w:eastAsia="宋体" w:cs="Times New Roman"/>
                      <w:color w:val="auto"/>
                      <w:sz w:val="22"/>
                      <w:szCs w:val="22"/>
                      <w:vertAlign w:val="superscript"/>
                      <w:lang w:val="en-US" w:eastAsia="zh-CN"/>
                    </w:rPr>
                    <w:t>3</w:t>
                  </w:r>
                  <w:r>
                    <w:rPr>
                      <w:rFonts w:hint="eastAsia" w:ascii="Times New Roman" w:hAnsi="Times New Roman" w:eastAsia="宋体" w:cs="Times New Roman"/>
                      <w:color w:val="auto"/>
                      <w:sz w:val="22"/>
                      <w:szCs w:val="22"/>
                      <w:lang w:val="en-US" w:eastAsia="zh-CN"/>
                    </w:rPr>
                    <w:t>/h）</w:t>
                  </w:r>
                </w:p>
              </w:tc>
            </w:tr>
            <w:tr w14:paraId="6F41C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1416" w:type="dxa"/>
                  <w:tcBorders>
                    <w:tl2br w:val="nil"/>
                    <w:tr2bl w:val="nil"/>
                  </w:tcBorders>
                  <w:noWrap w:val="0"/>
                  <w:vAlign w:val="center"/>
                </w:tcPr>
                <w:p w14:paraId="15D549B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3</w:t>
                  </w:r>
                </w:p>
              </w:tc>
              <w:tc>
                <w:tcPr>
                  <w:tcW w:w="4555" w:type="dxa"/>
                  <w:gridSpan w:val="3"/>
                  <w:tcBorders>
                    <w:tl2br w:val="nil"/>
                    <w:tr2bl w:val="nil"/>
                  </w:tcBorders>
                  <w:noWrap w:val="0"/>
                  <w:vAlign w:val="center"/>
                </w:tcPr>
                <w:p w14:paraId="2D69E7E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氟及其化合物</w:t>
                  </w:r>
                </w:p>
              </w:tc>
              <w:tc>
                <w:tcPr>
                  <w:tcW w:w="1892" w:type="dxa"/>
                  <w:tcBorders>
                    <w:tl2br w:val="nil"/>
                    <w:tr2bl w:val="nil"/>
                  </w:tcBorders>
                  <w:noWrap w:val="0"/>
                  <w:vAlign w:val="center"/>
                </w:tcPr>
                <w:p w14:paraId="0141B12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6</w:t>
                  </w:r>
                </w:p>
              </w:tc>
            </w:tr>
            <w:tr w14:paraId="366F51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7863" w:type="dxa"/>
                  <w:gridSpan w:val="5"/>
                  <w:tcBorders>
                    <w:tl2br w:val="nil"/>
                    <w:tr2bl w:val="nil"/>
                  </w:tcBorders>
                  <w:noWrap w:val="0"/>
                  <w:vAlign w:val="center"/>
                </w:tcPr>
                <w:p w14:paraId="5969133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表2工业炉窑无组织排放颗粒物最高允许浓度</w:t>
                  </w:r>
                </w:p>
              </w:tc>
            </w:tr>
            <w:tr w14:paraId="5E6D2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1416" w:type="dxa"/>
                  <w:tcBorders>
                    <w:tl2br w:val="nil"/>
                    <w:tr2bl w:val="nil"/>
                  </w:tcBorders>
                  <w:noWrap w:val="0"/>
                  <w:vAlign w:val="center"/>
                </w:tcPr>
                <w:p w14:paraId="6339694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序号</w:t>
                  </w:r>
                </w:p>
              </w:tc>
              <w:tc>
                <w:tcPr>
                  <w:tcW w:w="3086" w:type="dxa"/>
                  <w:gridSpan w:val="2"/>
                  <w:tcBorders>
                    <w:tl2br w:val="nil"/>
                    <w:tr2bl w:val="nil"/>
                  </w:tcBorders>
                  <w:noWrap w:val="0"/>
                  <w:vAlign w:val="center"/>
                </w:tcPr>
                <w:p w14:paraId="4686D02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lang w:val="en-US" w:eastAsia="zh-CN"/>
                    </w:rPr>
                    <w:t>设置方式</w:t>
                  </w:r>
                </w:p>
              </w:tc>
              <w:tc>
                <w:tcPr>
                  <w:tcW w:w="1469" w:type="dxa"/>
                  <w:tcBorders>
                    <w:tl2br w:val="nil"/>
                    <w:tr2bl w:val="nil"/>
                  </w:tcBorders>
                  <w:noWrap w:val="0"/>
                  <w:vAlign w:val="center"/>
                </w:tcPr>
                <w:p w14:paraId="43B18D2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炉窑类别</w:t>
                  </w:r>
                </w:p>
              </w:tc>
              <w:tc>
                <w:tcPr>
                  <w:tcW w:w="1892" w:type="dxa"/>
                  <w:tcBorders>
                    <w:tl2br w:val="nil"/>
                    <w:tr2bl w:val="nil"/>
                  </w:tcBorders>
                  <w:noWrap w:val="0"/>
                  <w:vAlign w:val="center"/>
                </w:tcPr>
                <w:p w14:paraId="2C4E011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最高允许浓度</w:t>
                  </w:r>
                </w:p>
              </w:tc>
            </w:tr>
            <w:tr w14:paraId="4174D7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1416" w:type="dxa"/>
                  <w:tcBorders>
                    <w:tl2br w:val="nil"/>
                    <w:tr2bl w:val="nil"/>
                  </w:tcBorders>
                  <w:noWrap w:val="0"/>
                  <w:vAlign w:val="center"/>
                </w:tcPr>
                <w:p w14:paraId="354B17E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w:t>
                  </w:r>
                </w:p>
              </w:tc>
              <w:tc>
                <w:tcPr>
                  <w:tcW w:w="3086" w:type="dxa"/>
                  <w:gridSpan w:val="2"/>
                  <w:tcBorders>
                    <w:tl2br w:val="nil"/>
                    <w:tr2bl w:val="nil"/>
                  </w:tcBorders>
                  <w:noWrap w:val="0"/>
                  <w:vAlign w:val="center"/>
                </w:tcPr>
                <w:p w14:paraId="70BFF2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lang w:val="en-US" w:eastAsia="zh-CN"/>
                    </w:rPr>
                    <w:t>有车间厂房</w:t>
                  </w:r>
                </w:p>
              </w:tc>
              <w:tc>
                <w:tcPr>
                  <w:tcW w:w="1469" w:type="dxa"/>
                  <w:tcBorders>
                    <w:tl2br w:val="nil"/>
                    <w:tr2bl w:val="nil"/>
                  </w:tcBorders>
                  <w:noWrap w:val="0"/>
                  <w:vAlign w:val="center"/>
                </w:tcPr>
                <w:p w14:paraId="0E76EDF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熔炼炉、铁矿烧结炉</w:t>
                  </w:r>
                </w:p>
              </w:tc>
              <w:tc>
                <w:tcPr>
                  <w:tcW w:w="1892" w:type="dxa"/>
                  <w:tcBorders>
                    <w:tl2br w:val="nil"/>
                    <w:tr2bl w:val="nil"/>
                  </w:tcBorders>
                  <w:noWrap w:val="0"/>
                  <w:vAlign w:val="center"/>
                </w:tcPr>
                <w:p w14:paraId="447FDB6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25</w:t>
                  </w:r>
                </w:p>
              </w:tc>
            </w:tr>
          </w:tbl>
          <w:p w14:paraId="5E0AD099">
            <w:pPr>
              <w:adjustRightInd w:val="0"/>
              <w:snapToGrid w:val="0"/>
              <w:spacing w:line="460" w:lineRule="exact"/>
              <w:jc w:val="center"/>
              <w:rPr>
                <w:rFonts w:hint="default" w:ascii="Times New Roman" w:hAnsi="Times New Roman" w:eastAsia="宋体"/>
                <w:b/>
                <w:bCs w:val="0"/>
                <w:color w:val="auto"/>
                <w:sz w:val="26"/>
                <w:szCs w:val="26"/>
                <w:lang w:val="en-US" w:eastAsia="zh-CN"/>
              </w:rPr>
            </w:pPr>
            <w:r>
              <w:rPr>
                <w:rFonts w:ascii="Times New Roman" w:hAnsi="Times New Roman"/>
                <w:b/>
                <w:bCs w:val="0"/>
                <w:color w:val="auto"/>
                <w:sz w:val="26"/>
                <w:szCs w:val="26"/>
              </w:rPr>
              <w:t>表3.</w:t>
            </w:r>
            <w:r>
              <w:rPr>
                <w:rFonts w:hint="eastAsia" w:ascii="Times New Roman" w:hAnsi="Times New Roman"/>
                <w:b/>
                <w:bCs w:val="0"/>
                <w:color w:val="auto"/>
                <w:sz w:val="26"/>
                <w:szCs w:val="26"/>
                <w:lang w:val="en-US" w:eastAsia="zh-CN"/>
              </w:rPr>
              <w:t>4</w:t>
            </w:r>
            <w:r>
              <w:rPr>
                <w:rFonts w:ascii="Times New Roman" w:hAnsi="Times New Roman"/>
                <w:b/>
                <w:bCs w:val="0"/>
                <w:color w:val="auto"/>
                <w:sz w:val="26"/>
                <w:szCs w:val="26"/>
              </w:rPr>
              <w:t>-</w:t>
            </w:r>
            <w:r>
              <w:rPr>
                <w:rFonts w:hint="eastAsia" w:ascii="Times New Roman" w:hAnsi="Times New Roman"/>
                <w:b/>
                <w:bCs w:val="0"/>
                <w:color w:val="auto"/>
                <w:sz w:val="26"/>
                <w:szCs w:val="26"/>
                <w:lang w:val="en-US" w:eastAsia="zh-CN"/>
              </w:rPr>
              <w:t>2</w:t>
            </w:r>
            <w:r>
              <w:rPr>
                <w:rFonts w:ascii="Times New Roman" w:hAnsi="Times New Roman"/>
                <w:b/>
                <w:bCs w:val="0"/>
                <w:color w:val="auto"/>
                <w:sz w:val="26"/>
                <w:szCs w:val="26"/>
              </w:rPr>
              <w:t xml:space="preserve">  </w:t>
            </w:r>
            <w:r>
              <w:rPr>
                <w:rFonts w:hint="eastAsia" w:ascii="Times New Roman" w:hAnsi="Times New Roman"/>
                <w:b/>
                <w:bCs w:val="0"/>
                <w:color w:val="auto"/>
                <w:sz w:val="26"/>
                <w:szCs w:val="26"/>
                <w:lang w:val="en-US" w:eastAsia="zh-CN"/>
              </w:rPr>
              <w:t>铸造工业大气污染物排放标准  单位：mg/m</w:t>
            </w:r>
            <w:r>
              <w:rPr>
                <w:rFonts w:hint="eastAsia" w:ascii="Times New Roman" w:hAnsi="Times New Roman"/>
                <w:b/>
                <w:bCs w:val="0"/>
                <w:color w:val="auto"/>
                <w:sz w:val="26"/>
                <w:szCs w:val="26"/>
                <w:vertAlign w:val="superscript"/>
                <w:lang w:val="en-US" w:eastAsia="zh-CN"/>
              </w:rPr>
              <w:t>3</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309"/>
              <w:gridCol w:w="1245"/>
              <w:gridCol w:w="863"/>
              <w:gridCol w:w="902"/>
              <w:gridCol w:w="1107"/>
              <w:gridCol w:w="2280"/>
            </w:tblGrid>
            <w:tr w14:paraId="62D049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2633" w:type="dxa"/>
                  <w:gridSpan w:val="2"/>
                  <w:tcBorders>
                    <w:tl2br w:val="nil"/>
                    <w:tr2bl w:val="nil"/>
                  </w:tcBorders>
                  <w:noWrap w:val="0"/>
                  <w:vAlign w:val="center"/>
                </w:tcPr>
                <w:p w14:paraId="091DFEB4">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生产过程</w:t>
                  </w:r>
                </w:p>
              </w:tc>
              <w:tc>
                <w:tcPr>
                  <w:tcW w:w="889" w:type="dxa"/>
                  <w:tcBorders>
                    <w:tl2br w:val="nil"/>
                    <w:tr2bl w:val="nil"/>
                  </w:tcBorders>
                  <w:noWrap w:val="0"/>
                  <w:vAlign w:val="center"/>
                </w:tcPr>
                <w:p w14:paraId="45BD048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highlight w:val="none"/>
                      <w:lang w:val="en-US" w:eastAsia="zh-CN"/>
                    </w:rPr>
                    <w:t>颗粒物</w:t>
                  </w:r>
                </w:p>
              </w:tc>
              <w:tc>
                <w:tcPr>
                  <w:tcW w:w="929" w:type="dxa"/>
                  <w:tcBorders>
                    <w:tl2br w:val="nil"/>
                    <w:tr2bl w:val="nil"/>
                  </w:tcBorders>
                  <w:noWrap w:val="0"/>
                  <w:vAlign w:val="center"/>
                </w:tcPr>
                <w:p w14:paraId="2B638D6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SO</w:t>
                  </w:r>
                  <w:r>
                    <w:rPr>
                      <w:rFonts w:hint="eastAsia" w:ascii="Times New Roman" w:hAnsi="Times New Roman" w:eastAsia="宋体" w:cs="Times New Roman"/>
                      <w:color w:val="auto"/>
                      <w:sz w:val="22"/>
                      <w:szCs w:val="22"/>
                      <w:highlight w:val="none"/>
                      <w:vertAlign w:val="subscript"/>
                      <w:lang w:val="en-US" w:eastAsia="zh-CN"/>
                    </w:rPr>
                    <w:t>2</w:t>
                  </w:r>
                </w:p>
              </w:tc>
              <w:tc>
                <w:tcPr>
                  <w:tcW w:w="1141" w:type="dxa"/>
                  <w:tcBorders>
                    <w:tl2br w:val="nil"/>
                    <w:tr2bl w:val="nil"/>
                  </w:tcBorders>
                  <w:noWrap w:val="0"/>
                  <w:vAlign w:val="center"/>
                </w:tcPr>
                <w:p w14:paraId="05BCFCD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氮氧化物</w:t>
                  </w:r>
                </w:p>
              </w:tc>
              <w:tc>
                <w:tcPr>
                  <w:tcW w:w="2352" w:type="dxa"/>
                  <w:tcBorders>
                    <w:tl2br w:val="nil"/>
                    <w:tr2bl w:val="nil"/>
                  </w:tcBorders>
                  <w:noWrap w:val="0"/>
                  <w:vAlign w:val="center"/>
                </w:tcPr>
                <w:p w14:paraId="459314F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污染物排放监控位置</w:t>
                  </w:r>
                </w:p>
              </w:tc>
            </w:tr>
            <w:tr w14:paraId="6FB1AC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660" w:hRule="atLeast"/>
                <w:jc w:val="center"/>
              </w:trPr>
              <w:tc>
                <w:tcPr>
                  <w:tcW w:w="1350" w:type="dxa"/>
                  <w:tcBorders>
                    <w:tl2br w:val="nil"/>
                    <w:tr2bl w:val="nil"/>
                  </w:tcBorders>
                  <w:noWrap w:val="0"/>
                  <w:vAlign w:val="center"/>
                </w:tcPr>
                <w:p w14:paraId="5392960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金属熔炼（化）</w:t>
                  </w:r>
                </w:p>
              </w:tc>
              <w:tc>
                <w:tcPr>
                  <w:tcW w:w="1283" w:type="dxa"/>
                  <w:tcBorders>
                    <w:tl2br w:val="nil"/>
                    <w:tr2bl w:val="nil"/>
                  </w:tcBorders>
                  <w:noWrap w:val="0"/>
                  <w:vAlign w:val="center"/>
                </w:tcPr>
                <w:p w14:paraId="25DCE2D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熔炼（化）炉</w:t>
                  </w:r>
                </w:p>
              </w:tc>
              <w:tc>
                <w:tcPr>
                  <w:tcW w:w="889" w:type="dxa"/>
                  <w:tcBorders>
                    <w:tl2br w:val="nil"/>
                    <w:tr2bl w:val="nil"/>
                  </w:tcBorders>
                  <w:noWrap w:val="0"/>
                  <w:vAlign w:val="center"/>
                </w:tcPr>
                <w:p w14:paraId="3E3A06C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30</w:t>
                  </w:r>
                </w:p>
              </w:tc>
              <w:tc>
                <w:tcPr>
                  <w:tcW w:w="929" w:type="dxa"/>
                  <w:tcBorders>
                    <w:tl2br w:val="nil"/>
                    <w:tr2bl w:val="nil"/>
                  </w:tcBorders>
                  <w:noWrap w:val="0"/>
                  <w:vAlign w:val="center"/>
                </w:tcPr>
                <w:p w14:paraId="4B8655A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41" w:type="dxa"/>
                  <w:tcBorders>
                    <w:tl2br w:val="nil"/>
                    <w:tr2bl w:val="nil"/>
                  </w:tcBorders>
                  <w:noWrap w:val="0"/>
                  <w:vAlign w:val="center"/>
                </w:tcPr>
                <w:p w14:paraId="3F0C962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2352" w:type="dxa"/>
                  <w:vMerge w:val="restart"/>
                  <w:tcBorders>
                    <w:tl2br w:val="nil"/>
                    <w:tr2bl w:val="nil"/>
                  </w:tcBorders>
                  <w:noWrap w:val="0"/>
                  <w:vAlign w:val="center"/>
                </w:tcPr>
                <w:p w14:paraId="0E85CCF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lang w:val="en-US" w:eastAsia="zh-CN"/>
                    </w:rPr>
                    <w:t>车间或生产设施排气筒</w:t>
                  </w:r>
                </w:p>
              </w:tc>
            </w:tr>
            <w:tr w14:paraId="42E5B8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1350" w:type="dxa"/>
                  <w:tcBorders>
                    <w:tl2br w:val="nil"/>
                    <w:tr2bl w:val="nil"/>
                  </w:tcBorders>
                  <w:noWrap w:val="0"/>
                  <w:vAlign w:val="center"/>
                </w:tcPr>
                <w:p w14:paraId="16B8664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铸件热处理</w:t>
                  </w:r>
                </w:p>
              </w:tc>
              <w:tc>
                <w:tcPr>
                  <w:tcW w:w="1283" w:type="dxa"/>
                  <w:tcBorders>
                    <w:tl2br w:val="nil"/>
                    <w:tr2bl w:val="nil"/>
                  </w:tcBorders>
                  <w:noWrap w:val="0"/>
                  <w:vAlign w:val="center"/>
                </w:tcPr>
                <w:p w14:paraId="4B70D70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热处理设备</w:t>
                  </w:r>
                </w:p>
              </w:tc>
              <w:tc>
                <w:tcPr>
                  <w:tcW w:w="889" w:type="dxa"/>
                  <w:tcBorders>
                    <w:tl2br w:val="nil"/>
                    <w:tr2bl w:val="nil"/>
                  </w:tcBorders>
                  <w:noWrap w:val="0"/>
                  <w:vAlign w:val="center"/>
                </w:tcPr>
                <w:p w14:paraId="4B824A0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30</w:t>
                  </w:r>
                </w:p>
              </w:tc>
              <w:tc>
                <w:tcPr>
                  <w:tcW w:w="929" w:type="dxa"/>
                  <w:tcBorders>
                    <w:tl2br w:val="nil"/>
                    <w:tr2bl w:val="nil"/>
                  </w:tcBorders>
                  <w:noWrap w:val="0"/>
                  <w:vAlign w:val="center"/>
                </w:tcPr>
                <w:p w14:paraId="302AC25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100</w:t>
                  </w:r>
                </w:p>
              </w:tc>
              <w:tc>
                <w:tcPr>
                  <w:tcW w:w="1141" w:type="dxa"/>
                  <w:tcBorders>
                    <w:tl2br w:val="nil"/>
                    <w:tr2bl w:val="nil"/>
                  </w:tcBorders>
                  <w:noWrap w:val="0"/>
                  <w:vAlign w:val="center"/>
                </w:tcPr>
                <w:p w14:paraId="74AE0E3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300</w:t>
                  </w:r>
                </w:p>
              </w:tc>
              <w:tc>
                <w:tcPr>
                  <w:tcW w:w="2352" w:type="dxa"/>
                  <w:vMerge w:val="continue"/>
                  <w:tcBorders>
                    <w:tl2br w:val="nil"/>
                    <w:tr2bl w:val="nil"/>
                  </w:tcBorders>
                  <w:noWrap w:val="0"/>
                  <w:vAlign w:val="center"/>
                </w:tcPr>
                <w:p w14:paraId="6861CE8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2"/>
                      <w:szCs w:val="22"/>
                      <w:highlight w:val="none"/>
                      <w:lang w:val="en-US" w:eastAsia="zh-CN"/>
                    </w:rPr>
                  </w:pPr>
                </w:p>
              </w:tc>
            </w:tr>
            <w:tr w14:paraId="0DCF7F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2633" w:type="dxa"/>
                  <w:gridSpan w:val="2"/>
                  <w:tcBorders>
                    <w:tl2br w:val="nil"/>
                    <w:tr2bl w:val="nil"/>
                  </w:tcBorders>
                  <w:noWrap w:val="0"/>
                  <w:vAlign w:val="center"/>
                </w:tcPr>
                <w:p w14:paraId="568DDC9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其他生产工序或设备、设施</w:t>
                  </w:r>
                </w:p>
              </w:tc>
              <w:tc>
                <w:tcPr>
                  <w:tcW w:w="889" w:type="dxa"/>
                  <w:tcBorders>
                    <w:tl2br w:val="nil"/>
                    <w:tr2bl w:val="nil"/>
                  </w:tcBorders>
                  <w:noWrap w:val="0"/>
                  <w:vAlign w:val="center"/>
                </w:tcPr>
                <w:p w14:paraId="724BBB7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30</w:t>
                  </w:r>
                </w:p>
              </w:tc>
              <w:tc>
                <w:tcPr>
                  <w:tcW w:w="929" w:type="dxa"/>
                  <w:tcBorders>
                    <w:tl2br w:val="nil"/>
                    <w:tr2bl w:val="nil"/>
                  </w:tcBorders>
                  <w:noWrap w:val="0"/>
                  <w:vAlign w:val="center"/>
                </w:tcPr>
                <w:p w14:paraId="142C8E3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41" w:type="dxa"/>
                  <w:tcBorders>
                    <w:tl2br w:val="nil"/>
                    <w:tr2bl w:val="nil"/>
                  </w:tcBorders>
                  <w:noWrap w:val="0"/>
                  <w:vAlign w:val="center"/>
                </w:tcPr>
                <w:p w14:paraId="7B0C82D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2352" w:type="dxa"/>
                  <w:vMerge w:val="continue"/>
                  <w:tcBorders>
                    <w:tl2br w:val="nil"/>
                    <w:tr2bl w:val="nil"/>
                  </w:tcBorders>
                  <w:noWrap w:val="0"/>
                  <w:vAlign w:val="center"/>
                </w:tcPr>
                <w:p w14:paraId="03EA8C4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2"/>
                      <w:szCs w:val="22"/>
                      <w:highlight w:val="none"/>
                      <w:lang w:val="en-US" w:eastAsia="zh-CN"/>
                    </w:rPr>
                  </w:pPr>
                </w:p>
              </w:tc>
            </w:tr>
          </w:tbl>
          <w:p w14:paraId="4F4DD12F">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b/>
                <w:bCs w:val="0"/>
                <w:color w:val="auto"/>
                <w:sz w:val="26"/>
                <w:szCs w:val="26"/>
                <w:lang w:val="en-US" w:eastAsia="zh-CN"/>
              </w:rPr>
            </w:pPr>
            <w:r>
              <w:rPr>
                <w:rFonts w:hint="eastAsia" w:ascii="Times New Roman" w:hAnsi="Times New Roman" w:eastAsia="宋体" w:cs="Times New Roman"/>
                <w:b/>
                <w:bCs w:val="0"/>
                <w:color w:val="auto"/>
                <w:sz w:val="26"/>
                <w:szCs w:val="26"/>
                <w:lang w:val="en-US" w:eastAsia="zh-CN"/>
              </w:rPr>
              <w:t>表3.4-3  大气污染物综合排放标准  单位：mg/m</w:t>
            </w:r>
            <w:r>
              <w:rPr>
                <w:rFonts w:hint="eastAsia" w:ascii="Times New Roman" w:hAnsi="Times New Roman" w:eastAsia="宋体" w:cs="Times New Roman"/>
                <w:b/>
                <w:bCs w:val="0"/>
                <w:color w:val="auto"/>
                <w:sz w:val="26"/>
                <w:szCs w:val="26"/>
                <w:vertAlign w:val="superscript"/>
                <w:lang w:val="en-US" w:eastAsia="zh-CN"/>
              </w:rPr>
              <w:t>3</w:t>
            </w:r>
          </w:p>
          <w:tbl>
            <w:tblPr>
              <w:tblStyle w:val="26"/>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936"/>
              <w:gridCol w:w="1006"/>
              <w:gridCol w:w="1100"/>
              <w:gridCol w:w="1101"/>
              <w:gridCol w:w="1101"/>
              <w:gridCol w:w="1103"/>
            </w:tblGrid>
            <w:tr w14:paraId="65F80A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359" w:type="dxa"/>
                  <w:vMerge w:val="restart"/>
                  <w:tcBorders>
                    <w:tl2br w:val="nil"/>
                    <w:tr2bl w:val="nil"/>
                  </w:tcBorders>
                  <w:noWrap w:val="0"/>
                  <w:vAlign w:val="center"/>
                </w:tcPr>
                <w:p w14:paraId="748E2BF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污染源</w:t>
                  </w:r>
                </w:p>
              </w:tc>
              <w:tc>
                <w:tcPr>
                  <w:tcW w:w="936" w:type="dxa"/>
                  <w:vMerge w:val="restart"/>
                  <w:tcBorders>
                    <w:tl2br w:val="nil"/>
                    <w:tr2bl w:val="nil"/>
                  </w:tcBorders>
                  <w:noWrap w:val="0"/>
                  <w:vAlign w:val="center"/>
                </w:tcPr>
                <w:p w14:paraId="05CA2E2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污染物</w:t>
                  </w:r>
                </w:p>
              </w:tc>
              <w:tc>
                <w:tcPr>
                  <w:tcW w:w="1006" w:type="dxa"/>
                  <w:vMerge w:val="restart"/>
                  <w:tcBorders>
                    <w:tl2br w:val="nil"/>
                    <w:tr2bl w:val="nil"/>
                  </w:tcBorders>
                  <w:noWrap w:val="0"/>
                  <w:vAlign w:val="center"/>
                </w:tcPr>
                <w:p w14:paraId="7A4B151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最高允许排放浓度</w:t>
                  </w:r>
                </w:p>
              </w:tc>
              <w:tc>
                <w:tcPr>
                  <w:tcW w:w="1100" w:type="dxa"/>
                  <w:vMerge w:val="restart"/>
                  <w:tcBorders>
                    <w:tl2br w:val="nil"/>
                    <w:tr2bl w:val="nil"/>
                  </w:tcBorders>
                  <w:noWrap w:val="0"/>
                  <w:vAlign w:val="center"/>
                </w:tcPr>
                <w:p w14:paraId="716FCCE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排气筒高度（m）</w:t>
                  </w:r>
                </w:p>
              </w:tc>
              <w:tc>
                <w:tcPr>
                  <w:tcW w:w="1101" w:type="dxa"/>
                  <w:vMerge w:val="restart"/>
                  <w:tcBorders>
                    <w:tl2br w:val="nil"/>
                    <w:tr2bl w:val="nil"/>
                  </w:tcBorders>
                  <w:noWrap w:val="0"/>
                  <w:vAlign w:val="center"/>
                </w:tcPr>
                <w:p w14:paraId="5077176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最高允许排放速率（kg/h）</w:t>
                  </w:r>
                </w:p>
              </w:tc>
              <w:tc>
                <w:tcPr>
                  <w:tcW w:w="2204" w:type="dxa"/>
                  <w:gridSpan w:val="2"/>
                  <w:tcBorders>
                    <w:tl2br w:val="nil"/>
                    <w:tr2bl w:val="nil"/>
                  </w:tcBorders>
                  <w:noWrap w:val="0"/>
                  <w:vAlign w:val="center"/>
                </w:tcPr>
                <w:p w14:paraId="231EC95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无组织排放监控浓度限值</w:t>
                  </w:r>
                </w:p>
              </w:tc>
            </w:tr>
            <w:tr w14:paraId="7182BB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359" w:type="dxa"/>
                  <w:vMerge w:val="continue"/>
                  <w:tcBorders>
                    <w:tl2br w:val="nil"/>
                    <w:tr2bl w:val="nil"/>
                  </w:tcBorders>
                  <w:noWrap w:val="0"/>
                  <w:vAlign w:val="center"/>
                </w:tcPr>
                <w:p w14:paraId="226ABA9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2"/>
                      <w:szCs w:val="22"/>
                    </w:rPr>
                  </w:pPr>
                </w:p>
              </w:tc>
              <w:tc>
                <w:tcPr>
                  <w:tcW w:w="936" w:type="dxa"/>
                  <w:vMerge w:val="continue"/>
                  <w:tcBorders>
                    <w:tl2br w:val="nil"/>
                    <w:tr2bl w:val="nil"/>
                  </w:tcBorders>
                  <w:noWrap w:val="0"/>
                  <w:vAlign w:val="center"/>
                </w:tcPr>
                <w:p w14:paraId="642B556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2"/>
                      <w:szCs w:val="22"/>
                    </w:rPr>
                  </w:pPr>
                </w:p>
              </w:tc>
              <w:tc>
                <w:tcPr>
                  <w:tcW w:w="1006" w:type="dxa"/>
                  <w:vMerge w:val="continue"/>
                  <w:tcBorders>
                    <w:tl2br w:val="nil"/>
                    <w:tr2bl w:val="nil"/>
                  </w:tcBorders>
                  <w:noWrap w:val="0"/>
                  <w:vAlign w:val="center"/>
                </w:tcPr>
                <w:p w14:paraId="41A350D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2"/>
                      <w:szCs w:val="22"/>
                    </w:rPr>
                  </w:pPr>
                </w:p>
              </w:tc>
              <w:tc>
                <w:tcPr>
                  <w:tcW w:w="1100" w:type="dxa"/>
                  <w:vMerge w:val="continue"/>
                  <w:tcBorders>
                    <w:tl2br w:val="nil"/>
                    <w:tr2bl w:val="nil"/>
                  </w:tcBorders>
                  <w:noWrap w:val="0"/>
                  <w:vAlign w:val="center"/>
                </w:tcPr>
                <w:p w14:paraId="6149877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2"/>
                      <w:szCs w:val="22"/>
                    </w:rPr>
                  </w:pPr>
                </w:p>
              </w:tc>
              <w:tc>
                <w:tcPr>
                  <w:tcW w:w="1101" w:type="dxa"/>
                  <w:vMerge w:val="continue"/>
                  <w:tcBorders>
                    <w:tl2br w:val="nil"/>
                    <w:tr2bl w:val="nil"/>
                  </w:tcBorders>
                  <w:noWrap w:val="0"/>
                  <w:vAlign w:val="center"/>
                </w:tcPr>
                <w:p w14:paraId="1EF086D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2"/>
                      <w:szCs w:val="22"/>
                    </w:rPr>
                  </w:pPr>
                </w:p>
              </w:tc>
              <w:tc>
                <w:tcPr>
                  <w:tcW w:w="1101" w:type="dxa"/>
                  <w:tcBorders>
                    <w:tl2br w:val="nil"/>
                    <w:tr2bl w:val="nil"/>
                  </w:tcBorders>
                  <w:noWrap w:val="0"/>
                  <w:vAlign w:val="center"/>
                </w:tcPr>
                <w:p w14:paraId="43DF5D4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监控点</w:t>
                  </w:r>
                </w:p>
              </w:tc>
              <w:tc>
                <w:tcPr>
                  <w:tcW w:w="1103" w:type="dxa"/>
                  <w:tcBorders>
                    <w:tl2br w:val="nil"/>
                    <w:tr2bl w:val="nil"/>
                  </w:tcBorders>
                  <w:noWrap w:val="0"/>
                  <w:vAlign w:val="center"/>
                </w:tcPr>
                <w:p w14:paraId="5E3F9CE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浓度值</w:t>
                  </w:r>
                </w:p>
              </w:tc>
            </w:tr>
            <w:tr w14:paraId="2BB46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tcBorders>
                    <w:tl2br w:val="nil"/>
                    <w:tr2bl w:val="nil"/>
                  </w:tcBorders>
                  <w:noWrap w:val="0"/>
                  <w:vAlign w:val="center"/>
                </w:tcPr>
                <w:p w14:paraId="70F15D5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DA002</w:t>
                  </w:r>
                </w:p>
              </w:tc>
              <w:tc>
                <w:tcPr>
                  <w:tcW w:w="936" w:type="dxa"/>
                  <w:tcBorders>
                    <w:tl2br w:val="nil"/>
                    <w:tr2bl w:val="nil"/>
                  </w:tcBorders>
                  <w:noWrap w:val="0"/>
                  <w:vAlign w:val="center"/>
                </w:tcPr>
                <w:p w14:paraId="7BCCCE0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HCl</w:t>
                  </w:r>
                </w:p>
              </w:tc>
              <w:tc>
                <w:tcPr>
                  <w:tcW w:w="1006" w:type="dxa"/>
                  <w:tcBorders>
                    <w:tl2br w:val="nil"/>
                    <w:tr2bl w:val="nil"/>
                  </w:tcBorders>
                  <w:noWrap w:val="0"/>
                  <w:vAlign w:val="center"/>
                </w:tcPr>
                <w:p w14:paraId="14075D0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100</w:t>
                  </w:r>
                </w:p>
              </w:tc>
              <w:tc>
                <w:tcPr>
                  <w:tcW w:w="1100" w:type="dxa"/>
                  <w:tcBorders>
                    <w:tl2br w:val="nil"/>
                    <w:tr2bl w:val="nil"/>
                  </w:tcBorders>
                  <w:noWrap w:val="0"/>
                  <w:vAlign w:val="center"/>
                </w:tcPr>
                <w:p w14:paraId="47FD39B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21</w:t>
                  </w:r>
                </w:p>
              </w:tc>
              <w:tc>
                <w:tcPr>
                  <w:tcW w:w="1101" w:type="dxa"/>
                  <w:tcBorders>
                    <w:tl2br w:val="nil"/>
                    <w:tr2bl w:val="nil"/>
                  </w:tcBorders>
                  <w:noWrap w:val="0"/>
                  <w:vAlign w:val="center"/>
                </w:tcPr>
                <w:p w14:paraId="0EB54DD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0.53</w:t>
                  </w:r>
                </w:p>
              </w:tc>
              <w:tc>
                <w:tcPr>
                  <w:tcW w:w="1101" w:type="dxa"/>
                  <w:tcBorders>
                    <w:tl2br w:val="nil"/>
                    <w:tr2bl w:val="nil"/>
                  </w:tcBorders>
                  <w:noWrap w:val="0"/>
                  <w:vAlign w:val="center"/>
                </w:tcPr>
                <w:p w14:paraId="632F6CC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w:t>
                  </w:r>
                </w:p>
              </w:tc>
              <w:tc>
                <w:tcPr>
                  <w:tcW w:w="1103" w:type="dxa"/>
                  <w:tcBorders>
                    <w:tl2br w:val="nil"/>
                    <w:tr2bl w:val="nil"/>
                  </w:tcBorders>
                  <w:noWrap w:val="0"/>
                  <w:vAlign w:val="center"/>
                </w:tcPr>
                <w:p w14:paraId="3B9E055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w:t>
                  </w:r>
                </w:p>
              </w:tc>
            </w:tr>
            <w:tr w14:paraId="4985D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tcBorders>
                    <w:tl2br w:val="nil"/>
                    <w:tr2bl w:val="nil"/>
                  </w:tcBorders>
                  <w:noWrap w:val="0"/>
                  <w:vAlign w:val="center"/>
                </w:tcPr>
                <w:p w14:paraId="10BAFF1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olor w:val="auto"/>
                      <w:sz w:val="22"/>
                      <w:szCs w:val="22"/>
                      <w:vertAlign w:val="baseline"/>
                      <w:lang w:val="en-US" w:eastAsia="zh-CN"/>
                    </w:rPr>
                  </w:pPr>
                  <w:r>
                    <w:rPr>
                      <w:rFonts w:hint="eastAsia" w:ascii="Times New Roman" w:hAnsi="Times New Roman"/>
                      <w:color w:val="auto"/>
                      <w:sz w:val="22"/>
                      <w:szCs w:val="22"/>
                      <w:vertAlign w:val="baseline"/>
                      <w:lang w:val="en-US" w:eastAsia="zh-CN"/>
                    </w:rPr>
                    <w:t>DA003</w:t>
                  </w:r>
                </w:p>
              </w:tc>
              <w:tc>
                <w:tcPr>
                  <w:tcW w:w="936" w:type="dxa"/>
                  <w:tcBorders>
                    <w:tl2br w:val="nil"/>
                    <w:tr2bl w:val="nil"/>
                  </w:tcBorders>
                  <w:noWrap w:val="0"/>
                  <w:vAlign w:val="center"/>
                </w:tcPr>
                <w:p w14:paraId="3B9415F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olor w:val="auto"/>
                      <w:sz w:val="22"/>
                      <w:szCs w:val="22"/>
                      <w:vertAlign w:val="baseline"/>
                      <w:lang w:val="en-US" w:eastAsia="zh-CN"/>
                    </w:rPr>
                  </w:pPr>
                  <w:r>
                    <w:rPr>
                      <w:rFonts w:hint="eastAsia" w:ascii="Times New Roman" w:hAnsi="Times New Roman"/>
                      <w:color w:val="auto"/>
                      <w:sz w:val="22"/>
                      <w:szCs w:val="22"/>
                      <w:vertAlign w:val="baseline"/>
                      <w:lang w:val="en-US" w:eastAsia="zh-CN"/>
                    </w:rPr>
                    <w:t>HCl</w:t>
                  </w:r>
                </w:p>
              </w:tc>
              <w:tc>
                <w:tcPr>
                  <w:tcW w:w="1006" w:type="dxa"/>
                  <w:tcBorders>
                    <w:tl2br w:val="nil"/>
                    <w:tr2bl w:val="nil"/>
                  </w:tcBorders>
                  <w:noWrap w:val="0"/>
                  <w:vAlign w:val="center"/>
                </w:tcPr>
                <w:p w14:paraId="47E63139">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Times New Roman" w:hAnsi="Times New Roman"/>
                      <w:color w:val="auto"/>
                      <w:sz w:val="22"/>
                      <w:szCs w:val="22"/>
                      <w:vertAlign w:val="baseline"/>
                      <w:lang w:val="en-US" w:eastAsia="zh-CN"/>
                    </w:rPr>
                  </w:pPr>
                  <w:r>
                    <w:rPr>
                      <w:rFonts w:hint="eastAsia" w:ascii="Times New Roman" w:hAnsi="Times New Roman"/>
                      <w:color w:val="auto"/>
                      <w:sz w:val="22"/>
                      <w:szCs w:val="22"/>
                      <w:vertAlign w:val="baseline"/>
                      <w:lang w:val="en-US" w:eastAsia="zh-CN"/>
                    </w:rPr>
                    <w:t>100</w:t>
                  </w:r>
                </w:p>
              </w:tc>
              <w:tc>
                <w:tcPr>
                  <w:tcW w:w="1100" w:type="dxa"/>
                  <w:tcBorders>
                    <w:tl2br w:val="nil"/>
                    <w:tr2bl w:val="nil"/>
                  </w:tcBorders>
                  <w:noWrap w:val="0"/>
                  <w:vAlign w:val="center"/>
                </w:tcPr>
                <w:p w14:paraId="2D068BB6">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Times New Roman" w:hAnsi="Times New Roman"/>
                      <w:color w:val="auto"/>
                      <w:sz w:val="22"/>
                      <w:szCs w:val="22"/>
                      <w:vertAlign w:val="baseline"/>
                      <w:lang w:val="en-US" w:eastAsia="zh-CN"/>
                    </w:rPr>
                  </w:pPr>
                  <w:r>
                    <w:rPr>
                      <w:rFonts w:hint="eastAsia" w:ascii="Times New Roman" w:hAnsi="Times New Roman"/>
                      <w:color w:val="auto"/>
                      <w:sz w:val="22"/>
                      <w:szCs w:val="22"/>
                      <w:vertAlign w:val="baseline"/>
                      <w:lang w:val="en-US" w:eastAsia="zh-CN"/>
                    </w:rPr>
                    <w:t>20</w:t>
                  </w:r>
                </w:p>
              </w:tc>
              <w:tc>
                <w:tcPr>
                  <w:tcW w:w="1101" w:type="dxa"/>
                  <w:tcBorders>
                    <w:tl2br w:val="nil"/>
                    <w:tr2bl w:val="nil"/>
                  </w:tcBorders>
                  <w:noWrap w:val="0"/>
                  <w:vAlign w:val="center"/>
                </w:tcPr>
                <w:p w14:paraId="6F24CCA4">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Times New Roman" w:hAnsi="Times New Roman"/>
                      <w:color w:val="auto"/>
                      <w:sz w:val="22"/>
                      <w:szCs w:val="22"/>
                      <w:vertAlign w:val="baseline"/>
                      <w:lang w:val="en-US" w:eastAsia="zh-CN"/>
                    </w:rPr>
                  </w:pPr>
                  <w:r>
                    <w:rPr>
                      <w:rFonts w:hint="eastAsia" w:ascii="Times New Roman" w:hAnsi="Times New Roman"/>
                      <w:color w:val="auto"/>
                      <w:sz w:val="22"/>
                      <w:szCs w:val="22"/>
                      <w:vertAlign w:val="baseline"/>
                      <w:lang w:val="en-US" w:eastAsia="zh-CN"/>
                    </w:rPr>
                    <w:t>0.43</w:t>
                  </w:r>
                </w:p>
              </w:tc>
              <w:tc>
                <w:tcPr>
                  <w:tcW w:w="1101" w:type="dxa"/>
                  <w:tcBorders>
                    <w:tl2br w:val="nil"/>
                    <w:tr2bl w:val="nil"/>
                  </w:tcBorders>
                  <w:noWrap w:val="0"/>
                  <w:vAlign w:val="center"/>
                </w:tcPr>
                <w:p w14:paraId="64CC60C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olor w:val="auto"/>
                      <w:sz w:val="22"/>
                      <w:szCs w:val="22"/>
                      <w:vertAlign w:val="baseline"/>
                      <w:lang w:val="en-US" w:eastAsia="zh-CN"/>
                    </w:rPr>
                  </w:pPr>
                  <w:r>
                    <w:rPr>
                      <w:rFonts w:hint="eastAsia" w:ascii="Times New Roman" w:hAnsi="Times New Roman"/>
                      <w:color w:val="auto"/>
                      <w:sz w:val="22"/>
                      <w:szCs w:val="22"/>
                      <w:vertAlign w:val="baseline"/>
                      <w:lang w:val="en-US" w:eastAsia="zh-CN"/>
                    </w:rPr>
                    <w:t>/</w:t>
                  </w:r>
                </w:p>
              </w:tc>
              <w:tc>
                <w:tcPr>
                  <w:tcW w:w="1103" w:type="dxa"/>
                  <w:tcBorders>
                    <w:tl2br w:val="nil"/>
                    <w:tr2bl w:val="nil"/>
                  </w:tcBorders>
                  <w:noWrap w:val="0"/>
                  <w:vAlign w:val="center"/>
                </w:tcPr>
                <w:p w14:paraId="2B29900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olor w:val="auto"/>
                      <w:sz w:val="22"/>
                      <w:szCs w:val="22"/>
                      <w:vertAlign w:val="baseline"/>
                      <w:lang w:val="en-US" w:eastAsia="zh-CN"/>
                    </w:rPr>
                  </w:pPr>
                  <w:r>
                    <w:rPr>
                      <w:rFonts w:hint="eastAsia" w:ascii="Times New Roman" w:hAnsi="Times New Roman"/>
                      <w:color w:val="auto"/>
                      <w:sz w:val="22"/>
                      <w:szCs w:val="22"/>
                      <w:vertAlign w:val="baseline"/>
                      <w:lang w:val="en-US" w:eastAsia="zh-CN"/>
                    </w:rPr>
                    <w:t>/</w:t>
                  </w:r>
                </w:p>
              </w:tc>
            </w:tr>
            <w:tr w14:paraId="57C67F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tcBorders>
                    <w:tl2br w:val="nil"/>
                    <w:tr2bl w:val="nil"/>
                  </w:tcBorders>
                  <w:noWrap w:val="0"/>
                  <w:vAlign w:val="center"/>
                </w:tcPr>
                <w:p w14:paraId="5889E31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olor w:val="auto"/>
                      <w:sz w:val="22"/>
                      <w:szCs w:val="22"/>
                      <w:vertAlign w:val="baseline"/>
                      <w:lang w:val="en-US" w:eastAsia="zh-CN"/>
                    </w:rPr>
                  </w:pPr>
                </w:p>
              </w:tc>
              <w:tc>
                <w:tcPr>
                  <w:tcW w:w="936" w:type="dxa"/>
                  <w:tcBorders>
                    <w:tl2br w:val="nil"/>
                    <w:tr2bl w:val="nil"/>
                  </w:tcBorders>
                  <w:noWrap w:val="0"/>
                  <w:vAlign w:val="center"/>
                </w:tcPr>
                <w:p w14:paraId="7F8F56A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olor w:val="auto"/>
                      <w:sz w:val="22"/>
                      <w:szCs w:val="22"/>
                      <w:vertAlign w:val="baseline"/>
                      <w:lang w:val="en-US" w:eastAsia="zh-CN"/>
                    </w:rPr>
                  </w:pPr>
                  <w:r>
                    <w:rPr>
                      <w:rFonts w:hint="eastAsia" w:ascii="Times New Roman" w:hAnsi="Times New Roman"/>
                      <w:color w:val="auto"/>
                      <w:sz w:val="22"/>
                      <w:szCs w:val="22"/>
                      <w:vertAlign w:val="baseline"/>
                      <w:lang w:val="en-US" w:eastAsia="zh-CN"/>
                    </w:rPr>
                    <w:t>氟化物</w:t>
                  </w:r>
                </w:p>
              </w:tc>
              <w:tc>
                <w:tcPr>
                  <w:tcW w:w="1006" w:type="dxa"/>
                  <w:tcBorders>
                    <w:tl2br w:val="nil"/>
                    <w:tr2bl w:val="nil"/>
                  </w:tcBorders>
                  <w:noWrap w:val="0"/>
                  <w:vAlign w:val="center"/>
                </w:tcPr>
                <w:p w14:paraId="7F8A4A97">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Times New Roman" w:hAnsi="Times New Roman"/>
                      <w:color w:val="auto"/>
                      <w:sz w:val="22"/>
                      <w:szCs w:val="22"/>
                      <w:vertAlign w:val="baseline"/>
                      <w:lang w:val="en-US" w:eastAsia="zh-CN"/>
                    </w:rPr>
                  </w:pPr>
                  <w:r>
                    <w:rPr>
                      <w:rFonts w:hint="eastAsia" w:ascii="Times New Roman" w:hAnsi="Times New Roman"/>
                      <w:color w:val="auto"/>
                      <w:sz w:val="22"/>
                      <w:szCs w:val="22"/>
                      <w:vertAlign w:val="baseline"/>
                      <w:lang w:val="en-US" w:eastAsia="zh-CN"/>
                    </w:rPr>
                    <w:t>9</w:t>
                  </w:r>
                </w:p>
              </w:tc>
              <w:tc>
                <w:tcPr>
                  <w:tcW w:w="1100" w:type="dxa"/>
                  <w:tcBorders>
                    <w:tl2br w:val="nil"/>
                    <w:tr2bl w:val="nil"/>
                  </w:tcBorders>
                  <w:noWrap w:val="0"/>
                  <w:vAlign w:val="center"/>
                </w:tcPr>
                <w:p w14:paraId="7AB20EF6">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Times New Roman" w:hAnsi="Times New Roman"/>
                      <w:color w:val="auto"/>
                      <w:sz w:val="22"/>
                      <w:szCs w:val="22"/>
                      <w:vertAlign w:val="baseline"/>
                      <w:lang w:val="en-US" w:eastAsia="zh-CN"/>
                    </w:rPr>
                  </w:pPr>
                  <w:r>
                    <w:rPr>
                      <w:rFonts w:hint="eastAsia" w:ascii="Times New Roman" w:hAnsi="Times New Roman"/>
                      <w:color w:val="auto"/>
                      <w:sz w:val="22"/>
                      <w:szCs w:val="22"/>
                      <w:vertAlign w:val="baseline"/>
                      <w:lang w:val="en-US" w:eastAsia="zh-CN"/>
                    </w:rPr>
                    <w:t>20</w:t>
                  </w:r>
                </w:p>
              </w:tc>
              <w:tc>
                <w:tcPr>
                  <w:tcW w:w="1101" w:type="dxa"/>
                  <w:tcBorders>
                    <w:tl2br w:val="nil"/>
                    <w:tr2bl w:val="nil"/>
                  </w:tcBorders>
                  <w:noWrap w:val="0"/>
                  <w:vAlign w:val="center"/>
                </w:tcPr>
                <w:p w14:paraId="6CA239D6">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Times New Roman" w:hAnsi="Times New Roman"/>
                      <w:color w:val="auto"/>
                      <w:sz w:val="22"/>
                      <w:szCs w:val="22"/>
                      <w:vertAlign w:val="baseline"/>
                      <w:lang w:val="en-US" w:eastAsia="zh-CN"/>
                    </w:rPr>
                  </w:pPr>
                  <w:r>
                    <w:rPr>
                      <w:rFonts w:hint="eastAsia" w:ascii="Times New Roman" w:hAnsi="Times New Roman"/>
                      <w:color w:val="auto"/>
                      <w:sz w:val="22"/>
                      <w:szCs w:val="22"/>
                      <w:vertAlign w:val="baseline"/>
                      <w:lang w:val="en-US" w:eastAsia="zh-CN"/>
                    </w:rPr>
                    <w:t>0.17</w:t>
                  </w:r>
                </w:p>
              </w:tc>
              <w:tc>
                <w:tcPr>
                  <w:tcW w:w="1101" w:type="dxa"/>
                  <w:tcBorders>
                    <w:tl2br w:val="nil"/>
                    <w:tr2bl w:val="nil"/>
                  </w:tcBorders>
                  <w:noWrap w:val="0"/>
                  <w:vAlign w:val="center"/>
                </w:tcPr>
                <w:p w14:paraId="44D51BB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olor w:val="auto"/>
                      <w:sz w:val="22"/>
                      <w:szCs w:val="22"/>
                      <w:vertAlign w:val="baseline"/>
                      <w:lang w:val="en-US" w:eastAsia="zh-CN"/>
                    </w:rPr>
                  </w:pPr>
                  <w:r>
                    <w:rPr>
                      <w:rFonts w:hint="eastAsia" w:ascii="Times New Roman" w:hAnsi="Times New Roman"/>
                      <w:color w:val="auto"/>
                      <w:sz w:val="22"/>
                      <w:szCs w:val="22"/>
                      <w:vertAlign w:val="baseline"/>
                      <w:lang w:val="en-US" w:eastAsia="zh-CN"/>
                    </w:rPr>
                    <w:t>/</w:t>
                  </w:r>
                </w:p>
              </w:tc>
              <w:tc>
                <w:tcPr>
                  <w:tcW w:w="1103" w:type="dxa"/>
                  <w:tcBorders>
                    <w:tl2br w:val="nil"/>
                    <w:tr2bl w:val="nil"/>
                  </w:tcBorders>
                  <w:noWrap w:val="0"/>
                  <w:vAlign w:val="center"/>
                </w:tcPr>
                <w:p w14:paraId="5D13612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olor w:val="auto"/>
                      <w:sz w:val="22"/>
                      <w:szCs w:val="22"/>
                      <w:vertAlign w:val="baseline"/>
                      <w:lang w:val="en-US" w:eastAsia="zh-CN"/>
                    </w:rPr>
                  </w:pPr>
                  <w:r>
                    <w:rPr>
                      <w:rFonts w:hint="eastAsia" w:ascii="Times New Roman" w:hAnsi="Times New Roman"/>
                      <w:color w:val="auto"/>
                      <w:sz w:val="22"/>
                      <w:szCs w:val="22"/>
                      <w:vertAlign w:val="baseline"/>
                      <w:lang w:val="en-US" w:eastAsia="zh-CN"/>
                    </w:rPr>
                    <w:t>/</w:t>
                  </w:r>
                </w:p>
              </w:tc>
            </w:tr>
            <w:tr w14:paraId="243A6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tcBorders>
                    <w:tl2br w:val="nil"/>
                    <w:tr2bl w:val="nil"/>
                  </w:tcBorders>
                  <w:noWrap w:val="0"/>
                  <w:vAlign w:val="center"/>
                </w:tcPr>
                <w:p w14:paraId="4D042AC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无组织排放</w:t>
                  </w:r>
                </w:p>
              </w:tc>
              <w:tc>
                <w:tcPr>
                  <w:tcW w:w="936" w:type="dxa"/>
                  <w:tcBorders>
                    <w:tl2br w:val="nil"/>
                    <w:tr2bl w:val="nil"/>
                  </w:tcBorders>
                  <w:noWrap w:val="0"/>
                  <w:vAlign w:val="center"/>
                </w:tcPr>
                <w:p w14:paraId="098E48B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颗粒物</w:t>
                  </w:r>
                </w:p>
              </w:tc>
              <w:tc>
                <w:tcPr>
                  <w:tcW w:w="1006" w:type="dxa"/>
                  <w:tcBorders>
                    <w:tl2br w:val="nil"/>
                    <w:tr2bl w:val="nil"/>
                  </w:tcBorders>
                  <w:noWrap w:val="0"/>
                  <w:vAlign w:val="center"/>
                </w:tcPr>
                <w:p w14:paraId="46ABA62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eastAsia="zh-CN"/>
                    </w:rPr>
                  </w:pPr>
                  <w:r>
                    <w:rPr>
                      <w:rFonts w:hint="eastAsia" w:ascii="Times New Roman" w:hAnsi="Times New Roman"/>
                      <w:color w:val="auto"/>
                      <w:sz w:val="22"/>
                      <w:szCs w:val="22"/>
                      <w:vertAlign w:val="baseline"/>
                      <w:lang w:val="en-US" w:eastAsia="zh-CN"/>
                    </w:rPr>
                    <w:t>/</w:t>
                  </w:r>
                </w:p>
              </w:tc>
              <w:tc>
                <w:tcPr>
                  <w:tcW w:w="1100" w:type="dxa"/>
                  <w:tcBorders>
                    <w:tl2br w:val="nil"/>
                    <w:tr2bl w:val="nil"/>
                  </w:tcBorders>
                  <w:noWrap w:val="0"/>
                  <w:vAlign w:val="center"/>
                </w:tcPr>
                <w:p w14:paraId="0A1F66E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w:t>
                  </w:r>
                </w:p>
              </w:tc>
              <w:tc>
                <w:tcPr>
                  <w:tcW w:w="1101" w:type="dxa"/>
                  <w:tcBorders>
                    <w:tl2br w:val="nil"/>
                    <w:tr2bl w:val="nil"/>
                  </w:tcBorders>
                  <w:noWrap w:val="0"/>
                  <w:vAlign w:val="center"/>
                </w:tcPr>
                <w:p w14:paraId="312D41B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w:t>
                  </w:r>
                </w:p>
              </w:tc>
              <w:tc>
                <w:tcPr>
                  <w:tcW w:w="1101" w:type="dxa"/>
                  <w:vMerge w:val="restart"/>
                  <w:tcBorders>
                    <w:tl2br w:val="nil"/>
                    <w:tr2bl w:val="nil"/>
                  </w:tcBorders>
                  <w:noWrap w:val="0"/>
                  <w:vAlign w:val="center"/>
                </w:tcPr>
                <w:p w14:paraId="1B77EFE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周界外浓度最高点</w:t>
                  </w:r>
                </w:p>
              </w:tc>
              <w:tc>
                <w:tcPr>
                  <w:tcW w:w="1103" w:type="dxa"/>
                  <w:tcBorders>
                    <w:tl2br w:val="nil"/>
                    <w:tr2bl w:val="nil"/>
                  </w:tcBorders>
                  <w:noWrap w:val="0"/>
                  <w:vAlign w:val="center"/>
                </w:tcPr>
                <w:p w14:paraId="2D221EC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1.0</w:t>
                  </w:r>
                </w:p>
              </w:tc>
            </w:tr>
            <w:tr w14:paraId="5DDCC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tcBorders>
                    <w:tl2br w:val="nil"/>
                    <w:tr2bl w:val="nil"/>
                  </w:tcBorders>
                  <w:noWrap w:val="0"/>
                  <w:vAlign w:val="center"/>
                </w:tcPr>
                <w:p w14:paraId="7CE36A4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color w:val="auto"/>
                      <w:sz w:val="22"/>
                      <w:szCs w:val="22"/>
                      <w:vertAlign w:val="baseline"/>
                    </w:rPr>
                  </w:pPr>
                </w:p>
              </w:tc>
              <w:tc>
                <w:tcPr>
                  <w:tcW w:w="936" w:type="dxa"/>
                  <w:tcBorders>
                    <w:tl2br w:val="nil"/>
                    <w:tr2bl w:val="nil"/>
                  </w:tcBorders>
                  <w:noWrap w:val="0"/>
                  <w:vAlign w:val="center"/>
                </w:tcPr>
                <w:p w14:paraId="2734F3A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color w:val="auto"/>
                      <w:sz w:val="22"/>
                      <w:szCs w:val="22"/>
                      <w:vertAlign w:val="baseline"/>
                    </w:rPr>
                  </w:pPr>
                  <w:r>
                    <w:rPr>
                      <w:rFonts w:hint="eastAsia" w:ascii="Times New Roman" w:hAnsi="Times New Roman"/>
                      <w:color w:val="auto"/>
                      <w:sz w:val="22"/>
                      <w:szCs w:val="22"/>
                      <w:vertAlign w:val="baseline"/>
                      <w:lang w:val="en-US" w:eastAsia="zh-CN"/>
                    </w:rPr>
                    <w:t>HCl</w:t>
                  </w:r>
                </w:p>
              </w:tc>
              <w:tc>
                <w:tcPr>
                  <w:tcW w:w="1006" w:type="dxa"/>
                  <w:tcBorders>
                    <w:tl2br w:val="nil"/>
                    <w:tr2bl w:val="nil"/>
                  </w:tcBorders>
                  <w:noWrap w:val="0"/>
                  <w:vAlign w:val="center"/>
                </w:tcPr>
                <w:p w14:paraId="61FB6D7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w:t>
                  </w:r>
                </w:p>
              </w:tc>
              <w:tc>
                <w:tcPr>
                  <w:tcW w:w="1100" w:type="dxa"/>
                  <w:tcBorders>
                    <w:tl2br w:val="nil"/>
                    <w:tr2bl w:val="nil"/>
                  </w:tcBorders>
                  <w:noWrap w:val="0"/>
                  <w:vAlign w:val="center"/>
                </w:tcPr>
                <w:p w14:paraId="4C52F91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w:t>
                  </w:r>
                </w:p>
              </w:tc>
              <w:tc>
                <w:tcPr>
                  <w:tcW w:w="1101" w:type="dxa"/>
                  <w:tcBorders>
                    <w:tl2br w:val="nil"/>
                    <w:tr2bl w:val="nil"/>
                  </w:tcBorders>
                  <w:noWrap w:val="0"/>
                  <w:vAlign w:val="center"/>
                </w:tcPr>
                <w:p w14:paraId="65CBB9B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w:t>
                  </w:r>
                </w:p>
              </w:tc>
              <w:tc>
                <w:tcPr>
                  <w:tcW w:w="1101" w:type="dxa"/>
                  <w:vMerge w:val="continue"/>
                  <w:tcBorders>
                    <w:tl2br w:val="nil"/>
                    <w:tr2bl w:val="nil"/>
                  </w:tcBorders>
                  <w:noWrap w:val="0"/>
                  <w:vAlign w:val="center"/>
                </w:tcPr>
                <w:p w14:paraId="34C84BA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color w:val="auto"/>
                      <w:sz w:val="22"/>
                      <w:szCs w:val="22"/>
                      <w:vertAlign w:val="baseline"/>
                    </w:rPr>
                  </w:pPr>
                </w:p>
              </w:tc>
              <w:tc>
                <w:tcPr>
                  <w:tcW w:w="1103" w:type="dxa"/>
                  <w:tcBorders>
                    <w:tl2br w:val="nil"/>
                    <w:tr2bl w:val="nil"/>
                  </w:tcBorders>
                  <w:noWrap w:val="0"/>
                  <w:vAlign w:val="center"/>
                </w:tcPr>
                <w:p w14:paraId="67FD6CD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0.2</w:t>
                  </w:r>
                </w:p>
              </w:tc>
            </w:tr>
            <w:tr w14:paraId="0A2C63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tcBorders>
                    <w:tl2br w:val="nil"/>
                    <w:tr2bl w:val="nil"/>
                  </w:tcBorders>
                  <w:noWrap w:val="0"/>
                  <w:vAlign w:val="center"/>
                </w:tcPr>
                <w:p w14:paraId="26147C0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color w:val="auto"/>
                      <w:sz w:val="22"/>
                      <w:szCs w:val="22"/>
                      <w:vertAlign w:val="baseline"/>
                    </w:rPr>
                  </w:pPr>
                </w:p>
              </w:tc>
              <w:tc>
                <w:tcPr>
                  <w:tcW w:w="936" w:type="dxa"/>
                  <w:tcBorders>
                    <w:tl2br w:val="nil"/>
                    <w:tr2bl w:val="nil"/>
                  </w:tcBorders>
                  <w:noWrap w:val="0"/>
                  <w:vAlign w:val="center"/>
                </w:tcPr>
                <w:p w14:paraId="3A10C7C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氟化物</w:t>
                  </w:r>
                </w:p>
              </w:tc>
              <w:tc>
                <w:tcPr>
                  <w:tcW w:w="1006" w:type="dxa"/>
                  <w:tcBorders>
                    <w:tl2br w:val="nil"/>
                    <w:tr2bl w:val="nil"/>
                  </w:tcBorders>
                  <w:noWrap w:val="0"/>
                  <w:vAlign w:val="center"/>
                </w:tcPr>
                <w:p w14:paraId="18A028F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w:t>
                  </w:r>
                </w:p>
              </w:tc>
              <w:tc>
                <w:tcPr>
                  <w:tcW w:w="1100" w:type="dxa"/>
                  <w:tcBorders>
                    <w:tl2br w:val="nil"/>
                    <w:tr2bl w:val="nil"/>
                  </w:tcBorders>
                  <w:noWrap w:val="0"/>
                  <w:vAlign w:val="center"/>
                </w:tcPr>
                <w:p w14:paraId="5B08AF6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w:t>
                  </w:r>
                </w:p>
              </w:tc>
              <w:tc>
                <w:tcPr>
                  <w:tcW w:w="1101" w:type="dxa"/>
                  <w:tcBorders>
                    <w:tl2br w:val="nil"/>
                    <w:tr2bl w:val="nil"/>
                  </w:tcBorders>
                  <w:noWrap w:val="0"/>
                  <w:vAlign w:val="center"/>
                </w:tcPr>
                <w:p w14:paraId="0C61645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w:t>
                  </w:r>
                </w:p>
              </w:tc>
              <w:tc>
                <w:tcPr>
                  <w:tcW w:w="1101" w:type="dxa"/>
                  <w:vMerge w:val="continue"/>
                  <w:tcBorders>
                    <w:tl2br w:val="nil"/>
                    <w:tr2bl w:val="nil"/>
                  </w:tcBorders>
                  <w:noWrap w:val="0"/>
                  <w:vAlign w:val="center"/>
                </w:tcPr>
                <w:p w14:paraId="71E0126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color w:val="auto"/>
                      <w:sz w:val="22"/>
                      <w:szCs w:val="22"/>
                      <w:vertAlign w:val="baseline"/>
                    </w:rPr>
                  </w:pPr>
                </w:p>
              </w:tc>
              <w:tc>
                <w:tcPr>
                  <w:tcW w:w="1103" w:type="dxa"/>
                  <w:tcBorders>
                    <w:tl2br w:val="nil"/>
                    <w:tr2bl w:val="nil"/>
                  </w:tcBorders>
                  <w:noWrap w:val="0"/>
                  <w:vAlign w:val="center"/>
                </w:tcPr>
                <w:p w14:paraId="3B4C207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0.02</w:t>
                  </w:r>
                </w:p>
              </w:tc>
            </w:tr>
            <w:tr w14:paraId="2FE354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tcBorders>
                    <w:tl2br w:val="nil"/>
                    <w:tr2bl w:val="nil"/>
                  </w:tcBorders>
                  <w:noWrap w:val="0"/>
                  <w:vAlign w:val="center"/>
                </w:tcPr>
                <w:p w14:paraId="2937FCD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color w:val="auto"/>
                      <w:sz w:val="22"/>
                      <w:szCs w:val="22"/>
                      <w:vertAlign w:val="baseline"/>
                    </w:rPr>
                  </w:pPr>
                </w:p>
              </w:tc>
              <w:tc>
                <w:tcPr>
                  <w:tcW w:w="936" w:type="dxa"/>
                  <w:tcBorders>
                    <w:tl2br w:val="nil"/>
                    <w:tr2bl w:val="nil"/>
                  </w:tcBorders>
                  <w:noWrap w:val="0"/>
                  <w:vAlign w:val="center"/>
                </w:tcPr>
                <w:p w14:paraId="5B69E6E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SO</w:t>
                  </w:r>
                  <w:r>
                    <w:rPr>
                      <w:rFonts w:hint="eastAsia" w:ascii="Times New Roman" w:hAnsi="Times New Roman"/>
                      <w:color w:val="auto"/>
                      <w:sz w:val="22"/>
                      <w:szCs w:val="22"/>
                      <w:vertAlign w:val="subscript"/>
                      <w:lang w:val="en-US" w:eastAsia="zh-CN"/>
                    </w:rPr>
                    <w:t>2</w:t>
                  </w:r>
                </w:p>
              </w:tc>
              <w:tc>
                <w:tcPr>
                  <w:tcW w:w="1006" w:type="dxa"/>
                  <w:tcBorders>
                    <w:tl2br w:val="nil"/>
                    <w:tr2bl w:val="nil"/>
                  </w:tcBorders>
                  <w:noWrap w:val="0"/>
                  <w:vAlign w:val="center"/>
                </w:tcPr>
                <w:p w14:paraId="5C56B65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w:t>
                  </w:r>
                </w:p>
              </w:tc>
              <w:tc>
                <w:tcPr>
                  <w:tcW w:w="1100" w:type="dxa"/>
                  <w:tcBorders>
                    <w:tl2br w:val="nil"/>
                    <w:tr2bl w:val="nil"/>
                  </w:tcBorders>
                  <w:noWrap w:val="0"/>
                  <w:vAlign w:val="center"/>
                </w:tcPr>
                <w:p w14:paraId="4EC916D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w:t>
                  </w:r>
                </w:p>
              </w:tc>
              <w:tc>
                <w:tcPr>
                  <w:tcW w:w="1101" w:type="dxa"/>
                  <w:tcBorders>
                    <w:tl2br w:val="nil"/>
                    <w:tr2bl w:val="nil"/>
                  </w:tcBorders>
                  <w:noWrap w:val="0"/>
                  <w:vAlign w:val="center"/>
                </w:tcPr>
                <w:p w14:paraId="41A9727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w:t>
                  </w:r>
                </w:p>
              </w:tc>
              <w:tc>
                <w:tcPr>
                  <w:tcW w:w="1101" w:type="dxa"/>
                  <w:vMerge w:val="continue"/>
                  <w:tcBorders>
                    <w:tl2br w:val="nil"/>
                    <w:tr2bl w:val="nil"/>
                  </w:tcBorders>
                  <w:noWrap w:val="0"/>
                  <w:vAlign w:val="center"/>
                </w:tcPr>
                <w:p w14:paraId="26ACAAB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color w:val="auto"/>
                      <w:sz w:val="22"/>
                      <w:szCs w:val="22"/>
                      <w:vertAlign w:val="baseline"/>
                    </w:rPr>
                  </w:pPr>
                </w:p>
              </w:tc>
              <w:tc>
                <w:tcPr>
                  <w:tcW w:w="1103" w:type="dxa"/>
                  <w:tcBorders>
                    <w:tl2br w:val="nil"/>
                    <w:tr2bl w:val="nil"/>
                  </w:tcBorders>
                  <w:noWrap w:val="0"/>
                  <w:vAlign w:val="center"/>
                </w:tcPr>
                <w:p w14:paraId="075EA53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0.4</w:t>
                  </w:r>
                </w:p>
              </w:tc>
            </w:tr>
            <w:tr w14:paraId="7016AC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tcBorders>
                    <w:tl2br w:val="nil"/>
                    <w:tr2bl w:val="nil"/>
                  </w:tcBorders>
                  <w:noWrap w:val="0"/>
                  <w:vAlign w:val="center"/>
                </w:tcPr>
                <w:p w14:paraId="1A3ACD0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color w:val="auto"/>
                      <w:sz w:val="22"/>
                      <w:szCs w:val="22"/>
                      <w:vertAlign w:val="baseline"/>
                    </w:rPr>
                  </w:pPr>
                </w:p>
              </w:tc>
              <w:tc>
                <w:tcPr>
                  <w:tcW w:w="936" w:type="dxa"/>
                  <w:tcBorders>
                    <w:tl2br w:val="nil"/>
                    <w:tr2bl w:val="nil"/>
                  </w:tcBorders>
                  <w:noWrap w:val="0"/>
                  <w:vAlign w:val="center"/>
                </w:tcPr>
                <w:p w14:paraId="33C2A53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NOx</w:t>
                  </w:r>
                </w:p>
              </w:tc>
              <w:tc>
                <w:tcPr>
                  <w:tcW w:w="1006" w:type="dxa"/>
                  <w:tcBorders>
                    <w:tl2br w:val="nil"/>
                    <w:tr2bl w:val="nil"/>
                  </w:tcBorders>
                  <w:noWrap w:val="0"/>
                  <w:vAlign w:val="center"/>
                </w:tcPr>
                <w:p w14:paraId="7DF5CF6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w:t>
                  </w:r>
                </w:p>
              </w:tc>
              <w:tc>
                <w:tcPr>
                  <w:tcW w:w="1100" w:type="dxa"/>
                  <w:tcBorders>
                    <w:tl2br w:val="nil"/>
                    <w:tr2bl w:val="nil"/>
                  </w:tcBorders>
                  <w:noWrap w:val="0"/>
                  <w:vAlign w:val="center"/>
                </w:tcPr>
                <w:p w14:paraId="5CD4653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w:t>
                  </w:r>
                </w:p>
              </w:tc>
              <w:tc>
                <w:tcPr>
                  <w:tcW w:w="1101" w:type="dxa"/>
                  <w:tcBorders>
                    <w:tl2br w:val="nil"/>
                    <w:tr2bl w:val="nil"/>
                  </w:tcBorders>
                  <w:noWrap w:val="0"/>
                  <w:vAlign w:val="center"/>
                </w:tcPr>
                <w:p w14:paraId="542FF2F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w:t>
                  </w:r>
                </w:p>
              </w:tc>
              <w:tc>
                <w:tcPr>
                  <w:tcW w:w="1101" w:type="dxa"/>
                  <w:vMerge w:val="continue"/>
                  <w:tcBorders>
                    <w:tl2br w:val="nil"/>
                    <w:tr2bl w:val="nil"/>
                  </w:tcBorders>
                  <w:noWrap w:val="0"/>
                  <w:vAlign w:val="center"/>
                </w:tcPr>
                <w:p w14:paraId="501A621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color w:val="auto"/>
                      <w:sz w:val="22"/>
                      <w:szCs w:val="22"/>
                      <w:vertAlign w:val="baseline"/>
                    </w:rPr>
                  </w:pPr>
                </w:p>
              </w:tc>
              <w:tc>
                <w:tcPr>
                  <w:tcW w:w="1103" w:type="dxa"/>
                  <w:tcBorders>
                    <w:tl2br w:val="nil"/>
                    <w:tr2bl w:val="nil"/>
                  </w:tcBorders>
                  <w:noWrap w:val="0"/>
                  <w:vAlign w:val="center"/>
                </w:tcPr>
                <w:p w14:paraId="11AEDBB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olor w:val="auto"/>
                      <w:sz w:val="22"/>
                      <w:szCs w:val="22"/>
                      <w:vertAlign w:val="baseline"/>
                      <w:lang w:val="en-US" w:eastAsia="zh-CN"/>
                    </w:rPr>
                  </w:pPr>
                  <w:r>
                    <w:rPr>
                      <w:rFonts w:hint="eastAsia" w:ascii="Times New Roman" w:hAnsi="Times New Roman"/>
                      <w:color w:val="auto"/>
                      <w:sz w:val="22"/>
                      <w:szCs w:val="22"/>
                      <w:vertAlign w:val="baseline"/>
                      <w:lang w:val="en-US" w:eastAsia="zh-CN"/>
                    </w:rPr>
                    <w:t>0.12</w:t>
                  </w:r>
                </w:p>
              </w:tc>
            </w:tr>
          </w:tbl>
          <w:p w14:paraId="2EA59FA0">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注：DA002排气筒为21m，DA003排气筒为20m，排气筒200m范围内周边建筑物均为厂房，高度均在15m以内，即DA002和DA003排气筒均高于周边200m范围内建筑物5m，因此速率不从严执行。</w:t>
            </w:r>
          </w:p>
          <w:p w14:paraId="0BF7DA65">
            <w:pPr>
              <w:pStyle w:val="161"/>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rPr>
                <w:color w:val="auto"/>
              </w:rPr>
            </w:pPr>
            <w:r>
              <w:rPr>
                <w:rFonts w:hint="eastAsia"/>
                <w:color w:val="auto"/>
              </w:rPr>
              <w:t>表3</w:t>
            </w:r>
            <w:r>
              <w:rPr>
                <w:rFonts w:hint="eastAsia"/>
                <w:color w:val="auto"/>
                <w:lang w:val="en-US" w:eastAsia="zh-CN"/>
              </w:rPr>
              <w:t xml:space="preserve">.4-4  </w:t>
            </w:r>
            <w:r>
              <w:rPr>
                <w:rFonts w:hint="eastAsia"/>
                <w:color w:val="auto"/>
              </w:rPr>
              <w:t>厂区内VOCs无组织排放限值   单位：mg/m</w:t>
            </w:r>
            <w:r>
              <w:rPr>
                <w:rFonts w:hint="eastAsia"/>
                <w:color w:val="auto"/>
                <w:vertAlign w:val="superscript"/>
              </w:rPr>
              <w:t>3</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240"/>
              <w:gridCol w:w="1857"/>
              <w:gridCol w:w="1736"/>
              <w:gridCol w:w="1736"/>
            </w:tblGrid>
            <w:tr w14:paraId="32AF83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noWrap w:val="0"/>
                  <w:vAlign w:val="center"/>
                </w:tcPr>
                <w:p w14:paraId="156B5C68">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val="0"/>
                      <w:bCs w:val="0"/>
                      <w:color w:val="auto"/>
                      <w:sz w:val="22"/>
                      <w:szCs w:val="22"/>
                    </w:rPr>
                  </w:pPr>
                  <w:r>
                    <w:rPr>
                      <w:rFonts w:hint="eastAsia"/>
                      <w:b w:val="0"/>
                      <w:bCs w:val="0"/>
                      <w:color w:val="auto"/>
                      <w:sz w:val="22"/>
                      <w:szCs w:val="22"/>
                    </w:rPr>
                    <w:t>污染物项目</w:t>
                  </w:r>
                </w:p>
              </w:tc>
              <w:tc>
                <w:tcPr>
                  <w:tcW w:w="1240" w:type="dxa"/>
                  <w:noWrap w:val="0"/>
                  <w:vAlign w:val="center"/>
                </w:tcPr>
                <w:p w14:paraId="292ADB15">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val="0"/>
                      <w:bCs w:val="0"/>
                      <w:color w:val="auto"/>
                      <w:sz w:val="22"/>
                      <w:szCs w:val="22"/>
                    </w:rPr>
                  </w:pPr>
                  <w:r>
                    <w:rPr>
                      <w:rFonts w:hint="eastAsia"/>
                      <w:b w:val="0"/>
                      <w:bCs w:val="0"/>
                      <w:color w:val="auto"/>
                      <w:sz w:val="22"/>
                      <w:szCs w:val="22"/>
                    </w:rPr>
                    <w:t>特别排放限值</w:t>
                  </w:r>
                </w:p>
              </w:tc>
              <w:tc>
                <w:tcPr>
                  <w:tcW w:w="1857" w:type="dxa"/>
                  <w:noWrap w:val="0"/>
                  <w:vAlign w:val="center"/>
                </w:tcPr>
                <w:p w14:paraId="4250C316">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val="0"/>
                      <w:bCs w:val="0"/>
                      <w:color w:val="auto"/>
                      <w:sz w:val="22"/>
                      <w:szCs w:val="22"/>
                    </w:rPr>
                  </w:pPr>
                  <w:r>
                    <w:rPr>
                      <w:rFonts w:hint="eastAsia"/>
                      <w:b w:val="0"/>
                      <w:bCs w:val="0"/>
                      <w:color w:val="auto"/>
                      <w:sz w:val="22"/>
                      <w:szCs w:val="22"/>
                    </w:rPr>
                    <w:t>限值含义</w:t>
                  </w:r>
                </w:p>
              </w:tc>
              <w:tc>
                <w:tcPr>
                  <w:tcW w:w="1736" w:type="dxa"/>
                  <w:noWrap w:val="0"/>
                  <w:vAlign w:val="center"/>
                </w:tcPr>
                <w:p w14:paraId="01F0BC2B">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val="0"/>
                      <w:bCs w:val="0"/>
                      <w:color w:val="auto"/>
                      <w:sz w:val="22"/>
                      <w:szCs w:val="22"/>
                    </w:rPr>
                  </w:pPr>
                  <w:r>
                    <w:rPr>
                      <w:rFonts w:hint="eastAsia"/>
                      <w:b w:val="0"/>
                      <w:bCs w:val="0"/>
                      <w:color w:val="auto"/>
                      <w:sz w:val="22"/>
                      <w:szCs w:val="22"/>
                    </w:rPr>
                    <w:t>无组织排放监控位置</w:t>
                  </w:r>
                </w:p>
              </w:tc>
              <w:tc>
                <w:tcPr>
                  <w:tcW w:w="1736" w:type="dxa"/>
                  <w:noWrap w:val="0"/>
                  <w:vAlign w:val="center"/>
                </w:tcPr>
                <w:p w14:paraId="1786677A">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val="0"/>
                      <w:bCs w:val="0"/>
                      <w:color w:val="auto"/>
                      <w:sz w:val="22"/>
                      <w:szCs w:val="22"/>
                      <w:lang w:eastAsia="zh-CN"/>
                    </w:rPr>
                  </w:pPr>
                  <w:r>
                    <w:rPr>
                      <w:rFonts w:hint="eastAsia"/>
                      <w:b w:val="0"/>
                      <w:bCs w:val="0"/>
                      <w:color w:val="auto"/>
                      <w:sz w:val="22"/>
                      <w:szCs w:val="22"/>
                      <w:lang w:eastAsia="zh-CN"/>
                    </w:rPr>
                    <w:t>执行标准</w:t>
                  </w:r>
                </w:p>
              </w:tc>
            </w:tr>
            <w:tr w14:paraId="7DDC4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vMerge w:val="restart"/>
                  <w:noWrap w:val="0"/>
                  <w:vAlign w:val="center"/>
                </w:tcPr>
                <w:p w14:paraId="56D722A8">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val="0"/>
                      <w:bCs w:val="0"/>
                      <w:color w:val="auto"/>
                      <w:sz w:val="22"/>
                      <w:szCs w:val="22"/>
                    </w:rPr>
                  </w:pPr>
                  <w:r>
                    <w:rPr>
                      <w:rFonts w:hint="eastAsia"/>
                      <w:b w:val="0"/>
                      <w:bCs w:val="0"/>
                      <w:color w:val="auto"/>
                      <w:sz w:val="22"/>
                      <w:szCs w:val="22"/>
                    </w:rPr>
                    <w:t>NMHC</w:t>
                  </w:r>
                </w:p>
              </w:tc>
              <w:tc>
                <w:tcPr>
                  <w:tcW w:w="1240" w:type="dxa"/>
                  <w:noWrap w:val="0"/>
                  <w:vAlign w:val="center"/>
                </w:tcPr>
                <w:p w14:paraId="3C982BD4">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val="0"/>
                      <w:bCs w:val="0"/>
                      <w:color w:val="auto"/>
                      <w:sz w:val="22"/>
                      <w:szCs w:val="22"/>
                    </w:rPr>
                  </w:pPr>
                  <w:r>
                    <w:rPr>
                      <w:rFonts w:hint="eastAsia"/>
                      <w:b w:val="0"/>
                      <w:bCs w:val="0"/>
                      <w:color w:val="auto"/>
                      <w:sz w:val="22"/>
                      <w:szCs w:val="22"/>
                    </w:rPr>
                    <w:t>6</w:t>
                  </w:r>
                </w:p>
              </w:tc>
              <w:tc>
                <w:tcPr>
                  <w:tcW w:w="1857" w:type="dxa"/>
                  <w:noWrap w:val="0"/>
                  <w:vAlign w:val="center"/>
                </w:tcPr>
                <w:p w14:paraId="61486B7E">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val="0"/>
                      <w:bCs w:val="0"/>
                      <w:color w:val="auto"/>
                      <w:sz w:val="22"/>
                      <w:szCs w:val="22"/>
                    </w:rPr>
                  </w:pPr>
                  <w:r>
                    <w:rPr>
                      <w:rFonts w:hint="eastAsia"/>
                      <w:b w:val="0"/>
                      <w:bCs w:val="0"/>
                      <w:color w:val="auto"/>
                      <w:sz w:val="22"/>
                      <w:szCs w:val="22"/>
                    </w:rPr>
                    <w:t>监控点处1h平均浓度</w:t>
                  </w:r>
                </w:p>
              </w:tc>
              <w:tc>
                <w:tcPr>
                  <w:tcW w:w="1736" w:type="dxa"/>
                  <w:vMerge w:val="restart"/>
                  <w:noWrap w:val="0"/>
                  <w:vAlign w:val="center"/>
                </w:tcPr>
                <w:p w14:paraId="72235FB6">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val="0"/>
                      <w:bCs w:val="0"/>
                      <w:color w:val="auto"/>
                      <w:sz w:val="22"/>
                      <w:szCs w:val="22"/>
                    </w:rPr>
                  </w:pPr>
                  <w:r>
                    <w:rPr>
                      <w:rFonts w:hint="eastAsia"/>
                      <w:b w:val="0"/>
                      <w:bCs w:val="0"/>
                      <w:color w:val="auto"/>
                      <w:sz w:val="22"/>
                      <w:szCs w:val="22"/>
                    </w:rPr>
                    <w:t>在厂房外设置监控点</w:t>
                  </w:r>
                </w:p>
              </w:tc>
              <w:tc>
                <w:tcPr>
                  <w:tcW w:w="1736" w:type="dxa"/>
                  <w:vMerge w:val="restart"/>
                  <w:noWrap w:val="0"/>
                  <w:vAlign w:val="center"/>
                </w:tcPr>
                <w:p w14:paraId="1F5F8C0F">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val="0"/>
                      <w:bCs w:val="0"/>
                      <w:color w:val="auto"/>
                      <w:sz w:val="22"/>
                      <w:szCs w:val="22"/>
                    </w:rPr>
                  </w:pPr>
                  <w:r>
                    <w:rPr>
                      <w:rFonts w:hint="eastAsia"/>
                      <w:b w:val="0"/>
                      <w:bCs w:val="0"/>
                      <w:color w:val="auto"/>
                      <w:sz w:val="22"/>
                      <w:szCs w:val="22"/>
                      <w:lang w:val="en-US" w:eastAsia="zh-CN"/>
                    </w:rPr>
                    <w:t>《挥发性有机物无组织排放控制标准》（GB 37822-2019）</w:t>
                  </w:r>
                </w:p>
              </w:tc>
            </w:tr>
            <w:tr w14:paraId="45525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37" w:type="dxa"/>
                  <w:vMerge w:val="continue"/>
                  <w:noWrap w:val="0"/>
                  <w:vAlign w:val="center"/>
                </w:tcPr>
                <w:p w14:paraId="72693E61">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val="0"/>
                      <w:bCs w:val="0"/>
                      <w:color w:val="auto"/>
                      <w:sz w:val="22"/>
                      <w:szCs w:val="22"/>
                    </w:rPr>
                  </w:pPr>
                </w:p>
              </w:tc>
              <w:tc>
                <w:tcPr>
                  <w:tcW w:w="1240" w:type="dxa"/>
                  <w:noWrap w:val="0"/>
                  <w:vAlign w:val="center"/>
                </w:tcPr>
                <w:p w14:paraId="02126598">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val="0"/>
                      <w:bCs w:val="0"/>
                      <w:color w:val="auto"/>
                      <w:sz w:val="22"/>
                      <w:szCs w:val="22"/>
                    </w:rPr>
                  </w:pPr>
                  <w:r>
                    <w:rPr>
                      <w:rFonts w:hint="eastAsia"/>
                      <w:b w:val="0"/>
                      <w:bCs w:val="0"/>
                      <w:color w:val="auto"/>
                      <w:sz w:val="22"/>
                      <w:szCs w:val="22"/>
                    </w:rPr>
                    <w:t>20</w:t>
                  </w:r>
                </w:p>
              </w:tc>
              <w:tc>
                <w:tcPr>
                  <w:tcW w:w="1857" w:type="dxa"/>
                  <w:noWrap w:val="0"/>
                  <w:vAlign w:val="center"/>
                </w:tcPr>
                <w:p w14:paraId="39B8FF04">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val="0"/>
                      <w:bCs w:val="0"/>
                      <w:color w:val="auto"/>
                      <w:sz w:val="22"/>
                      <w:szCs w:val="22"/>
                    </w:rPr>
                  </w:pPr>
                  <w:r>
                    <w:rPr>
                      <w:rFonts w:hint="eastAsia"/>
                      <w:b w:val="0"/>
                      <w:bCs w:val="0"/>
                      <w:color w:val="auto"/>
                      <w:sz w:val="22"/>
                      <w:szCs w:val="22"/>
                    </w:rPr>
                    <w:t>监控点处任意1次浓度</w:t>
                  </w:r>
                </w:p>
              </w:tc>
              <w:tc>
                <w:tcPr>
                  <w:tcW w:w="1736" w:type="dxa"/>
                  <w:vMerge w:val="continue"/>
                  <w:noWrap w:val="0"/>
                  <w:vAlign w:val="center"/>
                </w:tcPr>
                <w:p w14:paraId="2648A9AA">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val="0"/>
                      <w:bCs w:val="0"/>
                      <w:color w:val="auto"/>
                      <w:sz w:val="22"/>
                      <w:szCs w:val="22"/>
                    </w:rPr>
                  </w:pPr>
                </w:p>
              </w:tc>
              <w:tc>
                <w:tcPr>
                  <w:tcW w:w="1736" w:type="dxa"/>
                  <w:vMerge w:val="continue"/>
                  <w:noWrap w:val="0"/>
                  <w:vAlign w:val="center"/>
                </w:tcPr>
                <w:p w14:paraId="49417221">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val="0"/>
                      <w:bCs w:val="0"/>
                      <w:color w:val="auto"/>
                      <w:sz w:val="22"/>
                      <w:szCs w:val="22"/>
                    </w:rPr>
                  </w:pPr>
                </w:p>
              </w:tc>
            </w:tr>
          </w:tbl>
          <w:p w14:paraId="69983F73">
            <w:pPr>
              <w:pStyle w:val="161"/>
              <w:keepNext w:val="0"/>
              <w:keepLines w:val="0"/>
              <w:pageBreakBefore w:val="0"/>
              <w:widowControl w:val="0"/>
              <w:kinsoku/>
              <w:wordWrap/>
              <w:overflowPunct/>
              <w:topLinePunct w:val="0"/>
              <w:autoSpaceDE/>
              <w:autoSpaceDN/>
              <w:bidi w:val="0"/>
              <w:adjustRightInd/>
              <w:snapToGrid w:val="0"/>
              <w:spacing w:line="460" w:lineRule="exact"/>
              <w:ind w:firstLine="0" w:firstLineChars="0"/>
              <w:jc w:val="center"/>
              <w:textAlignment w:val="auto"/>
              <w:rPr>
                <w:color w:val="auto"/>
              </w:rPr>
            </w:pPr>
            <w:r>
              <w:rPr>
                <w:rFonts w:hint="eastAsia"/>
                <w:color w:val="auto"/>
              </w:rPr>
              <w:t>表3</w:t>
            </w:r>
            <w:r>
              <w:rPr>
                <w:rFonts w:hint="eastAsia"/>
                <w:color w:val="auto"/>
                <w:lang w:val="en-US" w:eastAsia="zh-CN"/>
              </w:rPr>
              <w:t>.4-5</w:t>
            </w:r>
            <w:r>
              <w:rPr>
                <w:rFonts w:hint="eastAsia"/>
                <w:color w:val="auto"/>
              </w:rPr>
              <w:t xml:space="preserve"> </w:t>
            </w:r>
            <w:r>
              <w:rPr>
                <w:rFonts w:hint="eastAsia"/>
                <w:color w:val="auto"/>
                <w:lang w:val="en-US" w:eastAsia="zh-CN"/>
              </w:rPr>
              <w:t xml:space="preserve"> </w:t>
            </w:r>
            <w:r>
              <w:rPr>
                <w:rFonts w:hint="eastAsia"/>
                <w:color w:val="auto"/>
              </w:rPr>
              <w:t>厂区内</w:t>
            </w:r>
            <w:r>
              <w:rPr>
                <w:rFonts w:hint="eastAsia"/>
                <w:color w:val="auto"/>
                <w:lang w:val="en-US" w:eastAsia="zh-CN"/>
              </w:rPr>
              <w:t>颗粒物</w:t>
            </w:r>
            <w:r>
              <w:rPr>
                <w:rFonts w:hint="eastAsia"/>
                <w:color w:val="auto"/>
              </w:rPr>
              <w:t>无组织排放限值   单位：mg/m</w:t>
            </w:r>
            <w:r>
              <w:rPr>
                <w:rFonts w:hint="eastAsia"/>
                <w:color w:val="auto"/>
                <w:vertAlign w:val="superscript"/>
              </w:rPr>
              <w:t>3</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240"/>
              <w:gridCol w:w="1857"/>
              <w:gridCol w:w="1736"/>
              <w:gridCol w:w="1736"/>
            </w:tblGrid>
            <w:tr w14:paraId="52D866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0" w:type="dxa"/>
                  <w:noWrap w:val="0"/>
                  <w:vAlign w:val="center"/>
                </w:tcPr>
                <w:p w14:paraId="610B32E5">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污染物项目</w:t>
                  </w:r>
                </w:p>
              </w:tc>
              <w:tc>
                <w:tcPr>
                  <w:tcW w:w="1619" w:type="dxa"/>
                  <w:noWrap w:val="0"/>
                  <w:vAlign w:val="center"/>
                </w:tcPr>
                <w:p w14:paraId="51AE39EC">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特别排放限值</w:t>
                  </w:r>
                </w:p>
              </w:tc>
              <w:tc>
                <w:tcPr>
                  <w:tcW w:w="2467" w:type="dxa"/>
                  <w:noWrap w:val="0"/>
                  <w:vAlign w:val="center"/>
                </w:tcPr>
                <w:p w14:paraId="1508B155">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限值含义</w:t>
                  </w:r>
                </w:p>
              </w:tc>
              <w:tc>
                <w:tcPr>
                  <w:tcW w:w="2300" w:type="dxa"/>
                  <w:noWrap w:val="0"/>
                  <w:vAlign w:val="center"/>
                </w:tcPr>
                <w:p w14:paraId="3C52DE3A">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无组织排放监控位置</w:t>
                  </w:r>
                </w:p>
              </w:tc>
              <w:tc>
                <w:tcPr>
                  <w:tcW w:w="2300" w:type="dxa"/>
                  <w:noWrap w:val="0"/>
                  <w:vAlign w:val="center"/>
                </w:tcPr>
                <w:p w14:paraId="3E1DB573">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2"/>
                      <w:szCs w:val="22"/>
                      <w:lang w:eastAsia="zh-CN"/>
                    </w:rPr>
                  </w:pPr>
                  <w:r>
                    <w:rPr>
                      <w:rFonts w:hint="default" w:ascii="Times New Roman" w:hAnsi="Times New Roman" w:eastAsia="宋体" w:cs="Times New Roman"/>
                      <w:b w:val="0"/>
                      <w:bCs w:val="0"/>
                      <w:color w:val="auto"/>
                      <w:sz w:val="22"/>
                      <w:szCs w:val="22"/>
                      <w:lang w:eastAsia="zh-CN"/>
                    </w:rPr>
                    <w:t>执行标准</w:t>
                  </w:r>
                </w:p>
              </w:tc>
            </w:tr>
            <w:tr w14:paraId="49D4C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80" w:type="dxa"/>
                  <w:noWrap w:val="0"/>
                  <w:vAlign w:val="center"/>
                </w:tcPr>
                <w:p w14:paraId="143355E2">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2"/>
                      <w:szCs w:val="22"/>
                      <w:lang w:eastAsia="zh-CN"/>
                    </w:rPr>
                  </w:pPr>
                  <w:r>
                    <w:rPr>
                      <w:rFonts w:hint="default" w:ascii="Times New Roman" w:hAnsi="Times New Roman" w:eastAsia="宋体" w:cs="Times New Roman"/>
                      <w:b w:val="0"/>
                      <w:bCs w:val="0"/>
                      <w:color w:val="auto"/>
                      <w:sz w:val="22"/>
                      <w:szCs w:val="22"/>
                      <w:lang w:val="en-US" w:eastAsia="zh-CN"/>
                    </w:rPr>
                    <w:t>颗粒物</w:t>
                  </w:r>
                </w:p>
              </w:tc>
              <w:tc>
                <w:tcPr>
                  <w:tcW w:w="1619" w:type="dxa"/>
                  <w:noWrap w:val="0"/>
                  <w:vAlign w:val="center"/>
                </w:tcPr>
                <w:p w14:paraId="2C28F7B5">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2"/>
                      <w:szCs w:val="22"/>
                      <w:lang w:eastAsia="zh-CN"/>
                    </w:rPr>
                  </w:pPr>
                  <w:r>
                    <w:rPr>
                      <w:rFonts w:hint="default" w:ascii="Times New Roman" w:hAnsi="Times New Roman" w:eastAsia="宋体" w:cs="Times New Roman"/>
                      <w:b w:val="0"/>
                      <w:bCs w:val="0"/>
                      <w:color w:val="auto"/>
                      <w:sz w:val="22"/>
                      <w:szCs w:val="22"/>
                      <w:lang w:val="en-US" w:eastAsia="zh-CN"/>
                    </w:rPr>
                    <w:t>5</w:t>
                  </w:r>
                </w:p>
              </w:tc>
              <w:tc>
                <w:tcPr>
                  <w:tcW w:w="2467" w:type="dxa"/>
                  <w:noWrap w:val="0"/>
                  <w:vAlign w:val="center"/>
                </w:tcPr>
                <w:p w14:paraId="2C7E5664">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监控点处1h平均浓度</w:t>
                  </w:r>
                </w:p>
              </w:tc>
              <w:tc>
                <w:tcPr>
                  <w:tcW w:w="2300" w:type="dxa"/>
                  <w:noWrap w:val="0"/>
                  <w:vAlign w:val="center"/>
                </w:tcPr>
                <w:p w14:paraId="22531F30">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在厂房外设置监控点</w:t>
                  </w:r>
                </w:p>
              </w:tc>
              <w:tc>
                <w:tcPr>
                  <w:tcW w:w="2300" w:type="dxa"/>
                  <w:noWrap w:val="0"/>
                  <w:vAlign w:val="center"/>
                </w:tcPr>
                <w:p w14:paraId="0482E5F3">
                  <w:pPr>
                    <w:pStyle w:val="16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lang w:val="en-US" w:eastAsia="zh-CN"/>
                    </w:rPr>
                    <w:t>《铸造工业大气污染物排放标准》（GB 39726-2020）</w:t>
                  </w:r>
                </w:p>
              </w:tc>
            </w:tr>
          </w:tbl>
          <w:p w14:paraId="5A6DD35E">
            <w:pPr>
              <w:autoSpaceDE w:val="0"/>
              <w:autoSpaceDN w:val="0"/>
              <w:adjustRightInd w:val="0"/>
              <w:spacing w:line="460" w:lineRule="exact"/>
              <w:ind w:firstLine="520" w:firstLineChars="200"/>
              <w:rPr>
                <w:rFonts w:hint="eastAsia" w:ascii="Times New Roman" w:hAnsi="Times New Roman" w:eastAsia="宋体" w:cs="Times New Roman"/>
                <w:color w:val="auto"/>
                <w:sz w:val="26"/>
                <w:szCs w:val="26"/>
                <w:lang w:val="en-US" w:eastAsia="zh-CN"/>
              </w:rPr>
            </w:pPr>
          </w:p>
          <w:p w14:paraId="3B750ED2">
            <w:pPr>
              <w:autoSpaceDE w:val="0"/>
              <w:autoSpaceDN w:val="0"/>
              <w:adjustRightInd w:val="0"/>
              <w:spacing w:line="460" w:lineRule="exact"/>
              <w:ind w:firstLine="520" w:firstLineChars="200"/>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（2）废水</w:t>
            </w:r>
          </w:p>
          <w:p w14:paraId="38B2A023">
            <w:pPr>
              <w:autoSpaceDE w:val="0"/>
              <w:autoSpaceDN w:val="0"/>
              <w:adjustRightInd w:val="0"/>
              <w:spacing w:line="460" w:lineRule="exact"/>
              <w:ind w:firstLine="520" w:firstLineChars="200"/>
              <w:rPr>
                <w:rFonts w:hint="eastAsia" w:ascii="Times New Roman" w:hAnsi="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本项</w:t>
            </w:r>
            <w:r>
              <w:rPr>
                <w:rFonts w:hint="eastAsia" w:ascii="Times New Roman" w:hAnsi="Times New Roman"/>
                <w:color w:val="auto"/>
                <w:sz w:val="26"/>
                <w:szCs w:val="26"/>
                <w:lang w:val="en-US" w:eastAsia="zh-CN"/>
              </w:rPr>
              <w:t>目处于西彭工业园区西彭组团，不涉及生产废水，本项目不新增生活污水，现有生活污水经厂区生化池处理达到《污水综合排放标准》（GB8978-1996）三级标准后进入西彭城镇污水处理厂处理。</w:t>
            </w:r>
          </w:p>
          <w:p w14:paraId="4F54CD4E">
            <w:pPr>
              <w:autoSpaceDE w:val="0"/>
              <w:autoSpaceDN w:val="0"/>
              <w:adjustRightInd w:val="0"/>
              <w:spacing w:line="460" w:lineRule="exact"/>
              <w:ind w:firstLine="520" w:firstLineChars="200"/>
              <w:rPr>
                <w:rFonts w:hint="eastAsia" w:ascii="Times New Roman" w:hAnsi="Times New Roman"/>
                <w:color w:val="auto"/>
                <w:sz w:val="26"/>
                <w:szCs w:val="26"/>
              </w:rPr>
            </w:pPr>
            <w:r>
              <w:rPr>
                <w:rFonts w:hint="eastAsia" w:ascii="Times New Roman" w:hAnsi="Times New Roman"/>
                <w:color w:val="auto"/>
                <w:sz w:val="26"/>
                <w:szCs w:val="26"/>
                <w:lang w:val="en-US" w:eastAsia="zh-CN"/>
              </w:rPr>
              <w:t xml:space="preserve">目前，西彭城镇污水处理厂尾水达《城镇污水处理厂污染物排放标准》（GB18918-2002）一级A标后排入桥头河，最终排入长江。 </w:t>
            </w:r>
          </w:p>
          <w:p w14:paraId="57ABFCBA">
            <w:pPr>
              <w:autoSpaceDE w:val="0"/>
              <w:autoSpaceDN w:val="0"/>
              <w:adjustRightInd w:val="0"/>
              <w:spacing w:line="460" w:lineRule="exact"/>
              <w:ind w:firstLine="520" w:firstLineChars="200"/>
              <w:rPr>
                <w:rFonts w:hint="eastAsia" w:ascii="Times New Roman" w:hAnsi="Times New Roman"/>
                <w:color w:val="auto"/>
                <w:sz w:val="26"/>
                <w:szCs w:val="26"/>
              </w:rPr>
            </w:pPr>
            <w:r>
              <w:rPr>
                <w:rFonts w:hint="eastAsia" w:ascii="Times New Roman" w:hAnsi="Times New Roman"/>
                <w:color w:val="auto"/>
                <w:sz w:val="26"/>
                <w:szCs w:val="26"/>
                <w:lang w:val="en-US" w:eastAsia="zh-CN"/>
              </w:rPr>
              <w:t>具体污染物排放标准限值见表3.4-6。</w:t>
            </w:r>
          </w:p>
          <w:p w14:paraId="482C167B">
            <w:pPr>
              <w:adjustRightInd w:val="0"/>
              <w:snapToGrid w:val="0"/>
              <w:spacing w:line="460" w:lineRule="exact"/>
              <w:jc w:val="center"/>
              <w:rPr>
                <w:rFonts w:ascii="Times New Roman" w:hAnsi="Times New Roman"/>
                <w:b/>
                <w:bCs w:val="0"/>
                <w:color w:val="auto"/>
                <w:sz w:val="26"/>
                <w:szCs w:val="26"/>
              </w:rPr>
            </w:pPr>
            <w:r>
              <w:rPr>
                <w:rFonts w:ascii="Times New Roman" w:hAnsi="Times New Roman"/>
                <w:b/>
                <w:bCs w:val="0"/>
                <w:color w:val="auto"/>
                <w:sz w:val="26"/>
                <w:szCs w:val="26"/>
              </w:rPr>
              <w:t>表</w:t>
            </w:r>
            <w:r>
              <w:rPr>
                <w:rFonts w:hint="eastAsia" w:ascii="Times New Roman" w:hAnsi="Times New Roman"/>
                <w:b/>
                <w:bCs w:val="0"/>
                <w:color w:val="auto"/>
                <w:sz w:val="26"/>
                <w:szCs w:val="26"/>
              </w:rPr>
              <w:t>3.</w:t>
            </w:r>
            <w:r>
              <w:rPr>
                <w:rFonts w:hint="eastAsia" w:ascii="Times New Roman" w:hAnsi="Times New Roman"/>
                <w:b/>
                <w:bCs w:val="0"/>
                <w:color w:val="auto"/>
                <w:sz w:val="26"/>
                <w:szCs w:val="26"/>
                <w:lang w:val="en-US" w:eastAsia="zh-CN"/>
              </w:rPr>
              <w:t>4</w:t>
            </w:r>
            <w:r>
              <w:rPr>
                <w:rFonts w:hint="eastAsia" w:ascii="Times New Roman" w:hAnsi="Times New Roman"/>
                <w:b/>
                <w:bCs w:val="0"/>
                <w:color w:val="auto"/>
                <w:sz w:val="26"/>
                <w:szCs w:val="26"/>
              </w:rPr>
              <w:t>-</w:t>
            </w:r>
            <w:r>
              <w:rPr>
                <w:rFonts w:hint="eastAsia" w:ascii="Times New Roman" w:hAnsi="Times New Roman"/>
                <w:b/>
                <w:bCs w:val="0"/>
                <w:color w:val="auto"/>
                <w:sz w:val="26"/>
                <w:szCs w:val="26"/>
                <w:lang w:val="en-US" w:eastAsia="zh-CN"/>
              </w:rPr>
              <w:t>6</w:t>
            </w:r>
            <w:r>
              <w:rPr>
                <w:rFonts w:hint="eastAsia" w:ascii="Times New Roman" w:hAnsi="Times New Roman"/>
                <w:b/>
                <w:bCs w:val="0"/>
                <w:color w:val="auto"/>
                <w:sz w:val="26"/>
                <w:szCs w:val="26"/>
              </w:rPr>
              <w:t xml:space="preserve"> </w:t>
            </w:r>
            <w:r>
              <w:rPr>
                <w:rFonts w:hint="eastAsia" w:ascii="Times New Roman" w:hAnsi="Times New Roman"/>
                <w:b/>
                <w:bCs w:val="0"/>
                <w:color w:val="auto"/>
                <w:sz w:val="26"/>
                <w:szCs w:val="26"/>
                <w:lang w:val="en-US" w:eastAsia="zh-CN"/>
              </w:rPr>
              <w:t xml:space="preserve"> </w:t>
            </w:r>
            <w:r>
              <w:rPr>
                <w:rFonts w:hint="eastAsia" w:ascii="Times New Roman" w:hAnsi="Times New Roman"/>
                <w:b/>
                <w:bCs w:val="0"/>
                <w:color w:val="auto"/>
                <w:sz w:val="26"/>
                <w:szCs w:val="26"/>
              </w:rPr>
              <w:t xml:space="preserve">本项目废水排放标准 </w:t>
            </w:r>
            <w:r>
              <w:rPr>
                <w:rFonts w:ascii="Times New Roman" w:hAnsi="Times New Roman"/>
                <w:b/>
                <w:bCs w:val="0"/>
                <w:color w:val="auto"/>
                <w:sz w:val="26"/>
                <w:szCs w:val="26"/>
              </w:rPr>
              <w:t xml:space="preserve"> </w:t>
            </w:r>
            <w:r>
              <w:rPr>
                <w:rFonts w:hint="eastAsia" w:ascii="Times New Roman" w:hAnsi="Times New Roman"/>
                <w:b/>
                <w:bCs w:val="0"/>
                <w:color w:val="auto"/>
                <w:sz w:val="26"/>
                <w:szCs w:val="26"/>
                <w:lang w:val="en-US" w:eastAsia="zh-CN"/>
              </w:rPr>
              <w:t xml:space="preserve">  </w:t>
            </w:r>
            <w:r>
              <w:rPr>
                <w:rFonts w:ascii="Times New Roman" w:hAnsi="Times New Roman"/>
                <w:b/>
                <w:bCs w:val="0"/>
                <w:color w:val="auto"/>
                <w:sz w:val="26"/>
                <w:szCs w:val="26"/>
              </w:rPr>
              <w:t>单位：mg/L</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18"/>
              <w:gridCol w:w="1254"/>
              <w:gridCol w:w="905"/>
              <w:gridCol w:w="930"/>
              <w:gridCol w:w="1044"/>
              <w:gridCol w:w="955"/>
            </w:tblGrid>
            <w:tr w14:paraId="056EEC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98" w:type="pct"/>
                  <w:tcBorders>
                    <w:tl2br w:val="nil"/>
                    <w:tr2bl w:val="nil"/>
                  </w:tcBorders>
                  <w:noWrap w:val="0"/>
                  <w:vAlign w:val="center"/>
                </w:tcPr>
                <w:p w14:paraId="1EDC9D8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olor w:val="auto"/>
                      <w:sz w:val="22"/>
                    </w:rPr>
                  </w:pPr>
                  <w:r>
                    <w:rPr>
                      <w:rFonts w:hint="eastAsia" w:ascii="Times New Roman" w:hAnsi="Times New Roman"/>
                      <w:color w:val="auto"/>
                      <w:sz w:val="22"/>
                    </w:rPr>
                    <w:t>标准名称</w:t>
                  </w:r>
                </w:p>
              </w:tc>
              <w:tc>
                <w:tcPr>
                  <w:tcW w:w="813" w:type="pct"/>
                  <w:tcBorders>
                    <w:tl2br w:val="nil"/>
                    <w:tr2bl w:val="nil"/>
                  </w:tcBorders>
                  <w:noWrap w:val="0"/>
                  <w:vAlign w:val="center"/>
                </w:tcPr>
                <w:p w14:paraId="60A1D3A1">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olor w:val="auto"/>
                      <w:sz w:val="22"/>
                    </w:rPr>
                  </w:pPr>
                  <w:r>
                    <w:rPr>
                      <w:rFonts w:ascii="Times New Roman" w:hAnsi="Times New Roman"/>
                      <w:color w:val="auto"/>
                      <w:sz w:val="22"/>
                    </w:rPr>
                    <w:t>pH</w:t>
                  </w:r>
                </w:p>
                <w:p w14:paraId="55457741">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olor w:val="auto"/>
                      <w:sz w:val="22"/>
                    </w:rPr>
                  </w:pPr>
                  <w:r>
                    <w:rPr>
                      <w:rFonts w:ascii="Times New Roman" w:hAnsi="Times New Roman"/>
                      <w:color w:val="auto"/>
                      <w:sz w:val="22"/>
                    </w:rPr>
                    <w:t>（无量纲）</w:t>
                  </w:r>
                </w:p>
              </w:tc>
              <w:tc>
                <w:tcPr>
                  <w:tcW w:w="587" w:type="pct"/>
                  <w:tcBorders>
                    <w:tl2br w:val="nil"/>
                    <w:tr2bl w:val="nil"/>
                  </w:tcBorders>
                  <w:noWrap w:val="0"/>
                  <w:vAlign w:val="center"/>
                </w:tcPr>
                <w:p w14:paraId="4792D8CA">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olor w:val="auto"/>
                      <w:sz w:val="22"/>
                    </w:rPr>
                  </w:pPr>
                  <w:r>
                    <w:rPr>
                      <w:rFonts w:ascii="Times New Roman" w:hAnsi="Times New Roman"/>
                      <w:color w:val="auto"/>
                      <w:sz w:val="22"/>
                    </w:rPr>
                    <w:t>COD</w:t>
                  </w:r>
                </w:p>
              </w:tc>
              <w:tc>
                <w:tcPr>
                  <w:tcW w:w="603" w:type="pct"/>
                  <w:tcBorders>
                    <w:tl2br w:val="nil"/>
                    <w:tr2bl w:val="nil"/>
                  </w:tcBorders>
                  <w:noWrap w:val="0"/>
                  <w:vAlign w:val="center"/>
                </w:tcPr>
                <w:p w14:paraId="4D83D17B">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olor w:val="auto"/>
                      <w:sz w:val="22"/>
                    </w:rPr>
                  </w:pPr>
                  <w:r>
                    <w:rPr>
                      <w:rFonts w:ascii="Times New Roman" w:hAnsi="Times New Roman"/>
                      <w:color w:val="auto"/>
                      <w:sz w:val="22"/>
                    </w:rPr>
                    <w:t>BOD</w:t>
                  </w:r>
                  <w:r>
                    <w:rPr>
                      <w:rFonts w:ascii="Times New Roman" w:hAnsi="Times New Roman"/>
                      <w:color w:val="auto"/>
                      <w:sz w:val="22"/>
                      <w:vertAlign w:val="subscript"/>
                    </w:rPr>
                    <w:t>5</w:t>
                  </w:r>
                </w:p>
              </w:tc>
              <w:tc>
                <w:tcPr>
                  <w:tcW w:w="677" w:type="pct"/>
                  <w:tcBorders>
                    <w:tl2br w:val="nil"/>
                    <w:tr2bl w:val="nil"/>
                  </w:tcBorders>
                  <w:noWrap w:val="0"/>
                  <w:vAlign w:val="center"/>
                </w:tcPr>
                <w:p w14:paraId="0F191118">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olor w:val="auto"/>
                      <w:sz w:val="22"/>
                    </w:rPr>
                  </w:pPr>
                  <w:r>
                    <w:rPr>
                      <w:rFonts w:ascii="Times New Roman" w:hAnsi="Times New Roman"/>
                      <w:color w:val="auto"/>
                      <w:sz w:val="22"/>
                    </w:rPr>
                    <w:t>NH</w:t>
                  </w:r>
                  <w:r>
                    <w:rPr>
                      <w:rFonts w:ascii="Times New Roman" w:hAnsi="Times New Roman"/>
                      <w:color w:val="auto"/>
                      <w:sz w:val="22"/>
                      <w:vertAlign w:val="subscript"/>
                    </w:rPr>
                    <w:t>3</w:t>
                  </w:r>
                  <w:r>
                    <w:rPr>
                      <w:rFonts w:ascii="Times New Roman" w:hAnsi="Times New Roman"/>
                      <w:color w:val="auto"/>
                      <w:sz w:val="22"/>
                    </w:rPr>
                    <w:t>-N</w:t>
                  </w:r>
                </w:p>
              </w:tc>
              <w:tc>
                <w:tcPr>
                  <w:tcW w:w="619" w:type="pct"/>
                  <w:tcBorders>
                    <w:tl2br w:val="nil"/>
                    <w:tr2bl w:val="nil"/>
                  </w:tcBorders>
                  <w:noWrap w:val="0"/>
                  <w:vAlign w:val="center"/>
                </w:tcPr>
                <w:p w14:paraId="30C52493">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olor w:val="auto"/>
                      <w:sz w:val="22"/>
                    </w:rPr>
                  </w:pPr>
                  <w:r>
                    <w:rPr>
                      <w:rFonts w:ascii="Times New Roman" w:hAnsi="Times New Roman"/>
                      <w:color w:val="auto"/>
                      <w:sz w:val="22"/>
                    </w:rPr>
                    <w:t>SS</w:t>
                  </w:r>
                </w:p>
              </w:tc>
            </w:tr>
            <w:tr w14:paraId="79CA7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98" w:type="pct"/>
                  <w:tcBorders>
                    <w:tl2br w:val="nil"/>
                    <w:tr2bl w:val="nil"/>
                  </w:tcBorders>
                  <w:noWrap w:val="0"/>
                  <w:vAlign w:val="center"/>
                </w:tcPr>
                <w:p w14:paraId="3EE7291C">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olor w:val="auto"/>
                      <w:sz w:val="22"/>
                    </w:rPr>
                  </w:pPr>
                  <w:r>
                    <w:rPr>
                      <w:rFonts w:ascii="Times New Roman" w:hAnsi="Times New Roman"/>
                      <w:color w:val="auto"/>
                      <w:sz w:val="22"/>
                    </w:rPr>
                    <w:t>《污水综合排放标准》（GB8978-1996）三级标准</w:t>
                  </w:r>
                </w:p>
              </w:tc>
              <w:tc>
                <w:tcPr>
                  <w:tcW w:w="813" w:type="pct"/>
                  <w:tcBorders>
                    <w:tl2br w:val="nil"/>
                    <w:tr2bl w:val="nil"/>
                  </w:tcBorders>
                  <w:noWrap w:val="0"/>
                  <w:vAlign w:val="center"/>
                </w:tcPr>
                <w:p w14:paraId="5A606656">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olor w:val="auto"/>
                      <w:sz w:val="22"/>
                    </w:rPr>
                  </w:pPr>
                  <w:r>
                    <w:rPr>
                      <w:rFonts w:ascii="Times New Roman" w:hAnsi="Times New Roman"/>
                      <w:color w:val="auto"/>
                      <w:sz w:val="22"/>
                    </w:rPr>
                    <w:t>6~9</w:t>
                  </w:r>
                </w:p>
              </w:tc>
              <w:tc>
                <w:tcPr>
                  <w:tcW w:w="587" w:type="pct"/>
                  <w:tcBorders>
                    <w:tl2br w:val="nil"/>
                    <w:tr2bl w:val="nil"/>
                  </w:tcBorders>
                  <w:noWrap w:val="0"/>
                  <w:vAlign w:val="center"/>
                </w:tcPr>
                <w:p w14:paraId="2E59AD11">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仿宋"/>
                      <w:color w:val="auto"/>
                      <w:sz w:val="22"/>
                    </w:rPr>
                  </w:pPr>
                  <w:r>
                    <w:rPr>
                      <w:rFonts w:ascii="Times New Roman" w:hAnsi="Times New Roman" w:eastAsia="仿宋"/>
                      <w:color w:val="auto"/>
                      <w:sz w:val="22"/>
                    </w:rPr>
                    <w:t>≤</w:t>
                  </w:r>
                  <w:r>
                    <w:rPr>
                      <w:rFonts w:hint="eastAsia" w:ascii="Times New Roman" w:hAnsi="Times New Roman" w:eastAsia="仿宋"/>
                      <w:color w:val="auto"/>
                      <w:sz w:val="22"/>
                    </w:rPr>
                    <w:t>500</w:t>
                  </w:r>
                </w:p>
              </w:tc>
              <w:tc>
                <w:tcPr>
                  <w:tcW w:w="603" w:type="pct"/>
                  <w:tcBorders>
                    <w:tl2br w:val="nil"/>
                    <w:tr2bl w:val="nil"/>
                  </w:tcBorders>
                  <w:noWrap w:val="0"/>
                  <w:vAlign w:val="center"/>
                </w:tcPr>
                <w:p w14:paraId="6A9BEB5A">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仿宋"/>
                      <w:color w:val="auto"/>
                      <w:sz w:val="22"/>
                    </w:rPr>
                  </w:pPr>
                  <w:r>
                    <w:rPr>
                      <w:rFonts w:ascii="Times New Roman" w:hAnsi="Times New Roman" w:eastAsia="仿宋"/>
                      <w:color w:val="auto"/>
                      <w:sz w:val="22"/>
                    </w:rPr>
                    <w:t>≤</w:t>
                  </w:r>
                  <w:r>
                    <w:rPr>
                      <w:rFonts w:hint="eastAsia" w:ascii="Times New Roman" w:hAnsi="Times New Roman" w:eastAsia="仿宋"/>
                      <w:color w:val="auto"/>
                      <w:sz w:val="22"/>
                    </w:rPr>
                    <w:t>300</w:t>
                  </w:r>
                </w:p>
              </w:tc>
              <w:tc>
                <w:tcPr>
                  <w:tcW w:w="677" w:type="pct"/>
                  <w:tcBorders>
                    <w:tl2br w:val="nil"/>
                    <w:tr2bl w:val="nil"/>
                  </w:tcBorders>
                  <w:noWrap w:val="0"/>
                  <w:vAlign w:val="center"/>
                </w:tcPr>
                <w:p w14:paraId="439D97ED">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仿宋"/>
                      <w:color w:val="auto"/>
                      <w:sz w:val="22"/>
                    </w:rPr>
                  </w:pPr>
                  <w:r>
                    <w:rPr>
                      <w:rFonts w:ascii="Times New Roman" w:hAnsi="Times New Roman" w:eastAsia="仿宋"/>
                      <w:color w:val="auto"/>
                      <w:sz w:val="22"/>
                    </w:rPr>
                    <w:t>≤</w:t>
                  </w:r>
                  <w:r>
                    <w:rPr>
                      <w:rFonts w:hint="eastAsia" w:ascii="Times New Roman" w:hAnsi="Times New Roman" w:eastAsia="仿宋"/>
                      <w:color w:val="auto"/>
                      <w:sz w:val="22"/>
                    </w:rPr>
                    <w:t>45*</w:t>
                  </w:r>
                </w:p>
              </w:tc>
              <w:tc>
                <w:tcPr>
                  <w:tcW w:w="619" w:type="pct"/>
                  <w:tcBorders>
                    <w:tl2br w:val="nil"/>
                    <w:tr2bl w:val="nil"/>
                  </w:tcBorders>
                  <w:noWrap w:val="0"/>
                  <w:vAlign w:val="center"/>
                </w:tcPr>
                <w:p w14:paraId="1ED375E7">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仿宋"/>
                      <w:color w:val="auto"/>
                      <w:sz w:val="22"/>
                    </w:rPr>
                  </w:pPr>
                  <w:r>
                    <w:rPr>
                      <w:rFonts w:ascii="Times New Roman" w:hAnsi="Times New Roman" w:eastAsia="仿宋"/>
                      <w:color w:val="auto"/>
                      <w:sz w:val="22"/>
                    </w:rPr>
                    <w:t>≤</w:t>
                  </w:r>
                  <w:r>
                    <w:rPr>
                      <w:rFonts w:hint="eastAsia" w:ascii="Times New Roman" w:hAnsi="Times New Roman" w:eastAsia="仿宋"/>
                      <w:color w:val="auto"/>
                      <w:sz w:val="22"/>
                    </w:rPr>
                    <w:t>400</w:t>
                  </w:r>
                </w:p>
              </w:tc>
            </w:tr>
            <w:tr w14:paraId="01D422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98" w:type="pct"/>
                  <w:tcBorders>
                    <w:tl2br w:val="nil"/>
                    <w:tr2bl w:val="nil"/>
                  </w:tcBorders>
                  <w:noWrap w:val="0"/>
                  <w:vAlign w:val="center"/>
                </w:tcPr>
                <w:p w14:paraId="4E25F618">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olor w:val="auto"/>
                      <w:sz w:val="22"/>
                    </w:rPr>
                  </w:pPr>
                  <w:r>
                    <w:rPr>
                      <w:rFonts w:ascii="Times New Roman" w:hAnsi="Times New Roman"/>
                      <w:color w:val="auto"/>
                      <w:sz w:val="22"/>
                    </w:rPr>
                    <w:t>《城镇污水处理厂污染物排放标准》（GB18918-2002）一级</w:t>
                  </w:r>
                  <w:r>
                    <w:rPr>
                      <w:rFonts w:hint="eastAsia" w:ascii="Times New Roman" w:hAnsi="Times New Roman"/>
                      <w:color w:val="auto"/>
                      <w:sz w:val="22"/>
                    </w:rPr>
                    <w:t>A</w:t>
                  </w:r>
                  <w:r>
                    <w:rPr>
                      <w:rFonts w:ascii="Times New Roman" w:hAnsi="Times New Roman"/>
                      <w:color w:val="auto"/>
                      <w:sz w:val="22"/>
                    </w:rPr>
                    <w:t>标</w:t>
                  </w:r>
                  <w:r>
                    <w:rPr>
                      <w:rFonts w:hint="eastAsia" w:ascii="Times New Roman" w:hAnsi="Times New Roman"/>
                      <w:color w:val="auto"/>
                      <w:sz w:val="22"/>
                    </w:rPr>
                    <w:t>准</w:t>
                  </w:r>
                </w:p>
              </w:tc>
              <w:tc>
                <w:tcPr>
                  <w:tcW w:w="813" w:type="pct"/>
                  <w:tcBorders>
                    <w:tl2br w:val="nil"/>
                    <w:tr2bl w:val="nil"/>
                  </w:tcBorders>
                  <w:noWrap w:val="0"/>
                  <w:vAlign w:val="center"/>
                </w:tcPr>
                <w:p w14:paraId="4547FF14">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olor w:val="auto"/>
                      <w:sz w:val="22"/>
                    </w:rPr>
                  </w:pPr>
                  <w:r>
                    <w:rPr>
                      <w:rFonts w:ascii="Times New Roman" w:hAnsi="Times New Roman"/>
                      <w:color w:val="auto"/>
                      <w:sz w:val="22"/>
                    </w:rPr>
                    <w:t>6~9</w:t>
                  </w:r>
                </w:p>
              </w:tc>
              <w:tc>
                <w:tcPr>
                  <w:tcW w:w="587" w:type="pct"/>
                  <w:tcBorders>
                    <w:tl2br w:val="nil"/>
                    <w:tr2bl w:val="nil"/>
                  </w:tcBorders>
                  <w:noWrap w:val="0"/>
                  <w:vAlign w:val="center"/>
                </w:tcPr>
                <w:p w14:paraId="45E32E05">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仿宋"/>
                      <w:color w:val="auto"/>
                      <w:sz w:val="22"/>
                    </w:rPr>
                  </w:pPr>
                  <w:r>
                    <w:rPr>
                      <w:rFonts w:hint="eastAsia" w:ascii="Times New Roman" w:hAnsi="Times New Roman" w:eastAsia="仿宋"/>
                      <w:color w:val="auto"/>
                      <w:sz w:val="22"/>
                      <w:lang w:val="en-US" w:eastAsia="zh-CN"/>
                    </w:rPr>
                    <w:t>≤</w:t>
                  </w:r>
                  <w:r>
                    <w:rPr>
                      <w:rFonts w:hint="eastAsia" w:ascii="Times New Roman" w:hAnsi="Times New Roman" w:eastAsia="仿宋"/>
                      <w:color w:val="auto"/>
                      <w:sz w:val="22"/>
                    </w:rPr>
                    <w:t>50</w:t>
                  </w:r>
                </w:p>
              </w:tc>
              <w:tc>
                <w:tcPr>
                  <w:tcW w:w="603" w:type="pct"/>
                  <w:tcBorders>
                    <w:tl2br w:val="nil"/>
                    <w:tr2bl w:val="nil"/>
                  </w:tcBorders>
                  <w:noWrap w:val="0"/>
                  <w:vAlign w:val="center"/>
                </w:tcPr>
                <w:p w14:paraId="16F981DA">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仿宋"/>
                      <w:color w:val="auto"/>
                      <w:sz w:val="22"/>
                    </w:rPr>
                  </w:pPr>
                  <w:r>
                    <w:rPr>
                      <w:rFonts w:hint="eastAsia" w:ascii="Times New Roman" w:hAnsi="Times New Roman" w:eastAsia="仿宋"/>
                      <w:color w:val="auto"/>
                      <w:sz w:val="22"/>
                      <w:lang w:val="en-US" w:eastAsia="zh-CN"/>
                    </w:rPr>
                    <w:t>≤</w:t>
                  </w:r>
                  <w:r>
                    <w:rPr>
                      <w:rFonts w:hint="eastAsia" w:ascii="Times New Roman" w:hAnsi="Times New Roman" w:eastAsia="仿宋"/>
                      <w:color w:val="auto"/>
                      <w:sz w:val="22"/>
                    </w:rPr>
                    <w:t>10</w:t>
                  </w:r>
                </w:p>
              </w:tc>
              <w:tc>
                <w:tcPr>
                  <w:tcW w:w="677" w:type="pct"/>
                  <w:tcBorders>
                    <w:tl2br w:val="nil"/>
                    <w:tr2bl w:val="nil"/>
                  </w:tcBorders>
                  <w:noWrap w:val="0"/>
                  <w:vAlign w:val="center"/>
                </w:tcPr>
                <w:p w14:paraId="0DA66619">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仿宋"/>
                      <w:color w:val="auto"/>
                      <w:sz w:val="22"/>
                    </w:rPr>
                  </w:pPr>
                  <w:r>
                    <w:rPr>
                      <w:rFonts w:hint="eastAsia" w:ascii="Times New Roman" w:hAnsi="Times New Roman" w:eastAsia="仿宋"/>
                      <w:color w:val="auto"/>
                      <w:sz w:val="22"/>
                      <w:lang w:val="en-US" w:eastAsia="zh-CN"/>
                    </w:rPr>
                    <w:t>≤</w:t>
                  </w:r>
                  <w:r>
                    <w:rPr>
                      <w:rFonts w:hint="eastAsia" w:ascii="Times New Roman" w:hAnsi="Times New Roman" w:eastAsia="仿宋"/>
                      <w:color w:val="auto"/>
                      <w:sz w:val="22"/>
                    </w:rPr>
                    <w:t>5（8）</w:t>
                  </w:r>
                </w:p>
              </w:tc>
              <w:tc>
                <w:tcPr>
                  <w:tcW w:w="619" w:type="pct"/>
                  <w:tcBorders>
                    <w:tl2br w:val="nil"/>
                    <w:tr2bl w:val="nil"/>
                  </w:tcBorders>
                  <w:noWrap w:val="0"/>
                  <w:vAlign w:val="center"/>
                </w:tcPr>
                <w:p w14:paraId="632C2170">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仿宋"/>
                      <w:color w:val="auto"/>
                      <w:sz w:val="22"/>
                    </w:rPr>
                  </w:pPr>
                  <w:r>
                    <w:rPr>
                      <w:rFonts w:hint="eastAsia" w:ascii="Times New Roman" w:hAnsi="Times New Roman" w:eastAsia="仿宋"/>
                      <w:color w:val="auto"/>
                      <w:sz w:val="22"/>
                      <w:lang w:val="en-US" w:eastAsia="zh-CN"/>
                    </w:rPr>
                    <w:t>≤</w:t>
                  </w:r>
                  <w:r>
                    <w:rPr>
                      <w:rFonts w:hint="eastAsia" w:ascii="Times New Roman" w:hAnsi="Times New Roman" w:eastAsia="仿宋"/>
                      <w:color w:val="auto"/>
                      <w:sz w:val="22"/>
                    </w:rPr>
                    <w:t>10</w:t>
                  </w:r>
                </w:p>
              </w:tc>
            </w:tr>
          </w:tbl>
          <w:p w14:paraId="12ACEB14">
            <w:pPr>
              <w:adjustRightInd w:val="0"/>
              <w:snapToGrid w:val="0"/>
              <w:jc w:val="both"/>
              <w:rPr>
                <w:rFonts w:ascii="Times New Roman" w:hAnsi="Times New Roman"/>
                <w:color w:val="auto"/>
                <w:sz w:val="22"/>
              </w:rPr>
            </w:pPr>
            <w:r>
              <w:rPr>
                <w:rFonts w:ascii="Times New Roman" w:hAnsi="Times New Roman"/>
                <w:color w:val="auto"/>
                <w:sz w:val="22"/>
              </w:rPr>
              <w:t xml:space="preserve">注：根据《国家环境保护总局关于纳污管排污单位氨氮执行标准的复函》（环函〔2005〕454号），氨氮执行《污水排入城镇下水道水质标准》（GB/T31962-2015）。 </w:t>
            </w:r>
          </w:p>
          <w:p w14:paraId="64D16212">
            <w:pPr>
              <w:keepNext w:val="0"/>
              <w:keepLines w:val="0"/>
              <w:pageBreakBefore w:val="0"/>
              <w:widowControl w:val="0"/>
              <w:kinsoku/>
              <w:wordWrap/>
              <w:overflowPunct/>
              <w:topLinePunct w:val="0"/>
              <w:autoSpaceDE/>
              <w:autoSpaceDN/>
              <w:bidi w:val="0"/>
              <w:adjustRightInd/>
              <w:snapToGrid w:val="0"/>
              <w:spacing w:line="460" w:lineRule="exact"/>
              <w:ind w:firstLine="520" w:firstLineChars="200"/>
              <w:textAlignment w:val="auto"/>
              <w:rPr>
                <w:rFonts w:ascii="Times New Roman" w:hAnsi="Times New Roman"/>
                <w:color w:val="auto"/>
                <w:sz w:val="26"/>
                <w:szCs w:val="26"/>
              </w:rPr>
            </w:pPr>
            <w:r>
              <w:rPr>
                <w:rFonts w:ascii="Times New Roman" w:hAnsi="Times New Roman"/>
                <w:color w:val="auto"/>
                <w:sz w:val="26"/>
                <w:szCs w:val="26"/>
              </w:rPr>
              <w:t>（3）噪声</w:t>
            </w:r>
          </w:p>
          <w:p w14:paraId="50EAF3DF">
            <w:pPr>
              <w:keepNext w:val="0"/>
              <w:keepLines w:val="0"/>
              <w:pageBreakBefore w:val="0"/>
              <w:widowControl w:val="0"/>
              <w:kinsoku/>
              <w:wordWrap/>
              <w:overflowPunct/>
              <w:topLinePunct w:val="0"/>
              <w:autoSpaceDE/>
              <w:autoSpaceDN/>
              <w:bidi w:val="0"/>
              <w:adjustRightInd/>
              <w:snapToGrid w:val="0"/>
              <w:spacing w:line="460" w:lineRule="exact"/>
              <w:ind w:firstLine="520" w:firstLineChars="200"/>
              <w:textAlignment w:val="auto"/>
              <w:rPr>
                <w:rFonts w:hint="eastAsia" w:ascii="Times New Roman" w:hAnsi="Times New Roman"/>
                <w:color w:val="auto"/>
                <w:sz w:val="26"/>
                <w:szCs w:val="26"/>
              </w:rPr>
            </w:pPr>
            <w:r>
              <w:rPr>
                <w:rFonts w:ascii="Times New Roman" w:hAnsi="Times New Roman"/>
                <w:color w:val="auto"/>
                <w:sz w:val="26"/>
                <w:szCs w:val="26"/>
              </w:rPr>
              <w:t>施工期噪声排放标准执行《建筑施工场界环境噪声排放标准》（GB12523-2011）标准</w:t>
            </w:r>
            <w:r>
              <w:rPr>
                <w:rFonts w:hint="eastAsia" w:ascii="Times New Roman" w:hAnsi="Times New Roman"/>
                <w:color w:val="auto"/>
                <w:sz w:val="26"/>
                <w:szCs w:val="26"/>
              </w:rPr>
              <w:t>。</w:t>
            </w:r>
          </w:p>
          <w:p w14:paraId="5D08A994">
            <w:pPr>
              <w:autoSpaceDE w:val="0"/>
              <w:autoSpaceDN w:val="0"/>
              <w:adjustRightInd w:val="0"/>
              <w:spacing w:line="460" w:lineRule="exact"/>
              <w:ind w:firstLine="520" w:firstLineChars="200"/>
              <w:rPr>
                <w:rFonts w:hint="eastAsia" w:ascii="Times New Roman" w:hAnsi="Times New Roman" w:eastAsia="宋体" w:cs="Times New Roman"/>
                <w:color w:val="auto"/>
                <w:sz w:val="26"/>
                <w:szCs w:val="26"/>
                <w:lang w:val="en-US" w:eastAsia="zh-CN"/>
              </w:rPr>
            </w:pPr>
            <w:r>
              <w:rPr>
                <w:rFonts w:hint="eastAsia" w:ascii="Times New Roman" w:hAnsi="Times New Roman"/>
                <w:color w:val="auto"/>
                <w:sz w:val="26"/>
                <w:szCs w:val="26"/>
              </w:rPr>
              <w:t>项目营运期执行《工业企业厂界环境噪声排放标准》（GB 12348-2008）3类标准。</w:t>
            </w:r>
            <w:r>
              <w:rPr>
                <w:rFonts w:hint="eastAsia" w:ascii="Times New Roman" w:hAnsi="Times New Roman" w:eastAsia="宋体" w:cs="Times New Roman"/>
                <w:color w:val="auto"/>
                <w:sz w:val="26"/>
                <w:szCs w:val="26"/>
                <w:lang w:val="en-US" w:eastAsia="zh-CN"/>
              </w:rPr>
              <w:t>详见下表。</w:t>
            </w:r>
          </w:p>
          <w:p w14:paraId="62ED813F">
            <w:pPr>
              <w:snapToGrid w:val="0"/>
              <w:spacing w:line="460" w:lineRule="exact"/>
              <w:ind w:firstLine="522" w:firstLineChars="200"/>
              <w:rPr>
                <w:rFonts w:ascii="Times New Roman" w:hAnsi="Times New Roman"/>
                <w:b/>
                <w:bCs/>
                <w:color w:val="auto"/>
                <w:sz w:val="26"/>
                <w:szCs w:val="26"/>
              </w:rPr>
            </w:pPr>
          </w:p>
          <w:p w14:paraId="41834FB8">
            <w:pPr>
              <w:snapToGrid w:val="0"/>
              <w:spacing w:line="460" w:lineRule="exact"/>
              <w:ind w:firstLine="522" w:firstLineChars="200"/>
              <w:rPr>
                <w:rFonts w:ascii="Times New Roman" w:hAnsi="Times New Roman"/>
                <w:b/>
                <w:bCs/>
                <w:color w:val="auto"/>
                <w:sz w:val="26"/>
                <w:szCs w:val="26"/>
              </w:rPr>
            </w:pPr>
          </w:p>
          <w:p w14:paraId="1E355E2F">
            <w:pPr>
              <w:snapToGrid w:val="0"/>
              <w:spacing w:line="460" w:lineRule="exact"/>
              <w:ind w:firstLine="522" w:firstLineChars="200"/>
              <w:rPr>
                <w:rFonts w:ascii="Times New Roman" w:hAnsi="Times New Roman"/>
                <w:b/>
                <w:bCs/>
                <w:color w:val="auto"/>
                <w:sz w:val="26"/>
                <w:szCs w:val="26"/>
              </w:rPr>
            </w:pPr>
            <w:r>
              <w:rPr>
                <w:rFonts w:ascii="Times New Roman" w:hAnsi="Times New Roman"/>
                <w:b/>
                <w:bCs/>
                <w:color w:val="auto"/>
                <w:sz w:val="26"/>
                <w:szCs w:val="26"/>
              </w:rPr>
              <w:t>表3.</w:t>
            </w:r>
            <w:r>
              <w:rPr>
                <w:rFonts w:hint="eastAsia" w:ascii="Times New Roman" w:hAnsi="Times New Roman"/>
                <w:b/>
                <w:bCs/>
                <w:color w:val="auto"/>
                <w:sz w:val="26"/>
                <w:szCs w:val="26"/>
                <w:lang w:val="en-US" w:eastAsia="zh-CN"/>
              </w:rPr>
              <w:t>4</w:t>
            </w:r>
            <w:r>
              <w:rPr>
                <w:rFonts w:ascii="Times New Roman" w:hAnsi="Times New Roman"/>
                <w:b/>
                <w:bCs/>
                <w:color w:val="auto"/>
                <w:sz w:val="26"/>
                <w:szCs w:val="26"/>
              </w:rPr>
              <w:t>-</w:t>
            </w:r>
            <w:r>
              <w:rPr>
                <w:rFonts w:hint="eastAsia" w:ascii="Times New Roman" w:hAnsi="Times New Roman"/>
                <w:b/>
                <w:bCs/>
                <w:color w:val="auto"/>
                <w:sz w:val="26"/>
                <w:szCs w:val="26"/>
                <w:lang w:val="en-US" w:eastAsia="zh-CN"/>
              </w:rPr>
              <w:t xml:space="preserve">7  </w:t>
            </w:r>
            <w:r>
              <w:rPr>
                <w:rFonts w:ascii="Times New Roman" w:hAnsi="Times New Roman"/>
                <w:b/>
                <w:bCs/>
                <w:color w:val="auto"/>
                <w:sz w:val="26"/>
                <w:szCs w:val="26"/>
              </w:rPr>
              <w:t>建筑施工场界环境噪声排放限值    单位：dB（A）</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51"/>
              <w:gridCol w:w="3755"/>
            </w:tblGrid>
            <w:tr w14:paraId="745298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2" w:type="dxa"/>
                  <w:tcBorders>
                    <w:tl2br w:val="nil"/>
                    <w:tr2bl w:val="nil"/>
                  </w:tcBorders>
                  <w:noWrap w:val="0"/>
                  <w:vAlign w:val="center"/>
                </w:tcPr>
                <w:p w14:paraId="5FFE84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2"/>
                      <w:szCs w:val="22"/>
                    </w:rPr>
                  </w:pPr>
                  <w:r>
                    <w:rPr>
                      <w:rFonts w:ascii="Times New Roman" w:hAnsi="Times New Roman"/>
                      <w:color w:val="auto"/>
                      <w:sz w:val="22"/>
                      <w:szCs w:val="22"/>
                    </w:rPr>
                    <w:t>昼间</w:t>
                  </w:r>
                </w:p>
              </w:tc>
              <w:tc>
                <w:tcPr>
                  <w:tcW w:w="3765" w:type="dxa"/>
                  <w:tcBorders>
                    <w:tl2br w:val="nil"/>
                    <w:tr2bl w:val="nil"/>
                  </w:tcBorders>
                  <w:noWrap w:val="0"/>
                  <w:vAlign w:val="center"/>
                </w:tcPr>
                <w:p w14:paraId="6CC676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2"/>
                      <w:szCs w:val="22"/>
                    </w:rPr>
                  </w:pPr>
                  <w:r>
                    <w:rPr>
                      <w:rFonts w:ascii="Times New Roman" w:hAnsi="Times New Roman"/>
                      <w:color w:val="auto"/>
                      <w:sz w:val="22"/>
                      <w:szCs w:val="22"/>
                    </w:rPr>
                    <w:t>夜间</w:t>
                  </w:r>
                </w:p>
              </w:tc>
            </w:tr>
            <w:tr w14:paraId="41BC06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2" w:type="dxa"/>
                  <w:tcBorders>
                    <w:tl2br w:val="nil"/>
                    <w:tr2bl w:val="nil"/>
                  </w:tcBorders>
                  <w:noWrap w:val="0"/>
                  <w:vAlign w:val="center"/>
                </w:tcPr>
                <w:p w14:paraId="2F7E20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2"/>
                      <w:szCs w:val="22"/>
                    </w:rPr>
                  </w:pPr>
                  <w:r>
                    <w:rPr>
                      <w:rFonts w:ascii="Times New Roman" w:hAnsi="Times New Roman"/>
                      <w:color w:val="auto"/>
                      <w:sz w:val="22"/>
                      <w:szCs w:val="22"/>
                    </w:rPr>
                    <w:t>70</w:t>
                  </w:r>
                </w:p>
              </w:tc>
              <w:tc>
                <w:tcPr>
                  <w:tcW w:w="3765" w:type="dxa"/>
                  <w:tcBorders>
                    <w:tl2br w:val="nil"/>
                    <w:tr2bl w:val="nil"/>
                  </w:tcBorders>
                  <w:noWrap w:val="0"/>
                  <w:vAlign w:val="center"/>
                </w:tcPr>
                <w:p w14:paraId="538B3E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2"/>
                      <w:szCs w:val="22"/>
                    </w:rPr>
                  </w:pPr>
                  <w:r>
                    <w:rPr>
                      <w:rFonts w:ascii="Times New Roman" w:hAnsi="Times New Roman"/>
                      <w:color w:val="auto"/>
                      <w:sz w:val="22"/>
                      <w:szCs w:val="22"/>
                    </w:rPr>
                    <w:t>55</w:t>
                  </w:r>
                </w:p>
              </w:tc>
            </w:tr>
          </w:tbl>
          <w:p w14:paraId="06AF3917">
            <w:pPr>
              <w:snapToGrid w:val="0"/>
              <w:spacing w:line="460" w:lineRule="exact"/>
              <w:ind w:firstLine="522" w:firstLineChars="200"/>
              <w:rPr>
                <w:rFonts w:ascii="Times New Roman" w:hAnsi="Times New Roman"/>
                <w:b/>
                <w:bCs/>
                <w:color w:val="auto"/>
                <w:sz w:val="26"/>
                <w:szCs w:val="26"/>
              </w:rPr>
            </w:pPr>
            <w:r>
              <w:rPr>
                <w:rFonts w:ascii="Times New Roman" w:hAnsi="Times New Roman"/>
                <w:b/>
                <w:bCs/>
                <w:color w:val="auto"/>
                <w:sz w:val="26"/>
                <w:szCs w:val="26"/>
              </w:rPr>
              <w:t>表3.</w:t>
            </w:r>
            <w:r>
              <w:rPr>
                <w:rFonts w:hint="eastAsia" w:ascii="Times New Roman" w:hAnsi="Times New Roman"/>
                <w:b/>
                <w:bCs/>
                <w:color w:val="auto"/>
                <w:sz w:val="26"/>
                <w:szCs w:val="26"/>
                <w:lang w:val="en-US" w:eastAsia="zh-CN"/>
              </w:rPr>
              <w:t>4</w:t>
            </w:r>
            <w:r>
              <w:rPr>
                <w:rFonts w:hint="eastAsia" w:ascii="Times New Roman" w:hAnsi="Times New Roman"/>
                <w:b/>
                <w:bCs/>
                <w:color w:val="auto"/>
                <w:sz w:val="26"/>
                <w:szCs w:val="26"/>
              </w:rPr>
              <w:t>-</w:t>
            </w:r>
            <w:r>
              <w:rPr>
                <w:rFonts w:hint="eastAsia" w:ascii="Times New Roman" w:hAnsi="Times New Roman"/>
                <w:b/>
                <w:bCs/>
                <w:color w:val="auto"/>
                <w:sz w:val="26"/>
                <w:szCs w:val="26"/>
                <w:lang w:val="en-US" w:eastAsia="zh-CN"/>
              </w:rPr>
              <w:t xml:space="preserve">8  </w:t>
            </w:r>
            <w:r>
              <w:rPr>
                <w:rFonts w:ascii="Times New Roman" w:hAnsi="Times New Roman"/>
                <w:b/>
                <w:bCs/>
                <w:color w:val="auto"/>
                <w:sz w:val="26"/>
                <w:szCs w:val="26"/>
              </w:rPr>
              <w:t>工业企业厂界环境噪声排放标准     单位：dB（A）</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2335"/>
              <w:gridCol w:w="2464"/>
            </w:tblGrid>
            <w:tr w14:paraId="0CF4FF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6" w:type="dxa"/>
                  <w:tcBorders>
                    <w:tl2br w:val="nil"/>
                    <w:tr2bl w:val="nil"/>
                  </w:tcBorders>
                  <w:noWrap w:val="0"/>
                  <w:vAlign w:val="center"/>
                </w:tcPr>
                <w:p w14:paraId="336871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2"/>
                      <w:szCs w:val="22"/>
                    </w:rPr>
                  </w:pPr>
                  <w:r>
                    <w:rPr>
                      <w:rFonts w:ascii="Times New Roman" w:hAnsi="Times New Roman"/>
                      <w:color w:val="auto"/>
                      <w:sz w:val="22"/>
                      <w:szCs w:val="22"/>
                    </w:rPr>
                    <w:t>类别</w:t>
                  </w:r>
                </w:p>
              </w:tc>
              <w:tc>
                <w:tcPr>
                  <w:tcW w:w="2412" w:type="dxa"/>
                  <w:tcBorders>
                    <w:tl2br w:val="nil"/>
                    <w:tr2bl w:val="nil"/>
                  </w:tcBorders>
                  <w:noWrap w:val="0"/>
                  <w:vAlign w:val="center"/>
                </w:tcPr>
                <w:p w14:paraId="243ABE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2"/>
                      <w:szCs w:val="22"/>
                    </w:rPr>
                  </w:pPr>
                  <w:r>
                    <w:rPr>
                      <w:rFonts w:ascii="Times New Roman" w:hAnsi="Times New Roman"/>
                      <w:color w:val="auto"/>
                      <w:sz w:val="22"/>
                      <w:szCs w:val="22"/>
                    </w:rPr>
                    <w:t>昼间</w:t>
                  </w:r>
                </w:p>
              </w:tc>
              <w:tc>
                <w:tcPr>
                  <w:tcW w:w="2546" w:type="dxa"/>
                  <w:tcBorders>
                    <w:tl2br w:val="nil"/>
                    <w:tr2bl w:val="nil"/>
                  </w:tcBorders>
                  <w:noWrap w:val="0"/>
                  <w:vAlign w:val="center"/>
                </w:tcPr>
                <w:p w14:paraId="5A7271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2"/>
                      <w:szCs w:val="22"/>
                    </w:rPr>
                  </w:pPr>
                  <w:r>
                    <w:rPr>
                      <w:rFonts w:ascii="Times New Roman" w:hAnsi="Times New Roman"/>
                      <w:color w:val="auto"/>
                      <w:sz w:val="22"/>
                      <w:szCs w:val="22"/>
                    </w:rPr>
                    <w:t>夜间</w:t>
                  </w:r>
                </w:p>
              </w:tc>
            </w:tr>
            <w:tr w14:paraId="49DA7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6" w:type="dxa"/>
                  <w:tcBorders>
                    <w:tl2br w:val="nil"/>
                    <w:tr2bl w:val="nil"/>
                  </w:tcBorders>
                  <w:noWrap w:val="0"/>
                  <w:vAlign w:val="center"/>
                </w:tcPr>
                <w:p w14:paraId="54B870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2"/>
                      <w:szCs w:val="22"/>
                    </w:rPr>
                  </w:pPr>
                  <w:r>
                    <w:rPr>
                      <w:rFonts w:ascii="Times New Roman" w:hAnsi="Times New Roman"/>
                      <w:color w:val="auto"/>
                      <w:sz w:val="22"/>
                      <w:szCs w:val="22"/>
                    </w:rPr>
                    <w:t>3类</w:t>
                  </w:r>
                </w:p>
              </w:tc>
              <w:tc>
                <w:tcPr>
                  <w:tcW w:w="2412" w:type="dxa"/>
                  <w:tcBorders>
                    <w:tl2br w:val="nil"/>
                    <w:tr2bl w:val="nil"/>
                  </w:tcBorders>
                  <w:noWrap w:val="0"/>
                  <w:vAlign w:val="center"/>
                </w:tcPr>
                <w:p w14:paraId="34C674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2"/>
                      <w:szCs w:val="22"/>
                    </w:rPr>
                  </w:pPr>
                  <w:r>
                    <w:rPr>
                      <w:rFonts w:ascii="Times New Roman" w:hAnsi="Times New Roman"/>
                      <w:color w:val="auto"/>
                      <w:sz w:val="22"/>
                      <w:szCs w:val="22"/>
                    </w:rPr>
                    <w:t>65</w:t>
                  </w:r>
                </w:p>
              </w:tc>
              <w:tc>
                <w:tcPr>
                  <w:tcW w:w="2546" w:type="dxa"/>
                  <w:tcBorders>
                    <w:tl2br w:val="nil"/>
                    <w:tr2bl w:val="nil"/>
                  </w:tcBorders>
                  <w:noWrap w:val="0"/>
                  <w:vAlign w:val="center"/>
                </w:tcPr>
                <w:p w14:paraId="52B4E0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2"/>
                      <w:szCs w:val="22"/>
                    </w:rPr>
                  </w:pPr>
                  <w:r>
                    <w:rPr>
                      <w:rFonts w:ascii="Times New Roman" w:hAnsi="Times New Roman"/>
                      <w:color w:val="auto"/>
                      <w:sz w:val="22"/>
                      <w:szCs w:val="22"/>
                    </w:rPr>
                    <w:t>55</w:t>
                  </w:r>
                </w:p>
              </w:tc>
            </w:tr>
          </w:tbl>
          <w:p w14:paraId="5D2275A4">
            <w:pPr>
              <w:keepNext w:val="0"/>
              <w:keepLines w:val="0"/>
              <w:pageBreakBefore w:val="0"/>
              <w:widowControl/>
              <w:kinsoku/>
              <w:wordWrap/>
              <w:overflowPunct/>
              <w:topLinePunct w:val="0"/>
              <w:autoSpaceDE/>
              <w:autoSpaceDN/>
              <w:bidi w:val="0"/>
              <w:adjustRightInd/>
              <w:snapToGrid w:val="0"/>
              <w:spacing w:line="460" w:lineRule="exact"/>
              <w:ind w:firstLine="520" w:firstLineChars="200"/>
              <w:textAlignment w:val="auto"/>
              <w:rPr>
                <w:rFonts w:ascii="Times New Roman" w:hAnsi="Times New Roman" w:eastAsia="宋体" w:cs="Times New Roman"/>
                <w:color w:val="auto"/>
                <w:sz w:val="26"/>
                <w:szCs w:val="26"/>
              </w:rPr>
            </w:pPr>
          </w:p>
          <w:p w14:paraId="220FF363">
            <w:pPr>
              <w:snapToGrid w:val="0"/>
              <w:spacing w:line="460" w:lineRule="exact"/>
              <w:ind w:firstLine="520" w:firstLineChars="200"/>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（4）固体废物</w:t>
            </w:r>
          </w:p>
          <w:p w14:paraId="5C881A23">
            <w:pPr>
              <w:keepNext w:val="0"/>
              <w:keepLines w:val="0"/>
              <w:pageBreakBefore w:val="0"/>
              <w:widowControl/>
              <w:kinsoku/>
              <w:wordWrap/>
              <w:overflowPunct/>
              <w:topLinePunct w:val="0"/>
              <w:autoSpaceDE/>
              <w:autoSpaceDN/>
              <w:bidi w:val="0"/>
              <w:adjustRightInd/>
              <w:snapToGrid w:val="0"/>
              <w:spacing w:line="460" w:lineRule="exact"/>
              <w:ind w:firstLine="520" w:firstLineChars="200"/>
              <w:jc w:val="left"/>
              <w:textAlignment w:val="auto"/>
              <w:rPr>
                <w:rFonts w:hint="default"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kern w:val="2"/>
                <w:sz w:val="26"/>
                <w:szCs w:val="26"/>
              </w:rPr>
              <w:t>本项目</w:t>
            </w:r>
            <w:r>
              <w:rPr>
                <w:rFonts w:hint="eastAsia" w:ascii="Times New Roman" w:hAnsi="Times New Roman"/>
                <w:color w:val="auto"/>
                <w:kern w:val="0"/>
                <w:sz w:val="26"/>
                <w:szCs w:val="26"/>
              </w:rPr>
              <w:t>采用库房、包装工具（罐、桶、包装袋等）贮存一般工业固体废物，根据《一般工业固体废物贮存和填埋污染控制标准》（GB 18599-2020）：采用库房、包装工具（罐、桶、包装袋等）贮存一般工业固体废物过程的污染控制，不适用本标准，其贮存过程应满足相应防渗漏、防雨淋、防扬尘等环境保护要求；危险废物暂存执行《危险废物贮存污染控制标准》（GB18597-2023）。</w:t>
            </w:r>
          </w:p>
        </w:tc>
      </w:tr>
      <w:tr w14:paraId="1E6CE1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800" w:type="dxa"/>
            <w:tcBorders>
              <w:tl2br w:val="nil"/>
              <w:tr2bl w:val="nil"/>
            </w:tcBorders>
            <w:noWrap w:val="0"/>
            <w:vAlign w:val="center"/>
          </w:tcPr>
          <w:p w14:paraId="27881C14">
            <w:pPr>
              <w:adjustRightInd w:val="0"/>
              <w:snapToGrid w:val="0"/>
              <w:jc w:val="center"/>
              <w:rPr>
                <w:rFonts w:hint="default" w:ascii="Times New Roman" w:hAnsi="Times New Roman" w:cs="Times New Roman"/>
                <w:color w:val="auto"/>
                <w:kern w:val="0"/>
                <w:sz w:val="26"/>
                <w:szCs w:val="26"/>
                <w:highlight w:val="none"/>
              </w:rPr>
            </w:pPr>
            <w:r>
              <w:rPr>
                <w:rFonts w:hint="default" w:ascii="Times New Roman" w:hAnsi="Times New Roman" w:cs="Times New Roman"/>
                <w:color w:val="auto"/>
                <w:kern w:val="0"/>
                <w:sz w:val="26"/>
                <w:szCs w:val="26"/>
                <w:highlight w:val="none"/>
              </w:rPr>
              <w:t>总量</w:t>
            </w:r>
          </w:p>
          <w:p w14:paraId="35D29926">
            <w:pPr>
              <w:adjustRightInd w:val="0"/>
              <w:snapToGrid w:val="0"/>
              <w:jc w:val="center"/>
              <w:rPr>
                <w:rFonts w:hint="default" w:ascii="Times New Roman" w:hAnsi="Times New Roman" w:cs="Times New Roman"/>
                <w:color w:val="auto"/>
                <w:kern w:val="0"/>
                <w:sz w:val="26"/>
                <w:szCs w:val="26"/>
                <w:highlight w:val="none"/>
              </w:rPr>
            </w:pPr>
            <w:r>
              <w:rPr>
                <w:rFonts w:hint="default" w:ascii="Times New Roman" w:hAnsi="Times New Roman" w:cs="Times New Roman"/>
                <w:color w:val="auto"/>
                <w:kern w:val="0"/>
                <w:sz w:val="26"/>
                <w:szCs w:val="26"/>
                <w:highlight w:val="none"/>
              </w:rPr>
              <w:t>控制</w:t>
            </w:r>
          </w:p>
          <w:p w14:paraId="68D01673">
            <w:pPr>
              <w:adjustRightInd w:val="0"/>
              <w:snapToGrid w:val="0"/>
              <w:jc w:val="center"/>
              <w:rPr>
                <w:rFonts w:hint="default" w:ascii="Times New Roman" w:hAnsi="Times New Roman" w:cs="Times New Roman"/>
                <w:color w:val="auto"/>
                <w:kern w:val="0"/>
                <w:sz w:val="26"/>
                <w:szCs w:val="26"/>
                <w:highlight w:val="none"/>
              </w:rPr>
            </w:pPr>
            <w:r>
              <w:rPr>
                <w:rFonts w:hint="default" w:ascii="Times New Roman" w:hAnsi="Times New Roman" w:cs="Times New Roman"/>
                <w:color w:val="auto"/>
                <w:kern w:val="0"/>
                <w:sz w:val="26"/>
                <w:szCs w:val="26"/>
                <w:highlight w:val="none"/>
              </w:rPr>
              <w:t>指标</w:t>
            </w:r>
          </w:p>
        </w:tc>
        <w:tc>
          <w:tcPr>
            <w:tcW w:w="8190" w:type="dxa"/>
            <w:tcBorders>
              <w:tl2br w:val="nil"/>
              <w:tr2bl w:val="nil"/>
            </w:tcBorders>
            <w:noWrap w:val="0"/>
            <w:vAlign w:val="center"/>
          </w:tcPr>
          <w:p w14:paraId="431EDA8D">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Times New Roman" w:hAnsi="Times New Roman" w:eastAsia="宋体" w:cs="Times New Roman"/>
                <w:color w:val="auto"/>
                <w:kern w:val="0"/>
                <w:sz w:val="26"/>
                <w:szCs w:val="26"/>
                <w:highlight w:val="none"/>
                <w:lang w:eastAsia="zh-CN"/>
              </w:rPr>
            </w:pPr>
            <w:r>
              <w:rPr>
                <w:rFonts w:hint="eastAsia" w:ascii="Times New Roman" w:hAnsi="Times New Roman" w:eastAsia="宋体" w:cs="Times New Roman"/>
                <w:color w:val="auto"/>
                <w:kern w:val="0"/>
                <w:sz w:val="26"/>
                <w:szCs w:val="26"/>
                <w:highlight w:val="none"/>
                <w:lang w:val="en-US" w:eastAsia="zh-CN"/>
              </w:rPr>
              <w:t>本项目及本</w:t>
            </w:r>
            <w:r>
              <w:rPr>
                <w:rFonts w:hint="eastAsia" w:ascii="Times New Roman" w:hAnsi="Times New Roman" w:eastAsia="宋体" w:cs="Times New Roman"/>
                <w:color w:val="auto"/>
                <w:kern w:val="0"/>
                <w:sz w:val="26"/>
                <w:szCs w:val="26"/>
                <w:highlight w:val="none"/>
              </w:rPr>
              <w:t>项目建成后</w:t>
            </w:r>
            <w:r>
              <w:rPr>
                <w:rFonts w:hint="eastAsia" w:ascii="Times New Roman" w:hAnsi="Times New Roman" w:eastAsia="宋体" w:cs="Times New Roman"/>
                <w:color w:val="auto"/>
                <w:kern w:val="0"/>
                <w:sz w:val="26"/>
                <w:szCs w:val="26"/>
                <w:highlight w:val="none"/>
                <w:lang w:val="en-US" w:eastAsia="zh-CN"/>
              </w:rPr>
              <w:t>全厂</w:t>
            </w:r>
            <w:r>
              <w:rPr>
                <w:rFonts w:hint="eastAsia" w:ascii="Times New Roman" w:hAnsi="Times New Roman" w:eastAsia="宋体" w:cs="Times New Roman"/>
                <w:color w:val="auto"/>
                <w:kern w:val="0"/>
                <w:sz w:val="26"/>
                <w:szCs w:val="26"/>
                <w:highlight w:val="none"/>
              </w:rPr>
              <w:t>的污染物允许排入环境的量建议值</w:t>
            </w:r>
            <w:r>
              <w:rPr>
                <w:rFonts w:hint="eastAsia" w:ascii="Times New Roman" w:hAnsi="Times New Roman" w:eastAsia="宋体" w:cs="Times New Roman"/>
                <w:color w:val="auto"/>
                <w:kern w:val="0"/>
                <w:sz w:val="26"/>
                <w:szCs w:val="26"/>
                <w:highlight w:val="none"/>
                <w:lang w:val="en-US" w:eastAsia="zh-CN"/>
              </w:rPr>
              <w:t>详见下表</w:t>
            </w:r>
            <w:r>
              <w:rPr>
                <w:rFonts w:hint="eastAsia" w:ascii="Times New Roman" w:hAnsi="Times New Roman" w:eastAsia="宋体" w:cs="Times New Roman"/>
                <w:color w:val="auto"/>
                <w:kern w:val="0"/>
                <w:sz w:val="26"/>
                <w:szCs w:val="26"/>
                <w:highlight w:val="none"/>
                <w:lang w:eastAsia="zh-CN"/>
              </w:rPr>
              <w:t>。</w:t>
            </w:r>
          </w:p>
          <w:p w14:paraId="3920423A">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rPr>
                <w:rFonts w:hint="default" w:ascii="Times New Roman" w:hAnsi="Times New Roman" w:eastAsia="宋体" w:cs="Times New Roman"/>
                <w:b/>
                <w:bCs/>
                <w:color w:val="auto"/>
                <w:kern w:val="0"/>
                <w:sz w:val="26"/>
                <w:szCs w:val="26"/>
                <w:highlight w:val="none"/>
                <w:lang w:val="en-US" w:eastAsia="zh-CN"/>
              </w:rPr>
            </w:pPr>
            <w:r>
              <w:rPr>
                <w:rFonts w:hint="eastAsia" w:ascii="Times New Roman" w:hAnsi="Times New Roman" w:eastAsia="宋体" w:cs="Times New Roman"/>
                <w:b/>
                <w:bCs/>
                <w:color w:val="auto"/>
                <w:kern w:val="0"/>
                <w:sz w:val="26"/>
                <w:szCs w:val="26"/>
                <w:highlight w:val="none"/>
                <w:lang w:val="en-US" w:eastAsia="zh-CN"/>
              </w:rPr>
              <w:t>表3.4-9  本项目建成后全厂总量控制指标一览表  单位：t/a</w:t>
            </w:r>
          </w:p>
          <w:tbl>
            <w:tblPr>
              <w:tblStyle w:val="26"/>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1927"/>
              <w:gridCol w:w="1927"/>
              <w:gridCol w:w="1927"/>
            </w:tblGrid>
            <w:tr w14:paraId="61B25D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tcBorders>
                    <w:tl2br w:val="nil"/>
                    <w:tr2bl w:val="nil"/>
                  </w:tcBorders>
                  <w:noWrap w:val="0"/>
                  <w:vAlign w:val="center"/>
                </w:tcPr>
                <w:p w14:paraId="6AB209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highlight w:val="none"/>
                      <w:vertAlign w:val="baseline"/>
                      <w:lang w:val="en-US" w:eastAsia="zh-CN"/>
                    </w:rPr>
                  </w:pPr>
                  <w:r>
                    <w:rPr>
                      <w:rFonts w:hint="default" w:ascii="Times New Roman" w:hAnsi="Times New Roman" w:eastAsia="宋体" w:cs="Times New Roman"/>
                      <w:color w:val="auto"/>
                      <w:kern w:val="0"/>
                      <w:sz w:val="22"/>
                      <w:szCs w:val="22"/>
                      <w:highlight w:val="none"/>
                      <w:vertAlign w:val="baseline"/>
                      <w:lang w:val="en-US" w:eastAsia="zh-CN"/>
                    </w:rPr>
                    <w:t>项目</w:t>
                  </w:r>
                </w:p>
              </w:tc>
              <w:tc>
                <w:tcPr>
                  <w:tcW w:w="1986" w:type="dxa"/>
                  <w:tcBorders>
                    <w:tl2br w:val="nil"/>
                    <w:tr2bl w:val="nil"/>
                  </w:tcBorders>
                  <w:noWrap w:val="0"/>
                  <w:vAlign w:val="center"/>
                </w:tcPr>
                <w:p w14:paraId="4EC169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highlight w:val="none"/>
                      <w:vertAlign w:val="baseline"/>
                      <w:lang w:val="en-US" w:eastAsia="zh-CN"/>
                    </w:rPr>
                  </w:pPr>
                  <w:r>
                    <w:rPr>
                      <w:rFonts w:hint="default" w:ascii="Times New Roman" w:hAnsi="Times New Roman" w:eastAsia="宋体" w:cs="Times New Roman"/>
                      <w:color w:val="auto"/>
                      <w:kern w:val="0"/>
                      <w:sz w:val="22"/>
                      <w:szCs w:val="22"/>
                      <w:highlight w:val="none"/>
                      <w:vertAlign w:val="baseline"/>
                      <w:lang w:val="en-US" w:eastAsia="zh-CN"/>
                    </w:rPr>
                    <w:t>污染因子</w:t>
                  </w:r>
                </w:p>
              </w:tc>
              <w:tc>
                <w:tcPr>
                  <w:tcW w:w="1986" w:type="dxa"/>
                  <w:tcBorders>
                    <w:tl2br w:val="nil"/>
                    <w:tr2bl w:val="nil"/>
                  </w:tcBorders>
                  <w:noWrap w:val="0"/>
                  <w:vAlign w:val="center"/>
                </w:tcPr>
                <w:p w14:paraId="3F6057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highlight w:val="none"/>
                      <w:vertAlign w:val="baseline"/>
                      <w:lang w:val="en-US" w:eastAsia="zh-CN"/>
                    </w:rPr>
                  </w:pPr>
                  <w:r>
                    <w:rPr>
                      <w:rFonts w:hint="default" w:ascii="Times New Roman" w:hAnsi="Times New Roman" w:eastAsia="宋体" w:cs="Times New Roman"/>
                      <w:color w:val="auto"/>
                      <w:kern w:val="0"/>
                      <w:sz w:val="22"/>
                      <w:szCs w:val="22"/>
                      <w:highlight w:val="none"/>
                      <w:vertAlign w:val="baseline"/>
                      <w:lang w:val="en-US" w:eastAsia="zh-CN"/>
                    </w:rPr>
                    <w:t>本项目</w:t>
                  </w:r>
                </w:p>
              </w:tc>
              <w:tc>
                <w:tcPr>
                  <w:tcW w:w="1987" w:type="dxa"/>
                  <w:tcBorders>
                    <w:tl2br w:val="nil"/>
                    <w:tr2bl w:val="nil"/>
                  </w:tcBorders>
                  <w:noWrap w:val="0"/>
                  <w:vAlign w:val="center"/>
                </w:tcPr>
                <w:p w14:paraId="2DAAF8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highlight w:val="none"/>
                      <w:vertAlign w:val="baseline"/>
                      <w:lang w:val="en-US" w:eastAsia="zh-CN"/>
                    </w:rPr>
                  </w:pPr>
                  <w:r>
                    <w:rPr>
                      <w:rFonts w:hint="default" w:ascii="Times New Roman" w:hAnsi="Times New Roman" w:eastAsia="宋体" w:cs="Times New Roman"/>
                      <w:color w:val="auto"/>
                      <w:kern w:val="0"/>
                      <w:sz w:val="22"/>
                      <w:szCs w:val="22"/>
                      <w:highlight w:val="none"/>
                      <w:vertAlign w:val="baseline"/>
                      <w:lang w:val="en-US" w:eastAsia="zh-CN"/>
                    </w:rPr>
                    <w:t>本项目实施后全厂</w:t>
                  </w:r>
                </w:p>
              </w:tc>
            </w:tr>
            <w:tr w14:paraId="798AB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Merge w:val="restart"/>
                  <w:tcBorders>
                    <w:tl2br w:val="nil"/>
                    <w:tr2bl w:val="nil"/>
                  </w:tcBorders>
                  <w:noWrap w:val="0"/>
                  <w:vAlign w:val="center"/>
                </w:tcPr>
                <w:p w14:paraId="34A869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highlight w:val="none"/>
                      <w:vertAlign w:val="baseline"/>
                      <w:lang w:val="en-US" w:eastAsia="zh-CN"/>
                    </w:rPr>
                  </w:pPr>
                  <w:r>
                    <w:rPr>
                      <w:rFonts w:hint="default" w:ascii="Times New Roman" w:hAnsi="Times New Roman" w:eastAsia="宋体" w:cs="Times New Roman"/>
                      <w:color w:val="auto"/>
                      <w:kern w:val="0"/>
                      <w:sz w:val="22"/>
                      <w:szCs w:val="22"/>
                      <w:highlight w:val="none"/>
                      <w:vertAlign w:val="baseline"/>
                      <w:lang w:val="en-US" w:eastAsia="zh-CN"/>
                    </w:rPr>
                    <w:t>废气</w:t>
                  </w:r>
                </w:p>
              </w:tc>
              <w:tc>
                <w:tcPr>
                  <w:tcW w:w="1986" w:type="dxa"/>
                  <w:tcBorders>
                    <w:tl2br w:val="nil"/>
                    <w:tr2bl w:val="nil"/>
                  </w:tcBorders>
                  <w:noWrap w:val="0"/>
                  <w:vAlign w:val="center"/>
                </w:tcPr>
                <w:p w14:paraId="75E963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highlight w:val="none"/>
                      <w:vertAlign w:val="baseline"/>
                      <w:lang w:val="en-US" w:eastAsia="zh-CN" w:bidi="ar-SA"/>
                    </w:rPr>
                  </w:pPr>
                  <w:r>
                    <w:rPr>
                      <w:rFonts w:hint="default" w:ascii="Times New Roman" w:hAnsi="Times New Roman" w:eastAsia="宋体" w:cs="Times New Roman"/>
                      <w:color w:val="auto"/>
                      <w:kern w:val="0"/>
                      <w:sz w:val="22"/>
                      <w:szCs w:val="22"/>
                      <w:highlight w:val="none"/>
                      <w:vertAlign w:val="baseline"/>
                      <w:lang w:val="en-US" w:eastAsia="zh-CN"/>
                    </w:rPr>
                    <w:t>NOx</w:t>
                  </w:r>
                </w:p>
              </w:tc>
              <w:tc>
                <w:tcPr>
                  <w:tcW w:w="1986" w:type="dxa"/>
                  <w:tcBorders>
                    <w:tl2br w:val="nil"/>
                    <w:tr2bl w:val="nil"/>
                  </w:tcBorders>
                  <w:noWrap w:val="0"/>
                  <w:vAlign w:val="center"/>
                </w:tcPr>
                <w:p w14:paraId="697D76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highlight w:val="none"/>
                      <w:vertAlign w:val="baseline"/>
                      <w:lang w:val="en-US" w:eastAsia="zh-CN" w:bidi="ar-SA"/>
                    </w:rPr>
                  </w:pPr>
                  <w:r>
                    <w:rPr>
                      <w:rFonts w:hint="default" w:ascii="Times New Roman" w:hAnsi="Times New Roman" w:eastAsia="宋体" w:cs="Times New Roman"/>
                      <w:color w:val="auto"/>
                      <w:spacing w:val="-6"/>
                      <w:sz w:val="22"/>
                      <w:szCs w:val="22"/>
                      <w:lang w:val="en-US" w:eastAsia="zh-CN"/>
                    </w:rPr>
                    <w:t>15.31</w:t>
                  </w:r>
                </w:p>
              </w:tc>
              <w:tc>
                <w:tcPr>
                  <w:tcW w:w="1987" w:type="dxa"/>
                  <w:tcBorders>
                    <w:tl2br w:val="nil"/>
                    <w:tr2bl w:val="nil"/>
                  </w:tcBorders>
                  <w:noWrap w:val="0"/>
                  <w:vAlign w:val="center"/>
                </w:tcPr>
                <w:p w14:paraId="3C452A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highlight w:val="none"/>
                      <w:vertAlign w:val="baseline"/>
                      <w:lang w:val="en-US" w:eastAsia="zh-CN" w:bidi="ar-SA"/>
                    </w:rPr>
                  </w:pPr>
                  <w:r>
                    <w:rPr>
                      <w:rFonts w:hint="default" w:ascii="Times New Roman" w:hAnsi="Times New Roman" w:eastAsia="宋体" w:cs="Times New Roman"/>
                      <w:color w:val="auto"/>
                      <w:kern w:val="0"/>
                      <w:sz w:val="22"/>
                      <w:szCs w:val="22"/>
                      <w:highlight w:val="none"/>
                      <w:vertAlign w:val="baseline"/>
                      <w:lang w:val="en-US" w:eastAsia="zh-CN" w:bidi="ar-SA"/>
                    </w:rPr>
                    <w:t>36.5</w:t>
                  </w:r>
                </w:p>
              </w:tc>
            </w:tr>
            <w:tr w14:paraId="5C32A6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Merge w:val="continue"/>
                  <w:tcBorders>
                    <w:tl2br w:val="nil"/>
                    <w:tr2bl w:val="nil"/>
                  </w:tcBorders>
                  <w:noWrap w:val="0"/>
                  <w:vAlign w:val="center"/>
                </w:tcPr>
                <w:p w14:paraId="6AB2DF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highlight w:val="none"/>
                      <w:vertAlign w:val="baseline"/>
                      <w:lang w:val="en-US" w:eastAsia="zh-CN"/>
                    </w:rPr>
                  </w:pPr>
                </w:p>
              </w:tc>
              <w:tc>
                <w:tcPr>
                  <w:tcW w:w="1986" w:type="dxa"/>
                  <w:tcBorders>
                    <w:tl2br w:val="nil"/>
                    <w:tr2bl w:val="nil"/>
                  </w:tcBorders>
                  <w:noWrap w:val="0"/>
                  <w:vAlign w:val="center"/>
                </w:tcPr>
                <w:p w14:paraId="354AC2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highlight w:val="none"/>
                      <w:vertAlign w:val="baseline"/>
                      <w:lang w:val="en-US" w:eastAsia="zh-CN" w:bidi="ar-SA"/>
                    </w:rPr>
                  </w:pPr>
                  <w:r>
                    <w:rPr>
                      <w:rFonts w:hint="default" w:ascii="Times New Roman" w:hAnsi="Times New Roman" w:eastAsia="宋体" w:cs="Times New Roman"/>
                      <w:color w:val="auto"/>
                      <w:kern w:val="0"/>
                      <w:sz w:val="22"/>
                      <w:szCs w:val="22"/>
                      <w:highlight w:val="none"/>
                      <w:vertAlign w:val="baseline"/>
                      <w:lang w:val="en-US" w:eastAsia="zh-CN"/>
                    </w:rPr>
                    <w:t>颗粒物</w:t>
                  </w:r>
                </w:p>
              </w:tc>
              <w:tc>
                <w:tcPr>
                  <w:tcW w:w="1986" w:type="dxa"/>
                  <w:tcBorders>
                    <w:tl2br w:val="nil"/>
                    <w:tr2bl w:val="nil"/>
                  </w:tcBorders>
                  <w:noWrap w:val="0"/>
                  <w:vAlign w:val="center"/>
                </w:tcPr>
                <w:p w14:paraId="031468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highlight w:val="none"/>
                      <w:vertAlign w:val="baseline"/>
                      <w:lang w:val="en-US" w:eastAsia="zh-CN" w:bidi="ar-SA"/>
                    </w:rPr>
                  </w:pPr>
                  <w:r>
                    <w:rPr>
                      <w:rFonts w:hint="eastAsia" w:ascii="Times New Roman" w:hAnsi="Times New Roman" w:eastAsia="宋体" w:cs="Times New Roman"/>
                      <w:color w:val="auto"/>
                      <w:kern w:val="0"/>
                      <w:sz w:val="22"/>
                      <w:szCs w:val="22"/>
                      <w:highlight w:val="none"/>
                      <w:vertAlign w:val="baseline"/>
                      <w:lang w:val="en-US" w:eastAsia="zh-CN" w:bidi="ar-SA"/>
                    </w:rPr>
                    <w:t>4</w:t>
                  </w:r>
                  <w:r>
                    <w:rPr>
                      <w:rFonts w:hint="default" w:ascii="Times New Roman" w:hAnsi="Times New Roman" w:eastAsia="宋体" w:cs="Times New Roman"/>
                      <w:color w:val="auto"/>
                      <w:kern w:val="0"/>
                      <w:sz w:val="22"/>
                      <w:szCs w:val="22"/>
                      <w:highlight w:val="none"/>
                      <w:vertAlign w:val="baseline"/>
                      <w:lang w:val="en-US" w:eastAsia="zh-CN" w:bidi="ar-SA"/>
                    </w:rPr>
                    <w:t>.826</w:t>
                  </w:r>
                </w:p>
              </w:tc>
              <w:tc>
                <w:tcPr>
                  <w:tcW w:w="1987" w:type="dxa"/>
                  <w:tcBorders>
                    <w:tl2br w:val="nil"/>
                    <w:tr2bl w:val="nil"/>
                  </w:tcBorders>
                  <w:noWrap w:val="0"/>
                  <w:vAlign w:val="center"/>
                </w:tcPr>
                <w:p w14:paraId="14031E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highlight w:val="none"/>
                      <w:vertAlign w:val="baseline"/>
                      <w:lang w:val="en-US" w:eastAsia="zh-CN" w:bidi="ar-SA"/>
                    </w:rPr>
                  </w:pPr>
                  <w:r>
                    <w:rPr>
                      <w:rFonts w:hint="default" w:ascii="Times New Roman" w:hAnsi="Times New Roman" w:eastAsia="宋体" w:cs="Times New Roman"/>
                      <w:color w:val="auto"/>
                      <w:kern w:val="0"/>
                      <w:sz w:val="22"/>
                      <w:szCs w:val="22"/>
                      <w:highlight w:val="none"/>
                      <w:vertAlign w:val="baseline"/>
                      <w:lang w:val="en-US" w:eastAsia="zh-CN" w:bidi="ar-SA"/>
                    </w:rPr>
                    <w:t>1</w:t>
                  </w:r>
                  <w:r>
                    <w:rPr>
                      <w:rFonts w:hint="eastAsia" w:ascii="Times New Roman" w:hAnsi="Times New Roman" w:eastAsia="宋体" w:cs="Times New Roman"/>
                      <w:color w:val="auto"/>
                      <w:kern w:val="0"/>
                      <w:sz w:val="22"/>
                      <w:szCs w:val="22"/>
                      <w:highlight w:val="none"/>
                      <w:vertAlign w:val="baseline"/>
                      <w:lang w:val="en-US" w:eastAsia="zh-CN" w:bidi="ar-SA"/>
                    </w:rPr>
                    <w:t>1</w:t>
                  </w:r>
                  <w:r>
                    <w:rPr>
                      <w:rFonts w:hint="default" w:ascii="Times New Roman" w:hAnsi="Times New Roman" w:eastAsia="宋体" w:cs="Times New Roman"/>
                      <w:color w:val="auto"/>
                      <w:kern w:val="0"/>
                      <w:sz w:val="22"/>
                      <w:szCs w:val="22"/>
                      <w:highlight w:val="none"/>
                      <w:vertAlign w:val="baseline"/>
                      <w:lang w:val="en-US" w:eastAsia="zh-CN" w:bidi="ar-SA"/>
                    </w:rPr>
                    <w:t>.98</w:t>
                  </w:r>
                </w:p>
              </w:tc>
            </w:tr>
            <w:tr w14:paraId="57CE63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Merge w:val="restart"/>
                  <w:tcBorders>
                    <w:tl2br w:val="nil"/>
                    <w:tr2bl w:val="nil"/>
                  </w:tcBorders>
                  <w:noWrap w:val="0"/>
                  <w:vAlign w:val="center"/>
                </w:tcPr>
                <w:p w14:paraId="04992F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highlight w:val="none"/>
                      <w:vertAlign w:val="baseline"/>
                      <w:lang w:val="en-US" w:eastAsia="zh-CN"/>
                    </w:rPr>
                  </w:pPr>
                  <w:r>
                    <w:rPr>
                      <w:rFonts w:hint="default" w:ascii="Times New Roman" w:hAnsi="Times New Roman" w:eastAsia="宋体" w:cs="Times New Roman"/>
                      <w:color w:val="auto"/>
                      <w:kern w:val="0"/>
                      <w:sz w:val="22"/>
                      <w:szCs w:val="22"/>
                      <w:highlight w:val="none"/>
                      <w:vertAlign w:val="baseline"/>
                      <w:lang w:val="en-US" w:eastAsia="zh-CN"/>
                    </w:rPr>
                    <w:t>废水</w:t>
                  </w:r>
                </w:p>
              </w:tc>
              <w:tc>
                <w:tcPr>
                  <w:tcW w:w="1986" w:type="dxa"/>
                  <w:tcBorders>
                    <w:tl2br w:val="nil"/>
                    <w:tr2bl w:val="nil"/>
                  </w:tcBorders>
                  <w:noWrap w:val="0"/>
                  <w:vAlign w:val="center"/>
                </w:tcPr>
                <w:p w14:paraId="6F6D0C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highlight w:val="none"/>
                      <w:vertAlign w:val="baseline"/>
                      <w:lang w:val="en-US" w:eastAsia="zh-CN"/>
                    </w:rPr>
                  </w:pPr>
                  <w:r>
                    <w:rPr>
                      <w:rFonts w:hint="default" w:ascii="Times New Roman" w:hAnsi="Times New Roman" w:eastAsia="宋体" w:cs="Times New Roman"/>
                      <w:color w:val="auto"/>
                      <w:kern w:val="0"/>
                      <w:sz w:val="22"/>
                      <w:szCs w:val="22"/>
                      <w:highlight w:val="none"/>
                      <w:vertAlign w:val="baseline"/>
                      <w:lang w:val="en-US" w:eastAsia="zh-CN"/>
                    </w:rPr>
                    <w:t>COD</w:t>
                  </w:r>
                </w:p>
              </w:tc>
              <w:tc>
                <w:tcPr>
                  <w:tcW w:w="1986" w:type="dxa"/>
                  <w:tcBorders>
                    <w:tl2br w:val="nil"/>
                    <w:tr2bl w:val="nil"/>
                  </w:tcBorders>
                  <w:noWrap w:val="0"/>
                  <w:vAlign w:val="center"/>
                </w:tcPr>
                <w:p w14:paraId="63EB03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highlight w:val="none"/>
                      <w:vertAlign w:val="baseline"/>
                      <w:lang w:val="en-US" w:eastAsia="zh-CN"/>
                    </w:rPr>
                  </w:pPr>
                  <w:r>
                    <w:rPr>
                      <w:rFonts w:hint="default" w:ascii="Times New Roman" w:hAnsi="Times New Roman" w:eastAsia="宋体" w:cs="Times New Roman"/>
                      <w:color w:val="auto"/>
                      <w:kern w:val="0"/>
                      <w:sz w:val="22"/>
                      <w:szCs w:val="22"/>
                      <w:highlight w:val="none"/>
                      <w:lang w:val="en-US" w:eastAsia="zh-CN"/>
                    </w:rPr>
                    <w:t>0</w:t>
                  </w:r>
                </w:p>
              </w:tc>
              <w:tc>
                <w:tcPr>
                  <w:tcW w:w="1987" w:type="dxa"/>
                  <w:tcBorders>
                    <w:tl2br w:val="nil"/>
                    <w:tr2bl w:val="nil"/>
                  </w:tcBorders>
                  <w:noWrap w:val="0"/>
                  <w:vAlign w:val="center"/>
                </w:tcPr>
                <w:p w14:paraId="402EF4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highlight w:val="none"/>
                      <w:vertAlign w:val="baseline"/>
                      <w:lang w:val="en-US" w:eastAsia="zh-CN"/>
                    </w:rPr>
                  </w:pPr>
                  <w:r>
                    <w:rPr>
                      <w:rFonts w:hint="default" w:ascii="Times New Roman" w:hAnsi="Times New Roman" w:eastAsia="宋体" w:cs="Times New Roman"/>
                      <w:color w:val="auto"/>
                      <w:kern w:val="0"/>
                      <w:sz w:val="22"/>
                      <w:szCs w:val="22"/>
                      <w:highlight w:val="none"/>
                      <w:vertAlign w:val="baseline"/>
                      <w:lang w:val="en-US" w:eastAsia="zh-CN"/>
                    </w:rPr>
                    <w:t>0.080</w:t>
                  </w:r>
                </w:p>
              </w:tc>
            </w:tr>
            <w:tr w14:paraId="18D1D9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Merge w:val="continue"/>
                  <w:tcBorders>
                    <w:tl2br w:val="nil"/>
                    <w:tr2bl w:val="nil"/>
                  </w:tcBorders>
                  <w:noWrap w:val="0"/>
                  <w:vAlign w:val="center"/>
                </w:tcPr>
                <w:p w14:paraId="7B16D2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highlight w:val="none"/>
                      <w:vertAlign w:val="baseline"/>
                      <w:lang w:val="en-US" w:eastAsia="zh-CN"/>
                    </w:rPr>
                  </w:pPr>
                </w:p>
              </w:tc>
              <w:tc>
                <w:tcPr>
                  <w:tcW w:w="1986" w:type="dxa"/>
                  <w:tcBorders>
                    <w:tl2br w:val="nil"/>
                    <w:tr2bl w:val="nil"/>
                  </w:tcBorders>
                  <w:noWrap w:val="0"/>
                  <w:vAlign w:val="center"/>
                </w:tcPr>
                <w:p w14:paraId="76BCB5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highlight w:val="none"/>
                      <w:vertAlign w:val="baseline"/>
                      <w:lang w:val="en-US" w:eastAsia="zh-CN"/>
                    </w:rPr>
                  </w:pPr>
                  <w:r>
                    <w:rPr>
                      <w:rFonts w:hint="default" w:ascii="Times New Roman" w:hAnsi="Times New Roman" w:eastAsia="宋体" w:cs="Times New Roman"/>
                      <w:color w:val="auto"/>
                      <w:kern w:val="0"/>
                      <w:sz w:val="22"/>
                      <w:szCs w:val="22"/>
                      <w:highlight w:val="none"/>
                      <w:vertAlign w:val="baseline"/>
                      <w:lang w:val="en-US" w:eastAsia="zh-CN"/>
                    </w:rPr>
                    <w:t>氨氮</w:t>
                  </w:r>
                </w:p>
              </w:tc>
              <w:tc>
                <w:tcPr>
                  <w:tcW w:w="1986" w:type="dxa"/>
                  <w:tcBorders>
                    <w:tl2br w:val="nil"/>
                    <w:tr2bl w:val="nil"/>
                  </w:tcBorders>
                  <w:noWrap w:val="0"/>
                  <w:vAlign w:val="center"/>
                </w:tcPr>
                <w:p w14:paraId="31F161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highlight w:val="none"/>
                      <w:vertAlign w:val="baseline"/>
                      <w:lang w:val="en-US" w:eastAsia="zh-CN"/>
                    </w:rPr>
                  </w:pPr>
                  <w:r>
                    <w:rPr>
                      <w:rFonts w:hint="default" w:ascii="Times New Roman" w:hAnsi="Times New Roman" w:eastAsia="宋体" w:cs="Times New Roman"/>
                      <w:color w:val="auto"/>
                      <w:kern w:val="0"/>
                      <w:sz w:val="22"/>
                      <w:szCs w:val="22"/>
                      <w:highlight w:val="none"/>
                      <w:lang w:val="en-US" w:eastAsia="zh-CN"/>
                    </w:rPr>
                    <w:t>0</w:t>
                  </w:r>
                </w:p>
              </w:tc>
              <w:tc>
                <w:tcPr>
                  <w:tcW w:w="1987" w:type="dxa"/>
                  <w:tcBorders>
                    <w:tl2br w:val="nil"/>
                    <w:tr2bl w:val="nil"/>
                  </w:tcBorders>
                  <w:noWrap w:val="0"/>
                  <w:vAlign w:val="center"/>
                </w:tcPr>
                <w:p w14:paraId="68A86F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2"/>
                      <w:szCs w:val="22"/>
                      <w:highlight w:val="none"/>
                      <w:vertAlign w:val="baseline"/>
                      <w:lang w:val="en-US" w:eastAsia="zh-CN"/>
                    </w:rPr>
                  </w:pPr>
                  <w:r>
                    <w:rPr>
                      <w:rFonts w:hint="default" w:ascii="Times New Roman" w:hAnsi="Times New Roman" w:eastAsia="宋体" w:cs="Times New Roman"/>
                      <w:color w:val="auto"/>
                      <w:kern w:val="0"/>
                      <w:sz w:val="22"/>
                      <w:szCs w:val="22"/>
                      <w:highlight w:val="none"/>
                      <w:vertAlign w:val="baseline"/>
                      <w:lang w:val="en-US" w:eastAsia="zh-CN"/>
                    </w:rPr>
                    <w:t>0.008</w:t>
                  </w:r>
                </w:p>
              </w:tc>
            </w:tr>
          </w:tbl>
          <w:p w14:paraId="74C4196E">
            <w:pPr>
              <w:adjustRightInd w:val="0"/>
              <w:snapToGrid w:val="0"/>
              <w:jc w:val="both"/>
              <w:rPr>
                <w:rFonts w:hint="default" w:ascii="Times New Roman" w:hAnsi="Times New Roman" w:eastAsia="宋体" w:cs="Times New Roman"/>
                <w:color w:val="auto"/>
                <w:kern w:val="2"/>
                <w:sz w:val="26"/>
                <w:szCs w:val="26"/>
                <w:highlight w:val="none"/>
                <w:lang w:val="en-US" w:eastAsia="zh-CN" w:bidi="ar-SA"/>
              </w:rPr>
            </w:pPr>
            <w:r>
              <w:rPr>
                <w:rFonts w:hint="eastAsia" w:ascii="Times New Roman" w:hAnsi="Times New Roman" w:eastAsia="宋体" w:cs="Times New Roman"/>
                <w:color w:val="auto"/>
                <w:sz w:val="22"/>
                <w:lang w:val="en-US" w:eastAsia="zh-CN"/>
              </w:rPr>
              <w:t>注：表中总量为排入外环境的量。</w:t>
            </w:r>
          </w:p>
        </w:tc>
      </w:tr>
    </w:tbl>
    <w:p w14:paraId="5FADB335">
      <w:pPr>
        <w:rPr>
          <w:rFonts w:hint="default" w:ascii="Times New Roman" w:hAnsi="Times New Roman" w:cs="Times New Roman"/>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04DE887">
      <w:pPr>
        <w:pStyle w:val="2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四、主要环境影响和保护措施</w:t>
      </w:r>
    </w:p>
    <w:tbl>
      <w:tblPr>
        <w:tblStyle w:val="25"/>
        <w:tblW w:w="89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366CCD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tcBorders>
              <w:tl2br w:val="nil"/>
              <w:tr2bl w:val="nil"/>
            </w:tcBorders>
            <w:noWrap w:val="0"/>
            <w:tcMar>
              <w:left w:w="28" w:type="dxa"/>
              <w:right w:w="28" w:type="dxa"/>
            </w:tcMar>
            <w:vAlign w:val="center"/>
          </w:tcPr>
          <w:p w14:paraId="10D52DFB">
            <w:pPr>
              <w:pStyle w:val="20"/>
              <w:adjustRightInd w:val="0"/>
              <w:snapToGrid w:val="0"/>
              <w:spacing w:before="0" w:beforeAutospacing="0" w:after="0" w:afterAutospacing="0"/>
              <w:jc w:val="center"/>
              <w:rPr>
                <w:rFonts w:hint="default" w:ascii="Times New Roman" w:hAnsi="Times New Roman" w:cs="Times New Roman"/>
                <w:color w:val="auto"/>
                <w:kern w:val="2"/>
                <w:sz w:val="26"/>
                <w:szCs w:val="26"/>
              </w:rPr>
            </w:pPr>
            <w:r>
              <w:rPr>
                <w:rFonts w:hint="default" w:ascii="Times New Roman" w:hAnsi="Times New Roman" w:cs="Times New Roman"/>
                <w:color w:val="auto"/>
                <w:kern w:val="2"/>
                <w:sz w:val="26"/>
                <w:szCs w:val="26"/>
              </w:rPr>
              <w:t>施工</w:t>
            </w:r>
          </w:p>
          <w:p w14:paraId="52957E5C">
            <w:pPr>
              <w:pStyle w:val="20"/>
              <w:adjustRightInd w:val="0"/>
              <w:snapToGrid w:val="0"/>
              <w:spacing w:before="0" w:beforeAutospacing="0" w:after="0" w:afterAutospacing="0"/>
              <w:jc w:val="center"/>
              <w:rPr>
                <w:rFonts w:hint="default" w:ascii="Times New Roman" w:hAnsi="Times New Roman" w:cs="Times New Roman"/>
                <w:color w:val="auto"/>
                <w:kern w:val="2"/>
                <w:sz w:val="26"/>
                <w:szCs w:val="26"/>
              </w:rPr>
            </w:pPr>
            <w:r>
              <w:rPr>
                <w:rFonts w:hint="default" w:ascii="Times New Roman" w:hAnsi="Times New Roman" w:cs="Times New Roman"/>
                <w:color w:val="auto"/>
                <w:kern w:val="2"/>
                <w:sz w:val="26"/>
                <w:szCs w:val="26"/>
              </w:rPr>
              <w:t>期环</w:t>
            </w:r>
          </w:p>
          <w:p w14:paraId="1070B3B5">
            <w:pPr>
              <w:pStyle w:val="20"/>
              <w:adjustRightInd w:val="0"/>
              <w:snapToGrid w:val="0"/>
              <w:spacing w:before="0" w:beforeAutospacing="0" w:after="0" w:afterAutospacing="0"/>
              <w:jc w:val="center"/>
              <w:rPr>
                <w:rFonts w:hint="default" w:ascii="Times New Roman" w:hAnsi="Times New Roman" w:cs="Times New Roman"/>
                <w:color w:val="auto"/>
                <w:kern w:val="2"/>
                <w:sz w:val="26"/>
                <w:szCs w:val="26"/>
              </w:rPr>
            </w:pPr>
            <w:r>
              <w:rPr>
                <w:rFonts w:hint="default" w:ascii="Times New Roman" w:hAnsi="Times New Roman" w:cs="Times New Roman"/>
                <w:color w:val="auto"/>
                <w:kern w:val="2"/>
                <w:sz w:val="26"/>
                <w:szCs w:val="26"/>
              </w:rPr>
              <w:t>境保</w:t>
            </w:r>
          </w:p>
          <w:p w14:paraId="09656943">
            <w:pPr>
              <w:pStyle w:val="20"/>
              <w:adjustRightInd w:val="0"/>
              <w:snapToGrid w:val="0"/>
              <w:spacing w:before="0" w:beforeAutospacing="0" w:after="0" w:afterAutospacing="0"/>
              <w:jc w:val="center"/>
              <w:rPr>
                <w:rFonts w:hint="default" w:ascii="Times New Roman" w:hAnsi="Times New Roman" w:cs="Times New Roman"/>
                <w:color w:val="auto"/>
                <w:kern w:val="2"/>
                <w:sz w:val="26"/>
                <w:szCs w:val="26"/>
              </w:rPr>
            </w:pPr>
            <w:r>
              <w:rPr>
                <w:rFonts w:hint="default" w:ascii="Times New Roman" w:hAnsi="Times New Roman" w:cs="Times New Roman"/>
                <w:color w:val="auto"/>
                <w:kern w:val="2"/>
                <w:sz w:val="26"/>
                <w:szCs w:val="26"/>
              </w:rPr>
              <w:t>护措</w:t>
            </w:r>
          </w:p>
          <w:p w14:paraId="24C9A439">
            <w:pPr>
              <w:pStyle w:val="20"/>
              <w:adjustRightInd w:val="0"/>
              <w:snapToGrid w:val="0"/>
              <w:spacing w:before="0" w:beforeAutospacing="0" w:after="0" w:afterAutospacing="0"/>
              <w:jc w:val="center"/>
              <w:rPr>
                <w:rFonts w:hint="default" w:ascii="Times New Roman" w:hAnsi="Times New Roman" w:cs="Times New Roman"/>
                <w:bCs/>
                <w:color w:val="auto"/>
                <w:kern w:val="2"/>
                <w:sz w:val="26"/>
                <w:szCs w:val="26"/>
              </w:rPr>
            </w:pPr>
            <w:r>
              <w:rPr>
                <w:rFonts w:hint="default" w:ascii="Times New Roman" w:hAnsi="Times New Roman" w:cs="Times New Roman"/>
                <w:color w:val="auto"/>
                <w:kern w:val="2"/>
                <w:sz w:val="26"/>
                <w:szCs w:val="26"/>
              </w:rPr>
              <w:t>施</w:t>
            </w:r>
          </w:p>
        </w:tc>
        <w:tc>
          <w:tcPr>
            <w:tcW w:w="8162" w:type="dxa"/>
            <w:tcBorders>
              <w:tl2br w:val="nil"/>
              <w:tr2bl w:val="nil"/>
            </w:tcBorders>
            <w:noWrap w:val="0"/>
            <w:vAlign w:val="center"/>
          </w:tcPr>
          <w:p w14:paraId="0066CB65">
            <w:pPr>
              <w:adjustRightInd w:val="0"/>
              <w:snapToGrid w:val="0"/>
              <w:spacing w:line="460" w:lineRule="exact"/>
              <w:jc w:val="left"/>
              <w:rPr>
                <w:rFonts w:ascii="Times New Roman" w:hAnsi="Times New Roman"/>
                <w:b/>
                <w:bCs/>
                <w:color w:val="auto"/>
                <w:sz w:val="26"/>
                <w:szCs w:val="26"/>
              </w:rPr>
            </w:pPr>
            <w:r>
              <w:rPr>
                <w:rFonts w:ascii="Times New Roman" w:hAnsi="Times New Roman"/>
                <w:b/>
                <w:bCs/>
                <w:color w:val="auto"/>
                <w:sz w:val="26"/>
                <w:szCs w:val="26"/>
              </w:rPr>
              <w:t>4.1施工期环境保护措施</w:t>
            </w:r>
          </w:p>
          <w:p w14:paraId="50D2644C">
            <w:pPr>
              <w:autoSpaceDE w:val="0"/>
              <w:autoSpaceDN w:val="0"/>
              <w:adjustRightInd w:val="0"/>
              <w:spacing w:line="460" w:lineRule="exact"/>
              <w:jc w:val="left"/>
              <w:rPr>
                <w:rFonts w:ascii="Times New Roman" w:hAnsi="Times New Roman" w:eastAsia="宋体" w:cs="Times New Roman"/>
                <w:b/>
                <w:bCs/>
                <w:color w:val="auto"/>
                <w:sz w:val="26"/>
                <w:szCs w:val="26"/>
              </w:rPr>
            </w:pPr>
            <w:r>
              <w:rPr>
                <w:rFonts w:ascii="Times New Roman" w:hAnsi="Times New Roman" w:eastAsia="宋体" w:cs="Times New Roman"/>
                <w:b/>
                <w:bCs/>
                <w:color w:val="auto"/>
                <w:sz w:val="26"/>
                <w:szCs w:val="26"/>
              </w:rPr>
              <w:t>4.1.1废气防治措施</w:t>
            </w:r>
          </w:p>
          <w:p w14:paraId="0A01E5F7">
            <w:pPr>
              <w:autoSpaceDE w:val="0"/>
              <w:autoSpaceDN w:val="0"/>
              <w:adjustRightInd w:val="0"/>
              <w:spacing w:line="460" w:lineRule="exact"/>
              <w:ind w:firstLine="520" w:firstLineChars="200"/>
              <w:jc w:val="left"/>
              <w:rPr>
                <w:rFonts w:ascii="Times New Roman" w:hAnsi="Times New Roman"/>
                <w:color w:val="auto"/>
                <w:kern w:val="0"/>
                <w:sz w:val="26"/>
                <w:szCs w:val="26"/>
              </w:rPr>
            </w:pPr>
            <w:r>
              <w:rPr>
                <w:rFonts w:hint="eastAsia" w:ascii="Times New Roman" w:hAnsi="Times New Roman"/>
                <w:color w:val="auto"/>
                <w:kern w:val="0"/>
                <w:sz w:val="26"/>
                <w:szCs w:val="26"/>
                <w:lang w:eastAsia="zh-CN"/>
              </w:rPr>
              <w:t>本</w:t>
            </w:r>
            <w:r>
              <w:rPr>
                <w:rFonts w:hint="eastAsia" w:ascii="Times New Roman" w:hAnsi="Times New Roman"/>
                <w:color w:val="auto"/>
                <w:kern w:val="0"/>
                <w:sz w:val="26"/>
                <w:szCs w:val="26"/>
              </w:rPr>
              <w:t>项目不涉及土建工作，只需在室内进行设备</w:t>
            </w:r>
            <w:r>
              <w:rPr>
                <w:rFonts w:hint="eastAsia" w:ascii="Times New Roman" w:hAnsi="Times New Roman"/>
                <w:color w:val="auto"/>
                <w:kern w:val="0"/>
                <w:sz w:val="26"/>
                <w:szCs w:val="26"/>
                <w:lang w:val="en-US" w:eastAsia="zh-CN"/>
              </w:rPr>
              <w:t>搬运及</w:t>
            </w:r>
            <w:r>
              <w:rPr>
                <w:rFonts w:hint="eastAsia" w:ascii="Times New Roman" w:hAnsi="Times New Roman"/>
                <w:color w:val="auto"/>
                <w:kern w:val="0"/>
                <w:sz w:val="26"/>
                <w:szCs w:val="26"/>
              </w:rPr>
              <w:t>安装，不涉及大型施工机械，基本不存在施工废气的影响。</w:t>
            </w:r>
          </w:p>
          <w:p w14:paraId="41C32B11">
            <w:pPr>
              <w:autoSpaceDE w:val="0"/>
              <w:autoSpaceDN w:val="0"/>
              <w:adjustRightInd w:val="0"/>
              <w:spacing w:line="460" w:lineRule="exact"/>
              <w:jc w:val="left"/>
              <w:rPr>
                <w:rFonts w:ascii="Times New Roman" w:hAnsi="Times New Roman" w:eastAsia="宋体" w:cs="Times New Roman"/>
                <w:b/>
                <w:bCs/>
                <w:color w:val="auto"/>
                <w:sz w:val="26"/>
                <w:szCs w:val="26"/>
              </w:rPr>
            </w:pPr>
            <w:r>
              <w:rPr>
                <w:rFonts w:ascii="Times New Roman" w:hAnsi="Times New Roman" w:eastAsia="宋体" w:cs="Times New Roman"/>
                <w:b/>
                <w:bCs/>
                <w:color w:val="auto"/>
                <w:sz w:val="26"/>
                <w:szCs w:val="26"/>
              </w:rPr>
              <w:t>4.1.2废水防治措施</w:t>
            </w:r>
          </w:p>
          <w:p w14:paraId="4B7D519B">
            <w:pPr>
              <w:autoSpaceDE w:val="0"/>
              <w:autoSpaceDN w:val="0"/>
              <w:adjustRightInd w:val="0"/>
              <w:spacing w:line="460" w:lineRule="exact"/>
              <w:ind w:firstLine="520" w:firstLineChars="200"/>
              <w:jc w:val="left"/>
              <w:rPr>
                <w:rFonts w:ascii="Times New Roman" w:hAnsi="Times New Roman"/>
                <w:color w:val="auto"/>
                <w:kern w:val="0"/>
                <w:sz w:val="26"/>
                <w:szCs w:val="26"/>
              </w:rPr>
            </w:pPr>
            <w:r>
              <w:rPr>
                <w:rFonts w:ascii="Times New Roman" w:hAnsi="Times New Roman"/>
                <w:color w:val="auto"/>
                <w:kern w:val="0"/>
                <w:sz w:val="26"/>
                <w:szCs w:val="26"/>
              </w:rPr>
              <w:t>施工期间</w:t>
            </w:r>
            <w:r>
              <w:rPr>
                <w:rFonts w:hint="eastAsia" w:ascii="Times New Roman" w:hAnsi="Times New Roman"/>
                <w:color w:val="auto"/>
                <w:kern w:val="0"/>
                <w:sz w:val="26"/>
                <w:szCs w:val="26"/>
                <w:lang w:eastAsia="zh-CN"/>
              </w:rPr>
              <w:t>主要为施工人员生活污水，</w:t>
            </w:r>
            <w:r>
              <w:rPr>
                <w:rFonts w:ascii="Times New Roman" w:hAnsi="Times New Roman"/>
                <w:color w:val="auto"/>
                <w:kern w:val="0"/>
                <w:sz w:val="26"/>
                <w:szCs w:val="26"/>
              </w:rPr>
              <w:t>生活污水依托</w:t>
            </w:r>
            <w:r>
              <w:rPr>
                <w:rFonts w:hint="eastAsia" w:ascii="Times New Roman" w:hAnsi="Times New Roman"/>
                <w:color w:val="auto"/>
                <w:kern w:val="0"/>
                <w:sz w:val="26"/>
                <w:szCs w:val="26"/>
                <w:lang w:val="en-US" w:eastAsia="zh-CN"/>
              </w:rPr>
              <w:t>厂区现有</w:t>
            </w:r>
            <w:r>
              <w:rPr>
                <w:rFonts w:ascii="Times New Roman" w:hAnsi="Times New Roman"/>
                <w:color w:val="auto"/>
                <w:kern w:val="0"/>
                <w:sz w:val="26"/>
                <w:szCs w:val="26"/>
              </w:rPr>
              <w:t>的</w:t>
            </w:r>
            <w:r>
              <w:rPr>
                <w:rFonts w:hint="eastAsia" w:ascii="Times New Roman" w:hAnsi="Times New Roman"/>
                <w:color w:val="auto"/>
                <w:kern w:val="0"/>
                <w:sz w:val="26"/>
                <w:szCs w:val="26"/>
                <w:lang w:val="en-US" w:eastAsia="zh-CN"/>
              </w:rPr>
              <w:t>生化池</w:t>
            </w:r>
            <w:r>
              <w:rPr>
                <w:rFonts w:ascii="Times New Roman" w:hAnsi="Times New Roman"/>
                <w:color w:val="auto"/>
                <w:kern w:val="0"/>
                <w:sz w:val="26"/>
                <w:szCs w:val="26"/>
              </w:rPr>
              <w:t>处理达标后排入</w:t>
            </w:r>
            <w:r>
              <w:rPr>
                <w:rFonts w:hint="eastAsia" w:ascii="Times New Roman" w:hAnsi="Times New Roman"/>
                <w:color w:val="auto"/>
                <w:kern w:val="0"/>
                <w:sz w:val="26"/>
                <w:szCs w:val="26"/>
                <w:lang w:eastAsia="zh-CN"/>
              </w:rPr>
              <w:t>市政</w:t>
            </w:r>
            <w:r>
              <w:rPr>
                <w:rFonts w:ascii="Times New Roman" w:hAnsi="Times New Roman"/>
                <w:color w:val="auto"/>
                <w:kern w:val="0"/>
                <w:sz w:val="26"/>
                <w:szCs w:val="26"/>
              </w:rPr>
              <w:t>污水管网。在严格采取了上述防治措施后，项目施工期间废水对周边水环境影响较小。</w:t>
            </w:r>
          </w:p>
          <w:p w14:paraId="78D2F357">
            <w:pPr>
              <w:autoSpaceDE w:val="0"/>
              <w:autoSpaceDN w:val="0"/>
              <w:adjustRightInd w:val="0"/>
              <w:spacing w:line="460" w:lineRule="exact"/>
              <w:jc w:val="left"/>
              <w:rPr>
                <w:rFonts w:ascii="Times New Roman" w:hAnsi="Times New Roman" w:eastAsia="宋体" w:cs="Times New Roman"/>
                <w:b/>
                <w:bCs/>
                <w:color w:val="auto"/>
                <w:sz w:val="26"/>
                <w:szCs w:val="26"/>
              </w:rPr>
            </w:pPr>
            <w:r>
              <w:rPr>
                <w:rFonts w:ascii="Times New Roman" w:hAnsi="Times New Roman" w:eastAsia="宋体" w:cs="Times New Roman"/>
                <w:b/>
                <w:bCs/>
                <w:color w:val="auto"/>
                <w:sz w:val="26"/>
                <w:szCs w:val="26"/>
              </w:rPr>
              <w:t>4.1.3噪声防治措施</w:t>
            </w:r>
          </w:p>
          <w:p w14:paraId="0B272AA8">
            <w:pPr>
              <w:autoSpaceDE w:val="0"/>
              <w:autoSpaceDN w:val="0"/>
              <w:adjustRightInd w:val="0"/>
              <w:spacing w:line="460" w:lineRule="exact"/>
              <w:ind w:firstLine="520" w:firstLineChars="200"/>
              <w:jc w:val="left"/>
              <w:rPr>
                <w:rFonts w:hint="eastAsia" w:ascii="Times New Roman" w:hAnsi="Times New Roman"/>
                <w:color w:val="auto"/>
                <w:kern w:val="0"/>
                <w:sz w:val="26"/>
                <w:szCs w:val="26"/>
              </w:rPr>
            </w:pPr>
            <w:r>
              <w:rPr>
                <w:rFonts w:hint="eastAsia" w:ascii="Times New Roman" w:hAnsi="Times New Roman"/>
                <w:color w:val="auto"/>
                <w:kern w:val="0"/>
                <w:sz w:val="26"/>
                <w:szCs w:val="26"/>
                <w:lang w:val="en-US" w:eastAsia="zh-CN"/>
              </w:rPr>
              <w:t>本</w:t>
            </w:r>
            <w:r>
              <w:rPr>
                <w:rFonts w:hint="eastAsia" w:ascii="Times New Roman" w:hAnsi="Times New Roman"/>
                <w:color w:val="auto"/>
                <w:kern w:val="0"/>
                <w:sz w:val="26"/>
                <w:szCs w:val="26"/>
              </w:rPr>
              <w:t>项目因不涉及土建工作，施工过程中无需动用大量噪声强度较大的车辆和施工机械，施工期的噪声主要来源于设备运输</w:t>
            </w:r>
            <w:r>
              <w:rPr>
                <w:rFonts w:hint="eastAsia" w:ascii="Times New Roman" w:hAnsi="Times New Roman"/>
                <w:color w:val="auto"/>
                <w:kern w:val="0"/>
                <w:sz w:val="26"/>
                <w:szCs w:val="26"/>
                <w:lang w:val="en-US" w:eastAsia="zh-CN"/>
              </w:rPr>
              <w:t>产生的</w:t>
            </w:r>
            <w:r>
              <w:rPr>
                <w:rFonts w:hint="eastAsia" w:ascii="Times New Roman" w:hAnsi="Times New Roman"/>
                <w:color w:val="auto"/>
                <w:kern w:val="0"/>
                <w:sz w:val="26"/>
                <w:szCs w:val="26"/>
              </w:rPr>
              <w:t>噪声。</w:t>
            </w:r>
          </w:p>
          <w:p w14:paraId="27B0E6A7">
            <w:pPr>
              <w:autoSpaceDE w:val="0"/>
              <w:autoSpaceDN w:val="0"/>
              <w:adjustRightInd w:val="0"/>
              <w:spacing w:line="460" w:lineRule="exact"/>
              <w:ind w:firstLine="520" w:firstLineChars="200"/>
              <w:jc w:val="left"/>
              <w:rPr>
                <w:rFonts w:hint="eastAsia" w:ascii="Times New Roman" w:hAnsi="Times New Roman"/>
                <w:color w:val="auto"/>
                <w:kern w:val="0"/>
                <w:sz w:val="26"/>
                <w:szCs w:val="26"/>
              </w:rPr>
            </w:pPr>
            <w:r>
              <w:rPr>
                <w:rFonts w:hint="eastAsia" w:ascii="Times New Roman" w:hAnsi="Times New Roman"/>
                <w:color w:val="auto"/>
                <w:kern w:val="0"/>
                <w:sz w:val="26"/>
                <w:szCs w:val="26"/>
              </w:rPr>
              <w:t>在实际施工过程中，噪声在传播途径中由于各种建筑隔声、空气的吸收作用及地面效应引起的声能衰减，实际噪声值很小，而且施工期的噪声的影响是暂时的，随施工的结束而消失。由于施工属于短时噪声，</w:t>
            </w:r>
          </w:p>
          <w:p w14:paraId="6417A6A8">
            <w:pPr>
              <w:autoSpaceDE w:val="0"/>
              <w:autoSpaceDN w:val="0"/>
              <w:adjustRightInd w:val="0"/>
              <w:spacing w:line="460" w:lineRule="exact"/>
              <w:ind w:firstLine="520" w:firstLineChars="200"/>
              <w:jc w:val="left"/>
              <w:rPr>
                <w:rFonts w:ascii="Times New Roman" w:hAnsi="Times New Roman"/>
                <w:color w:val="auto"/>
                <w:kern w:val="0"/>
                <w:sz w:val="26"/>
                <w:szCs w:val="26"/>
              </w:rPr>
            </w:pPr>
            <w:r>
              <w:rPr>
                <w:rFonts w:hint="eastAsia" w:ascii="Times New Roman" w:hAnsi="Times New Roman"/>
                <w:color w:val="auto"/>
                <w:kern w:val="0"/>
                <w:sz w:val="26"/>
                <w:szCs w:val="26"/>
                <w:lang w:val="en-US" w:eastAsia="zh-CN"/>
              </w:rPr>
              <w:t>本</w:t>
            </w:r>
            <w:r>
              <w:rPr>
                <w:rFonts w:hint="eastAsia" w:ascii="Times New Roman" w:hAnsi="Times New Roman"/>
                <w:color w:val="auto"/>
                <w:kern w:val="0"/>
                <w:sz w:val="26"/>
                <w:szCs w:val="26"/>
              </w:rPr>
              <w:t>项目位于工业园区内，周边均为工业厂房，因此施工噪声对外环境影响较小。</w:t>
            </w:r>
          </w:p>
          <w:p w14:paraId="4DD2727B">
            <w:pPr>
              <w:autoSpaceDE w:val="0"/>
              <w:autoSpaceDN w:val="0"/>
              <w:adjustRightInd w:val="0"/>
              <w:spacing w:line="460" w:lineRule="exact"/>
              <w:jc w:val="left"/>
              <w:rPr>
                <w:rFonts w:ascii="Times New Roman" w:hAnsi="Times New Roman"/>
                <w:b/>
                <w:bCs/>
                <w:color w:val="auto"/>
                <w:kern w:val="0"/>
                <w:sz w:val="26"/>
                <w:szCs w:val="26"/>
              </w:rPr>
            </w:pPr>
            <w:r>
              <w:rPr>
                <w:rFonts w:ascii="Times New Roman" w:hAnsi="Times New Roman"/>
                <w:b/>
                <w:bCs/>
                <w:color w:val="auto"/>
                <w:sz w:val="26"/>
                <w:szCs w:val="26"/>
              </w:rPr>
              <w:t>4.1.4固体废物防治措施</w:t>
            </w:r>
          </w:p>
          <w:p w14:paraId="37D68152">
            <w:pPr>
              <w:autoSpaceDE w:val="0"/>
              <w:autoSpaceDN w:val="0"/>
              <w:adjustRightInd w:val="0"/>
              <w:spacing w:line="460" w:lineRule="exact"/>
              <w:ind w:firstLine="520" w:firstLineChars="200"/>
              <w:jc w:val="left"/>
              <w:rPr>
                <w:rFonts w:ascii="Times New Roman" w:hAnsi="Times New Roman"/>
                <w:color w:val="auto"/>
                <w:kern w:val="0"/>
                <w:sz w:val="26"/>
                <w:szCs w:val="26"/>
              </w:rPr>
            </w:pPr>
            <w:r>
              <w:rPr>
                <w:rFonts w:hint="eastAsia" w:ascii="Times New Roman" w:hAnsi="Times New Roman"/>
                <w:color w:val="auto"/>
                <w:kern w:val="0"/>
                <w:sz w:val="26"/>
                <w:szCs w:val="26"/>
                <w:lang w:eastAsia="zh-CN"/>
              </w:rPr>
              <w:t>本</w:t>
            </w:r>
            <w:r>
              <w:rPr>
                <w:rFonts w:ascii="Times New Roman" w:hAnsi="Times New Roman"/>
                <w:color w:val="auto"/>
                <w:kern w:val="0"/>
                <w:sz w:val="26"/>
                <w:szCs w:val="26"/>
              </w:rPr>
              <w:t>项目施工期的固体废物主要为施工人员产生的生活垃圾、废旧包装等。施工期约</w:t>
            </w:r>
            <w:r>
              <w:rPr>
                <w:rFonts w:hint="eastAsia" w:ascii="Times New Roman" w:hAnsi="Times New Roman"/>
                <w:color w:val="auto"/>
                <w:kern w:val="0"/>
                <w:sz w:val="26"/>
                <w:szCs w:val="26"/>
                <w:lang w:val="en-US" w:eastAsia="zh-CN"/>
              </w:rPr>
              <w:t>3</w:t>
            </w:r>
            <w:r>
              <w:rPr>
                <w:rFonts w:ascii="Times New Roman" w:hAnsi="Times New Roman"/>
                <w:color w:val="auto"/>
                <w:kern w:val="0"/>
                <w:sz w:val="26"/>
                <w:szCs w:val="26"/>
              </w:rPr>
              <w:t>个月，废旧包装产生量约</w:t>
            </w:r>
            <w:r>
              <w:rPr>
                <w:rFonts w:hint="eastAsia" w:ascii="Times New Roman" w:hAnsi="Times New Roman"/>
                <w:color w:val="auto"/>
                <w:kern w:val="0"/>
                <w:sz w:val="26"/>
                <w:szCs w:val="26"/>
                <w:lang w:val="en-US" w:eastAsia="zh-CN"/>
              </w:rPr>
              <w:t>0.1</w:t>
            </w:r>
            <w:r>
              <w:rPr>
                <w:rFonts w:ascii="Times New Roman" w:hAnsi="Times New Roman"/>
                <w:color w:val="auto"/>
                <w:kern w:val="0"/>
                <w:sz w:val="26"/>
                <w:szCs w:val="26"/>
              </w:rPr>
              <w:t>t</w:t>
            </w:r>
            <w:r>
              <w:rPr>
                <w:rFonts w:hint="eastAsia" w:ascii="Times New Roman" w:hAnsi="Times New Roman"/>
                <w:color w:val="auto"/>
                <w:kern w:val="0"/>
                <w:sz w:val="26"/>
                <w:szCs w:val="26"/>
                <w:lang w:eastAsia="zh-CN"/>
              </w:rPr>
              <w:t>，分类收集后可回用的统一收集回用，不能回用的收集后由施工方统一清运处理。</w:t>
            </w:r>
            <w:r>
              <w:rPr>
                <w:rFonts w:ascii="Times New Roman" w:hAnsi="Times New Roman"/>
                <w:color w:val="auto"/>
                <w:kern w:val="0"/>
                <w:sz w:val="26"/>
                <w:szCs w:val="26"/>
              </w:rPr>
              <w:t>生活垃圾</w:t>
            </w:r>
            <w:r>
              <w:rPr>
                <w:rFonts w:hint="eastAsia" w:ascii="Times New Roman" w:hAnsi="Times New Roman"/>
                <w:color w:val="auto"/>
                <w:kern w:val="0"/>
                <w:sz w:val="26"/>
                <w:szCs w:val="26"/>
                <w:lang w:eastAsia="zh-CN"/>
              </w:rPr>
              <w:t>产生量</w:t>
            </w:r>
            <w:r>
              <w:rPr>
                <w:rFonts w:ascii="Times New Roman" w:hAnsi="Times New Roman"/>
                <w:color w:val="auto"/>
                <w:kern w:val="0"/>
                <w:sz w:val="26"/>
                <w:szCs w:val="26"/>
              </w:rPr>
              <w:t>约</w:t>
            </w:r>
            <w:r>
              <w:rPr>
                <w:rFonts w:hint="eastAsia" w:ascii="Times New Roman" w:hAnsi="Times New Roman"/>
                <w:color w:val="auto"/>
                <w:kern w:val="0"/>
                <w:sz w:val="26"/>
                <w:szCs w:val="26"/>
                <w:lang w:val="en-US" w:eastAsia="zh-CN"/>
              </w:rPr>
              <w:t>0.2</w:t>
            </w:r>
            <w:r>
              <w:rPr>
                <w:rFonts w:ascii="Times New Roman" w:hAnsi="Times New Roman"/>
                <w:color w:val="auto"/>
                <w:kern w:val="0"/>
                <w:sz w:val="26"/>
                <w:szCs w:val="26"/>
              </w:rPr>
              <w:t>t，</w:t>
            </w:r>
            <w:r>
              <w:rPr>
                <w:rFonts w:hint="eastAsia" w:ascii="Times New Roman" w:hAnsi="Times New Roman"/>
                <w:color w:val="auto"/>
                <w:kern w:val="0"/>
                <w:sz w:val="26"/>
                <w:szCs w:val="26"/>
                <w:lang w:eastAsia="zh-CN"/>
              </w:rPr>
              <w:t>随厂区生活垃圾一起</w:t>
            </w:r>
            <w:r>
              <w:rPr>
                <w:rFonts w:ascii="Times New Roman" w:hAnsi="Times New Roman"/>
                <w:color w:val="auto"/>
                <w:kern w:val="0"/>
                <w:sz w:val="26"/>
                <w:szCs w:val="26"/>
              </w:rPr>
              <w:t>交由</w:t>
            </w:r>
            <w:r>
              <w:rPr>
                <w:rFonts w:hint="eastAsia" w:ascii="Times New Roman" w:hAnsi="Times New Roman"/>
                <w:color w:val="auto"/>
                <w:kern w:val="0"/>
                <w:sz w:val="26"/>
                <w:szCs w:val="26"/>
                <w:lang w:eastAsia="zh-CN"/>
              </w:rPr>
              <w:t>市政</w:t>
            </w:r>
            <w:r>
              <w:rPr>
                <w:rFonts w:ascii="Times New Roman" w:hAnsi="Times New Roman"/>
                <w:color w:val="auto"/>
                <w:kern w:val="0"/>
                <w:sz w:val="26"/>
                <w:szCs w:val="26"/>
              </w:rPr>
              <w:t>环</w:t>
            </w:r>
            <w:r>
              <w:rPr>
                <w:rFonts w:hint="eastAsia" w:ascii="Times New Roman" w:hAnsi="Times New Roman"/>
                <w:color w:val="auto"/>
                <w:kern w:val="0"/>
                <w:sz w:val="26"/>
                <w:szCs w:val="26"/>
              </w:rPr>
              <w:t>卫</w:t>
            </w:r>
            <w:r>
              <w:rPr>
                <w:rFonts w:ascii="Times New Roman" w:hAnsi="Times New Roman"/>
                <w:color w:val="auto"/>
                <w:kern w:val="0"/>
                <w:sz w:val="26"/>
                <w:szCs w:val="26"/>
              </w:rPr>
              <w:t>部门收集处理。</w:t>
            </w:r>
          </w:p>
          <w:p w14:paraId="5090E9E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cs="Times New Roman"/>
                <w:bCs/>
                <w:color w:val="auto"/>
                <w:spacing w:val="-10"/>
                <w:sz w:val="26"/>
                <w:szCs w:val="26"/>
              </w:rPr>
            </w:pPr>
            <w:r>
              <w:rPr>
                <w:rFonts w:ascii="Times New Roman" w:hAnsi="Times New Roman"/>
                <w:bCs/>
                <w:snapToGrid w:val="0"/>
                <w:color w:val="auto"/>
                <w:kern w:val="0"/>
                <w:sz w:val="26"/>
                <w:szCs w:val="26"/>
              </w:rPr>
              <w:t>采取上述措施后，施工期产生的固体废物对环境影响较小。</w:t>
            </w:r>
          </w:p>
        </w:tc>
      </w:tr>
      <w:tr w14:paraId="22D644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746" w:type="dxa"/>
            <w:tcBorders>
              <w:tl2br w:val="nil"/>
              <w:tr2bl w:val="nil"/>
            </w:tcBorders>
            <w:noWrap w:val="0"/>
            <w:tcMar>
              <w:left w:w="28" w:type="dxa"/>
              <w:right w:w="28" w:type="dxa"/>
            </w:tcMar>
            <w:vAlign w:val="center"/>
          </w:tcPr>
          <w:p w14:paraId="66C3D66A">
            <w:pPr>
              <w:pStyle w:val="20"/>
              <w:adjustRightInd w:val="0"/>
              <w:snapToGrid w:val="0"/>
              <w:spacing w:before="0" w:beforeAutospacing="0" w:after="0" w:afterAutospacing="0"/>
              <w:jc w:val="center"/>
              <w:rPr>
                <w:rFonts w:hint="default" w:ascii="Times New Roman" w:hAnsi="Times New Roman" w:cs="Times New Roman"/>
                <w:color w:val="auto"/>
                <w:kern w:val="2"/>
                <w:sz w:val="26"/>
                <w:szCs w:val="26"/>
              </w:rPr>
            </w:pPr>
            <w:r>
              <w:rPr>
                <w:rFonts w:hint="default" w:ascii="Times New Roman" w:hAnsi="Times New Roman" w:cs="Times New Roman"/>
                <w:color w:val="auto"/>
                <w:kern w:val="2"/>
                <w:sz w:val="26"/>
                <w:szCs w:val="26"/>
                <w:lang w:val="en-US" w:eastAsia="zh-CN"/>
              </w:rPr>
              <w:t>运营期</w:t>
            </w:r>
            <w:r>
              <w:rPr>
                <w:rFonts w:hint="default" w:ascii="Times New Roman" w:hAnsi="Times New Roman" w:cs="Times New Roman"/>
                <w:color w:val="auto"/>
                <w:kern w:val="2"/>
                <w:sz w:val="26"/>
                <w:szCs w:val="26"/>
              </w:rPr>
              <w:t>环</w:t>
            </w:r>
          </w:p>
          <w:p w14:paraId="5A8566A4">
            <w:pPr>
              <w:pStyle w:val="20"/>
              <w:adjustRightInd w:val="0"/>
              <w:snapToGrid w:val="0"/>
              <w:spacing w:before="0" w:beforeAutospacing="0" w:after="0" w:afterAutospacing="0"/>
              <w:jc w:val="center"/>
              <w:rPr>
                <w:rFonts w:hint="default" w:ascii="Times New Roman" w:hAnsi="Times New Roman" w:cs="Times New Roman"/>
                <w:color w:val="auto"/>
                <w:kern w:val="2"/>
                <w:sz w:val="26"/>
                <w:szCs w:val="26"/>
              </w:rPr>
            </w:pPr>
            <w:r>
              <w:rPr>
                <w:rFonts w:hint="default" w:ascii="Times New Roman" w:hAnsi="Times New Roman" w:cs="Times New Roman"/>
                <w:color w:val="auto"/>
                <w:kern w:val="2"/>
                <w:sz w:val="26"/>
                <w:szCs w:val="26"/>
              </w:rPr>
              <w:t>境保</w:t>
            </w:r>
          </w:p>
          <w:p w14:paraId="1E145635">
            <w:pPr>
              <w:pStyle w:val="20"/>
              <w:adjustRightInd w:val="0"/>
              <w:snapToGrid w:val="0"/>
              <w:spacing w:before="0" w:beforeAutospacing="0" w:after="0" w:afterAutospacing="0"/>
              <w:jc w:val="center"/>
              <w:rPr>
                <w:rFonts w:hint="default" w:ascii="Times New Roman" w:hAnsi="Times New Roman" w:cs="Times New Roman"/>
                <w:color w:val="auto"/>
                <w:kern w:val="2"/>
                <w:sz w:val="26"/>
                <w:szCs w:val="26"/>
              </w:rPr>
            </w:pPr>
            <w:r>
              <w:rPr>
                <w:rFonts w:hint="default" w:ascii="Times New Roman" w:hAnsi="Times New Roman" w:cs="Times New Roman"/>
                <w:color w:val="auto"/>
                <w:kern w:val="2"/>
                <w:sz w:val="26"/>
                <w:szCs w:val="26"/>
              </w:rPr>
              <w:t>护措</w:t>
            </w:r>
          </w:p>
          <w:p w14:paraId="68864067">
            <w:pPr>
              <w:pStyle w:val="20"/>
              <w:adjustRightInd w:val="0"/>
              <w:snapToGrid w:val="0"/>
              <w:spacing w:before="0" w:beforeAutospacing="0" w:after="0" w:afterAutospacing="0"/>
              <w:jc w:val="center"/>
              <w:rPr>
                <w:rFonts w:hint="default" w:ascii="Times New Roman" w:hAnsi="Times New Roman" w:cs="Times New Roman"/>
                <w:color w:val="auto"/>
                <w:kern w:val="2"/>
                <w:sz w:val="26"/>
                <w:szCs w:val="26"/>
              </w:rPr>
            </w:pPr>
            <w:r>
              <w:rPr>
                <w:rFonts w:hint="default" w:ascii="Times New Roman" w:hAnsi="Times New Roman" w:cs="Times New Roman"/>
                <w:color w:val="auto"/>
                <w:kern w:val="2"/>
                <w:sz w:val="26"/>
                <w:szCs w:val="26"/>
              </w:rPr>
              <w:t>施</w:t>
            </w:r>
          </w:p>
        </w:tc>
        <w:tc>
          <w:tcPr>
            <w:tcW w:w="8162" w:type="dxa"/>
            <w:tcBorders>
              <w:tl2br w:val="nil"/>
              <w:tr2bl w:val="nil"/>
            </w:tcBorders>
            <w:noWrap w:val="0"/>
            <w:vAlign w:val="center"/>
          </w:tcPr>
          <w:p w14:paraId="755EF964">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default" w:ascii="Times New Roman" w:hAnsi="Times New Roman" w:eastAsia="宋体" w:cs="Times New Roman"/>
                <w:b/>
                <w:bCs/>
                <w:color w:val="auto"/>
                <w:sz w:val="26"/>
                <w:szCs w:val="26"/>
                <w:lang w:val="en-US" w:eastAsia="zh-CN"/>
              </w:rPr>
              <w:t>4.2运营期环境影响和保护措施</w:t>
            </w:r>
          </w:p>
          <w:p w14:paraId="21DEA9D2">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4.2.1</w:t>
            </w:r>
            <w:r>
              <w:rPr>
                <w:rFonts w:hint="default" w:ascii="Times New Roman" w:hAnsi="Times New Roman" w:eastAsia="宋体" w:cs="Times New Roman"/>
                <w:b/>
                <w:bCs/>
                <w:color w:val="auto"/>
                <w:sz w:val="26"/>
                <w:szCs w:val="26"/>
                <w:lang w:val="en-US" w:eastAsia="zh-CN"/>
              </w:rPr>
              <w:t>废气环境影响和保护措施</w:t>
            </w:r>
          </w:p>
          <w:p w14:paraId="4D3BF233">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4.2.1.1</w:t>
            </w:r>
            <w:r>
              <w:rPr>
                <w:rFonts w:hint="default" w:ascii="Times New Roman" w:hAnsi="Times New Roman" w:eastAsia="宋体" w:cs="Times New Roman"/>
                <w:b/>
                <w:bCs/>
                <w:color w:val="auto"/>
                <w:sz w:val="26"/>
                <w:szCs w:val="26"/>
                <w:lang w:val="en-US" w:eastAsia="zh-CN"/>
              </w:rPr>
              <w:t>废气污染物源强核算</w:t>
            </w:r>
          </w:p>
          <w:p w14:paraId="0BB46B1A">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本项目废气主要包括熔炼废气、铸造废气、均质废气、机加废气、烤包废气、转运废气和铝回收装置废气。</w:t>
            </w:r>
          </w:p>
          <w:p w14:paraId="284A70FE">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kern w:val="0"/>
                <w:sz w:val="26"/>
                <w:szCs w:val="26"/>
                <w:lang w:val="en-US" w:eastAsia="zh-CN"/>
              </w:rPr>
              <w:t>生产期间</w:t>
            </w:r>
            <w:r>
              <w:rPr>
                <w:rFonts w:hint="eastAsia" w:ascii="Times New Roman" w:hAnsi="Times New Roman" w:eastAsia="宋体" w:cs="Times New Roman"/>
                <w:color w:val="auto"/>
                <w:kern w:val="2"/>
                <w:sz w:val="26"/>
                <w:szCs w:val="26"/>
                <w:highlight w:val="none"/>
                <w:lang w:val="en-US" w:eastAsia="zh-CN" w:bidi="ar-SA"/>
              </w:rPr>
              <w:t>铸造（包括流槽）均为</w:t>
            </w:r>
            <w:r>
              <w:rPr>
                <w:rFonts w:hint="eastAsia" w:ascii="Times New Roman" w:hAnsi="Times New Roman" w:eastAsia="宋体" w:cs="Times New Roman"/>
                <w:color w:val="auto"/>
                <w:sz w:val="26"/>
                <w:szCs w:val="26"/>
                <w:lang w:val="en-US" w:eastAsia="zh-CN"/>
              </w:rPr>
              <w:t>高纯度铝合金液，杂质极少，因此烟尘产生量极少，铸造期间不使用脱模剂，因此不涉及非甲烷总烃；</w:t>
            </w:r>
            <w:r>
              <w:rPr>
                <w:rFonts w:hint="eastAsia" w:ascii="Times New Roman" w:hAnsi="Times New Roman" w:eastAsia="宋体" w:cs="Times New Roman"/>
                <w:color w:val="auto"/>
                <w:kern w:val="0"/>
                <w:sz w:val="26"/>
                <w:szCs w:val="26"/>
                <w:lang w:val="en-US" w:eastAsia="zh-CN"/>
              </w:rPr>
              <w:t>机加工工序</w:t>
            </w:r>
            <w:r>
              <w:rPr>
                <w:rFonts w:hint="eastAsia" w:ascii="Times New Roman" w:hAnsi="Times New Roman" w:eastAsia="宋体" w:cs="Times New Roman"/>
                <w:color w:val="auto"/>
                <w:sz w:val="26"/>
                <w:szCs w:val="26"/>
                <w:highlight w:val="none"/>
                <w:lang w:val="en-US" w:eastAsia="zh-CN"/>
              </w:rPr>
              <w:t>仅剥皮锯切工序中使用切削液，切削液循环使用产生，在使用期间产生极少量挥发性有机物（非甲烷总烃表征）。由于</w:t>
            </w:r>
            <w:r>
              <w:rPr>
                <w:rFonts w:hint="eastAsia" w:ascii="Times New Roman" w:hAnsi="Times New Roman" w:eastAsia="宋体" w:cs="Times New Roman"/>
                <w:color w:val="auto"/>
                <w:kern w:val="0"/>
                <w:sz w:val="26"/>
                <w:szCs w:val="26"/>
                <w:lang w:val="en-US" w:eastAsia="zh-CN"/>
              </w:rPr>
              <w:t>铸造废气及机加废气</w:t>
            </w:r>
            <w:r>
              <w:rPr>
                <w:rFonts w:hint="eastAsia" w:ascii="Times New Roman" w:hAnsi="Times New Roman" w:eastAsia="宋体" w:cs="Times New Roman"/>
                <w:color w:val="auto"/>
                <w:sz w:val="26"/>
                <w:szCs w:val="26"/>
                <w:highlight w:val="none"/>
                <w:lang w:val="en-US" w:eastAsia="zh-CN"/>
              </w:rPr>
              <w:t>产生量较少，本评价仅定性识别，不进行定量计算，厂区采取加强通风措施。</w:t>
            </w:r>
          </w:p>
          <w:p w14:paraId="3091FC7C">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扒渣除杂产生的热铝渣装入炒灰锅（转运容器），由于铝灰渣自带温度较高，易产生少量热烟尘。本项目熔炼区与铝回收装置距离较近，直线距离约25~35m，转运距离较近，在转运期间采用加盖密闭方式进行转移，由于转运废气挥发量较少，本评价仅定性识别，不进行定量计算，厂区采取加强通风措施。</w:t>
            </w:r>
          </w:p>
          <w:p w14:paraId="4893EB74">
            <w:pPr>
              <w:autoSpaceDE w:val="0"/>
              <w:autoSpaceDN w:val="0"/>
              <w:adjustRightInd w:val="0"/>
              <w:spacing w:line="460" w:lineRule="exact"/>
              <w:ind w:firstLine="520" w:firstLineChars="200"/>
              <w:jc w:val="left"/>
              <w:rPr>
                <w:rFonts w:hint="default"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（1）熔炼废气</w:t>
            </w:r>
          </w:p>
          <w:p w14:paraId="7986CB7F">
            <w:pPr>
              <w:autoSpaceDE w:val="0"/>
              <w:autoSpaceDN w:val="0"/>
              <w:adjustRightInd w:val="0"/>
              <w:spacing w:line="460" w:lineRule="exact"/>
              <w:ind w:firstLine="520" w:firstLineChars="200"/>
              <w:jc w:val="left"/>
              <w:rPr>
                <w:rFonts w:ascii="Times New Roman" w:hAnsi="Times New Roman" w:eastAsia="宋体" w:cs="Times New Roman"/>
                <w:color w:val="auto"/>
                <w:kern w:val="0"/>
                <w:sz w:val="26"/>
                <w:szCs w:val="26"/>
              </w:rPr>
            </w:pPr>
            <w:r>
              <w:rPr>
                <w:rFonts w:hint="eastAsia" w:ascii="Times New Roman" w:hAnsi="Times New Roman" w:eastAsia="宋体" w:cs="Times New Roman"/>
                <w:color w:val="auto"/>
                <w:kern w:val="0"/>
                <w:sz w:val="26"/>
                <w:szCs w:val="26"/>
                <w:lang w:val="en-US" w:eastAsia="zh-CN"/>
              </w:rPr>
              <w:t>本</w:t>
            </w:r>
            <w:r>
              <w:rPr>
                <w:rFonts w:ascii="Times New Roman" w:hAnsi="Times New Roman" w:eastAsia="宋体" w:cs="Times New Roman"/>
                <w:color w:val="auto"/>
                <w:kern w:val="0"/>
                <w:sz w:val="26"/>
                <w:szCs w:val="26"/>
              </w:rPr>
              <w:t>熔炼炉采用天然气为燃料，</w:t>
            </w:r>
            <w:r>
              <w:rPr>
                <w:rFonts w:hint="eastAsia" w:ascii="Times New Roman" w:hAnsi="Times New Roman" w:eastAsia="宋体" w:cs="Times New Roman"/>
                <w:color w:val="auto"/>
                <w:kern w:val="0"/>
                <w:sz w:val="26"/>
                <w:szCs w:val="26"/>
                <w:lang w:val="en-US" w:eastAsia="zh-CN"/>
              </w:rPr>
              <w:t>本项目</w:t>
            </w:r>
            <w:r>
              <w:rPr>
                <w:rFonts w:ascii="Times New Roman" w:hAnsi="Times New Roman" w:eastAsia="宋体" w:cs="Times New Roman"/>
                <w:color w:val="auto"/>
                <w:kern w:val="0"/>
                <w:sz w:val="26"/>
                <w:szCs w:val="26"/>
              </w:rPr>
              <w:t>熔炼炉采用天然气为燃料，</w:t>
            </w:r>
            <w:r>
              <w:rPr>
                <w:rFonts w:hint="eastAsia" w:ascii="Times New Roman" w:hAnsi="Times New Roman" w:eastAsia="宋体" w:cs="Times New Roman"/>
                <w:color w:val="auto"/>
                <w:kern w:val="0"/>
                <w:sz w:val="26"/>
                <w:szCs w:val="26"/>
                <w:lang w:val="en-US" w:eastAsia="zh-CN"/>
              </w:rPr>
              <w:t>熔炼废气包括熔炼、扒渣、精炼等环节以及天然气燃烧环节产生废气，主要污染物为</w:t>
            </w:r>
            <w:r>
              <w:rPr>
                <w:rFonts w:ascii="Times New Roman" w:hAnsi="Times New Roman" w:eastAsia="宋体" w:cs="Times New Roman"/>
                <w:color w:val="auto"/>
                <w:kern w:val="0"/>
                <w:sz w:val="26"/>
                <w:szCs w:val="26"/>
              </w:rPr>
              <w:t>颗粒物、SO</w:t>
            </w:r>
            <w:r>
              <w:rPr>
                <w:rFonts w:ascii="Times New Roman" w:hAnsi="Times New Roman" w:eastAsia="宋体" w:cs="Times New Roman"/>
                <w:color w:val="auto"/>
                <w:kern w:val="0"/>
                <w:sz w:val="26"/>
                <w:szCs w:val="26"/>
                <w:vertAlign w:val="subscript"/>
              </w:rPr>
              <w:t>2</w:t>
            </w:r>
            <w:r>
              <w:rPr>
                <w:rFonts w:ascii="Times New Roman" w:hAnsi="Times New Roman" w:eastAsia="宋体" w:cs="Times New Roman"/>
                <w:color w:val="auto"/>
                <w:kern w:val="0"/>
                <w:sz w:val="26"/>
                <w:szCs w:val="26"/>
              </w:rPr>
              <w:t>、NO</w:t>
            </w:r>
            <w:r>
              <w:rPr>
                <w:rFonts w:ascii="Times New Roman" w:hAnsi="Times New Roman" w:eastAsia="宋体" w:cs="Times New Roman"/>
                <w:color w:val="auto"/>
                <w:kern w:val="0"/>
                <w:sz w:val="26"/>
                <w:szCs w:val="26"/>
                <w:vertAlign w:val="subscript"/>
              </w:rPr>
              <w:t>X</w:t>
            </w:r>
            <w:r>
              <w:rPr>
                <w:rFonts w:ascii="Times New Roman" w:hAnsi="Times New Roman" w:eastAsia="宋体" w:cs="Times New Roman"/>
                <w:color w:val="auto"/>
                <w:kern w:val="0"/>
                <w:sz w:val="26"/>
                <w:szCs w:val="26"/>
              </w:rPr>
              <w:t>、氟化物、HCl。</w:t>
            </w:r>
          </w:p>
          <w:p w14:paraId="066C8433">
            <w:pPr>
              <w:autoSpaceDE w:val="0"/>
              <w:autoSpaceDN w:val="0"/>
              <w:adjustRightInd w:val="0"/>
              <w:spacing w:line="460" w:lineRule="exact"/>
              <w:ind w:firstLine="520" w:firstLineChars="200"/>
              <w:jc w:val="left"/>
              <w:rPr>
                <w:rFonts w:hint="default" w:ascii="Times New Roman" w:hAnsi="Times New Roman" w:eastAsia="宋体" w:cs="Times New Roman"/>
                <w:color w:val="auto"/>
                <w:kern w:val="0"/>
                <w:sz w:val="26"/>
                <w:szCs w:val="26"/>
                <w:lang w:val="en-US" w:eastAsia="zh-CN"/>
              </w:rPr>
            </w:pPr>
            <w:r>
              <w:rPr>
                <w:rFonts w:hint="eastAsia" w:ascii="Times New Roman" w:hAnsi="Calibri" w:eastAsia="宋体" w:cs="Times New Roman"/>
                <w:color w:val="auto"/>
                <w:sz w:val="26"/>
                <w:szCs w:val="26"/>
                <w:highlight w:val="none"/>
                <w:lang w:val="en-US" w:eastAsia="zh-CN"/>
              </w:rPr>
              <w:t>1</w:t>
            </w:r>
            <w:r>
              <w:rPr>
                <w:rFonts w:hint="eastAsia" w:ascii="Times New Roman" w:hAnsi="Times New Roman" w:eastAsia="宋体" w:cs="Times New Roman"/>
                <w:color w:val="auto"/>
                <w:kern w:val="0"/>
                <w:sz w:val="26"/>
                <w:szCs w:val="26"/>
                <w:lang w:val="en-US" w:eastAsia="zh-CN"/>
              </w:rPr>
              <w:t>）废气收集情况</w:t>
            </w:r>
          </w:p>
          <w:p w14:paraId="2D4FC500">
            <w:pPr>
              <w:keepNext w:val="0"/>
              <w:keepLines w:val="0"/>
              <w:pageBreakBefore w:val="0"/>
              <w:kinsoku/>
              <w:wordWrap/>
              <w:overflowPunct/>
              <w:topLinePunct w:val="0"/>
              <w:autoSpaceDE/>
              <w:autoSpaceDN/>
              <w:bidi w:val="0"/>
              <w:adjustRightInd w:val="0"/>
              <w:snapToGrid w:val="0"/>
              <w:spacing w:line="460" w:lineRule="exact"/>
              <w:ind w:firstLine="520" w:firstLineChars="200"/>
              <w:textAlignment w:val="auto"/>
              <w:rPr>
                <w:rFonts w:hint="eastAsia" w:ascii="Times New Roman" w:hAnsi="Times New Roman" w:eastAsia="宋体" w:cs="Times New Roman"/>
                <w:color w:val="auto"/>
                <w:sz w:val="26"/>
                <w:szCs w:val="26"/>
                <w:highlight w:val="none"/>
                <w:lang w:val="en-US" w:eastAsia="zh-CN"/>
              </w:rPr>
            </w:pPr>
            <w:r>
              <w:rPr>
                <w:rFonts w:ascii="Times New Roman" w:hAnsi="Times New Roman" w:eastAsia="宋体" w:cs="Times New Roman"/>
                <w:color w:val="auto"/>
                <w:kern w:val="0"/>
                <w:sz w:val="26"/>
                <w:szCs w:val="26"/>
              </w:rPr>
              <w:t>根据是否开炉门情况，熔炼过程可大体分为二个时段，即</w:t>
            </w:r>
            <w:r>
              <w:rPr>
                <w:rFonts w:hint="eastAsia" w:ascii="Times New Roman" w:hAnsi="Times New Roman" w:eastAsia="宋体" w:cs="Times New Roman"/>
                <w:color w:val="auto"/>
                <w:kern w:val="0"/>
                <w:sz w:val="26"/>
                <w:szCs w:val="26"/>
                <w:lang w:val="en-US" w:eastAsia="zh-CN"/>
              </w:rPr>
              <w:t>加料、</w:t>
            </w:r>
            <w:r>
              <w:rPr>
                <w:rFonts w:ascii="Times New Roman" w:hAnsi="Times New Roman" w:eastAsia="宋体" w:cs="Times New Roman"/>
                <w:color w:val="auto"/>
                <w:kern w:val="0"/>
                <w:sz w:val="26"/>
                <w:szCs w:val="26"/>
              </w:rPr>
              <w:t>扒渣</w:t>
            </w:r>
            <w:r>
              <w:rPr>
                <w:rFonts w:hint="eastAsia" w:ascii="Times New Roman" w:hAnsi="Times New Roman" w:eastAsia="宋体" w:cs="Times New Roman"/>
                <w:color w:val="auto"/>
                <w:kern w:val="0"/>
                <w:sz w:val="26"/>
                <w:szCs w:val="26"/>
                <w:lang w:eastAsia="zh-CN"/>
              </w:rPr>
              <w:t>、</w:t>
            </w:r>
            <w:r>
              <w:rPr>
                <w:rFonts w:hint="eastAsia" w:ascii="Times New Roman" w:hAnsi="Times New Roman" w:eastAsia="宋体" w:cs="Times New Roman"/>
                <w:color w:val="auto"/>
                <w:kern w:val="0"/>
                <w:sz w:val="26"/>
                <w:szCs w:val="26"/>
                <w:lang w:val="en-US" w:eastAsia="zh-CN"/>
              </w:rPr>
              <w:t>取样分析</w:t>
            </w:r>
            <w:r>
              <w:rPr>
                <w:rFonts w:ascii="Times New Roman" w:hAnsi="Times New Roman" w:eastAsia="宋体" w:cs="Times New Roman"/>
                <w:color w:val="auto"/>
                <w:kern w:val="0"/>
                <w:sz w:val="26"/>
                <w:szCs w:val="26"/>
              </w:rPr>
              <w:t>时段和熔炼其他时段。</w:t>
            </w:r>
            <w:r>
              <w:rPr>
                <w:rFonts w:hint="eastAsia" w:ascii="Times New Roman" w:hAnsi="Times New Roman" w:eastAsia="宋体" w:cs="Times New Roman"/>
                <w:color w:val="auto"/>
                <w:kern w:val="0"/>
                <w:sz w:val="26"/>
                <w:szCs w:val="26"/>
                <w:lang w:val="en-US" w:eastAsia="zh-CN"/>
              </w:rPr>
              <w:t>加料、</w:t>
            </w:r>
            <w:r>
              <w:rPr>
                <w:rFonts w:ascii="Times New Roman" w:hAnsi="Times New Roman" w:eastAsia="宋体" w:cs="Times New Roman"/>
                <w:color w:val="auto"/>
                <w:kern w:val="0"/>
                <w:sz w:val="26"/>
                <w:szCs w:val="26"/>
              </w:rPr>
              <w:t>扒渣</w:t>
            </w:r>
            <w:r>
              <w:rPr>
                <w:rFonts w:hint="eastAsia" w:ascii="Times New Roman" w:hAnsi="Times New Roman" w:eastAsia="宋体" w:cs="Times New Roman"/>
                <w:color w:val="auto"/>
                <w:kern w:val="0"/>
                <w:sz w:val="26"/>
                <w:szCs w:val="26"/>
                <w:lang w:eastAsia="zh-CN"/>
              </w:rPr>
              <w:t>、</w:t>
            </w:r>
            <w:r>
              <w:rPr>
                <w:rFonts w:hint="eastAsia" w:ascii="Times New Roman" w:hAnsi="Times New Roman" w:eastAsia="宋体" w:cs="Times New Roman"/>
                <w:color w:val="auto"/>
                <w:kern w:val="0"/>
                <w:sz w:val="26"/>
                <w:szCs w:val="26"/>
                <w:lang w:val="en-US" w:eastAsia="zh-CN"/>
              </w:rPr>
              <w:t>取样分析</w:t>
            </w:r>
            <w:r>
              <w:rPr>
                <w:rFonts w:ascii="Times New Roman" w:hAnsi="Times New Roman" w:eastAsia="宋体" w:cs="Times New Roman"/>
                <w:color w:val="auto"/>
                <w:kern w:val="0"/>
                <w:sz w:val="26"/>
                <w:szCs w:val="26"/>
              </w:rPr>
              <w:t>时段需要打开炉门，熔炼其他时段不开炉门，</w:t>
            </w:r>
            <w:r>
              <w:rPr>
                <w:rFonts w:hint="eastAsia" w:ascii="Times New Roman" w:hAnsi="Times New Roman" w:eastAsia="宋体" w:cs="Times New Roman"/>
                <w:color w:val="auto"/>
                <w:kern w:val="0"/>
                <w:sz w:val="26"/>
                <w:szCs w:val="26"/>
                <w:lang w:val="en-US" w:eastAsia="zh-CN"/>
              </w:rPr>
              <w:t>3台炉具体</w:t>
            </w:r>
            <w:r>
              <w:rPr>
                <w:rFonts w:hint="eastAsia" w:ascii="Times New Roman" w:hAnsi="Times New Roman" w:eastAsia="宋体" w:cs="Times New Roman"/>
                <w:color w:val="auto"/>
                <w:sz w:val="26"/>
                <w:szCs w:val="26"/>
                <w:highlight w:val="none"/>
                <w:lang w:val="en-US" w:eastAsia="zh-CN"/>
              </w:rPr>
              <w:t>时段分配见表4.2.1-1所示。</w:t>
            </w:r>
          </w:p>
          <w:p w14:paraId="50744B3A">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b/>
                <w:bCs/>
                <w:color w:val="auto"/>
                <w:sz w:val="26"/>
                <w:szCs w:val="26"/>
                <w:highlight w:val="none"/>
                <w:lang w:val="en-US" w:eastAsia="zh-CN"/>
              </w:rPr>
            </w:pPr>
            <w:r>
              <w:rPr>
                <w:rFonts w:hint="eastAsia" w:ascii="Times New Roman" w:hAnsi="Times New Roman" w:eastAsia="宋体" w:cs="Times New Roman"/>
                <w:b/>
                <w:bCs/>
                <w:color w:val="auto"/>
                <w:sz w:val="26"/>
                <w:szCs w:val="26"/>
                <w:highlight w:val="none"/>
                <w:lang w:val="en-US" w:eastAsia="zh-CN"/>
              </w:rPr>
              <w:t>表4.2-1  3台熔炼炉工作时段分配表1</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6"/>
              <w:gridCol w:w="389"/>
              <w:gridCol w:w="1626"/>
              <w:gridCol w:w="1745"/>
              <w:gridCol w:w="1795"/>
              <w:gridCol w:w="1788"/>
            </w:tblGrid>
            <w:tr w14:paraId="6A795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0" w:type="pct"/>
                  <w:gridSpan w:val="3"/>
                  <w:tcBorders>
                    <w:tl2br w:val="nil"/>
                    <w:tr2bl w:val="nil"/>
                  </w:tcBorders>
                  <w:noWrap/>
                  <w:vAlign w:val="center"/>
                </w:tcPr>
                <w:p w14:paraId="5E81CFD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项目</w:t>
                  </w:r>
                </w:p>
              </w:tc>
              <w:tc>
                <w:tcPr>
                  <w:tcW w:w="1136" w:type="pct"/>
                  <w:tcBorders>
                    <w:tl2br w:val="nil"/>
                    <w:tr2bl w:val="nil"/>
                  </w:tcBorders>
                  <w:noWrap/>
                  <w:vAlign w:val="center"/>
                </w:tcPr>
                <w:p w14:paraId="45D13A5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1#25t炉</w:t>
                  </w:r>
                </w:p>
              </w:tc>
              <w:tc>
                <w:tcPr>
                  <w:tcW w:w="1168" w:type="pct"/>
                  <w:tcBorders>
                    <w:tl2br w:val="nil"/>
                    <w:tr2bl w:val="nil"/>
                  </w:tcBorders>
                  <w:noWrap/>
                  <w:vAlign w:val="center"/>
                </w:tcPr>
                <w:p w14:paraId="66504DE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2#25t炉</w:t>
                  </w:r>
                </w:p>
              </w:tc>
              <w:tc>
                <w:tcPr>
                  <w:tcW w:w="1164" w:type="pct"/>
                  <w:tcBorders>
                    <w:tl2br w:val="nil"/>
                    <w:tr2bl w:val="nil"/>
                  </w:tcBorders>
                  <w:noWrap/>
                  <w:vAlign w:val="center"/>
                </w:tcPr>
                <w:p w14:paraId="6696116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16t炉</w:t>
                  </w:r>
                </w:p>
              </w:tc>
            </w:tr>
            <w:tr w14:paraId="49D3C5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0" w:type="pct"/>
                  <w:gridSpan w:val="3"/>
                  <w:tcBorders>
                    <w:tl2br w:val="nil"/>
                    <w:tr2bl w:val="nil"/>
                  </w:tcBorders>
                  <w:noWrap/>
                  <w:vAlign w:val="center"/>
                </w:tcPr>
                <w:p w14:paraId="3155BD3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批次数</w:t>
                  </w:r>
                </w:p>
              </w:tc>
              <w:tc>
                <w:tcPr>
                  <w:tcW w:w="1136" w:type="pct"/>
                  <w:tcBorders>
                    <w:tl2br w:val="nil"/>
                    <w:tr2bl w:val="nil"/>
                  </w:tcBorders>
                  <w:noWrap/>
                  <w:vAlign w:val="center"/>
                </w:tcPr>
                <w:p w14:paraId="22B3337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295d/a，708批/a</w:t>
                  </w:r>
                </w:p>
              </w:tc>
              <w:tc>
                <w:tcPr>
                  <w:tcW w:w="1168" w:type="pct"/>
                  <w:tcBorders>
                    <w:tl2br w:val="nil"/>
                    <w:tr2bl w:val="nil"/>
                  </w:tcBorders>
                  <w:noWrap/>
                  <w:vAlign w:val="center"/>
                </w:tcPr>
                <w:p w14:paraId="32B6BE4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295d/a，708批/a</w:t>
                  </w:r>
                </w:p>
              </w:tc>
              <w:tc>
                <w:tcPr>
                  <w:tcW w:w="1164" w:type="pct"/>
                  <w:tcBorders>
                    <w:tl2br w:val="nil"/>
                    <w:tr2bl w:val="nil"/>
                  </w:tcBorders>
                  <w:noWrap/>
                  <w:vAlign w:val="center"/>
                </w:tcPr>
                <w:p w14:paraId="25D5C5F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295d/a，1180批/a</w:t>
                  </w:r>
                </w:p>
              </w:tc>
            </w:tr>
            <w:tr w14:paraId="05C5E9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0" w:type="pct"/>
                  <w:gridSpan w:val="3"/>
                  <w:tcBorders>
                    <w:tl2br w:val="nil"/>
                    <w:tr2bl w:val="nil"/>
                  </w:tcBorders>
                  <w:noWrap/>
                  <w:vAlign w:val="center"/>
                </w:tcPr>
                <w:p w14:paraId="0553CDC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年工作时间</w:t>
                  </w:r>
                </w:p>
              </w:tc>
              <w:tc>
                <w:tcPr>
                  <w:tcW w:w="1136" w:type="pct"/>
                  <w:tcBorders>
                    <w:tl2br w:val="nil"/>
                    <w:tr2bl w:val="nil"/>
                  </w:tcBorders>
                  <w:noWrap/>
                  <w:vAlign w:val="center"/>
                </w:tcPr>
                <w:p w14:paraId="3C55EEB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4956h/a</w:t>
                  </w:r>
                </w:p>
              </w:tc>
              <w:tc>
                <w:tcPr>
                  <w:tcW w:w="1168" w:type="pct"/>
                  <w:tcBorders>
                    <w:tl2br w:val="nil"/>
                    <w:tr2bl w:val="nil"/>
                  </w:tcBorders>
                  <w:noWrap/>
                  <w:vAlign w:val="center"/>
                </w:tcPr>
                <w:p w14:paraId="428604D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4956h/a</w:t>
                  </w:r>
                </w:p>
              </w:tc>
              <w:tc>
                <w:tcPr>
                  <w:tcW w:w="1164" w:type="pct"/>
                  <w:tcBorders>
                    <w:tl2br w:val="nil"/>
                    <w:tr2bl w:val="nil"/>
                  </w:tcBorders>
                  <w:noWrap/>
                  <w:vAlign w:val="center"/>
                </w:tcPr>
                <w:p w14:paraId="54A4E0B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7080h/a</w:t>
                  </w:r>
                </w:p>
              </w:tc>
            </w:tr>
            <w:tr w14:paraId="5491AB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 w:type="pct"/>
                  <w:tcBorders>
                    <w:tl2br w:val="nil"/>
                    <w:tr2bl w:val="nil"/>
                  </w:tcBorders>
                  <w:noWrap/>
                  <w:vAlign w:val="center"/>
                </w:tcPr>
                <w:p w14:paraId="475D940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其中</w:t>
                  </w:r>
                </w:p>
              </w:tc>
              <w:tc>
                <w:tcPr>
                  <w:tcW w:w="1312" w:type="pct"/>
                  <w:gridSpan w:val="2"/>
                  <w:tcBorders>
                    <w:tl2br w:val="nil"/>
                    <w:tr2bl w:val="nil"/>
                  </w:tcBorders>
                  <w:noWrap/>
                  <w:vAlign w:val="center"/>
                </w:tcPr>
                <w:p w14:paraId="696F38D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单批次熔炼时间h</w:t>
                  </w:r>
                </w:p>
              </w:tc>
              <w:tc>
                <w:tcPr>
                  <w:tcW w:w="1136" w:type="pct"/>
                  <w:tcBorders>
                    <w:tl2br w:val="nil"/>
                    <w:tr2bl w:val="nil"/>
                  </w:tcBorders>
                  <w:noWrap/>
                  <w:vAlign w:val="center"/>
                </w:tcPr>
                <w:p w14:paraId="3C92C7E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2</w:t>
                  </w:r>
                </w:p>
              </w:tc>
              <w:tc>
                <w:tcPr>
                  <w:tcW w:w="1168" w:type="pct"/>
                  <w:tcBorders>
                    <w:tl2br w:val="nil"/>
                    <w:tr2bl w:val="nil"/>
                  </w:tcBorders>
                  <w:noWrap/>
                  <w:vAlign w:val="center"/>
                </w:tcPr>
                <w:p w14:paraId="2D9CB70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2</w:t>
                  </w:r>
                </w:p>
              </w:tc>
              <w:tc>
                <w:tcPr>
                  <w:tcW w:w="1164" w:type="pct"/>
                  <w:tcBorders>
                    <w:tl2br w:val="nil"/>
                    <w:tr2bl w:val="nil"/>
                  </w:tcBorders>
                  <w:noWrap/>
                  <w:vAlign w:val="center"/>
                </w:tcPr>
                <w:p w14:paraId="0D29FD9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2</w:t>
                  </w:r>
                </w:p>
              </w:tc>
            </w:tr>
            <w:tr w14:paraId="2FB11D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 w:type="pct"/>
                  <w:vMerge w:val="restart"/>
                  <w:tcBorders>
                    <w:tl2br w:val="nil"/>
                    <w:tr2bl w:val="nil"/>
                  </w:tcBorders>
                  <w:noWrap/>
                  <w:vAlign w:val="center"/>
                </w:tcPr>
                <w:p w14:paraId="32741B5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w:t>
                  </w:r>
                </w:p>
              </w:tc>
              <w:tc>
                <w:tcPr>
                  <w:tcW w:w="1312" w:type="pct"/>
                  <w:gridSpan w:val="2"/>
                  <w:tcBorders>
                    <w:tl2br w:val="nil"/>
                    <w:tr2bl w:val="nil"/>
                  </w:tcBorders>
                  <w:noWrap/>
                  <w:vAlign w:val="center"/>
                </w:tcPr>
                <w:p w14:paraId="7E8E1EE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年熔炼时间h/a</w:t>
                  </w:r>
                </w:p>
              </w:tc>
              <w:tc>
                <w:tcPr>
                  <w:tcW w:w="1136" w:type="pct"/>
                  <w:tcBorders>
                    <w:tl2br w:val="nil"/>
                    <w:tr2bl w:val="nil"/>
                  </w:tcBorders>
                  <w:noWrap/>
                  <w:vAlign w:val="center"/>
                </w:tcPr>
                <w:p w14:paraId="229F5F8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1416</w:t>
                  </w:r>
                </w:p>
              </w:tc>
              <w:tc>
                <w:tcPr>
                  <w:tcW w:w="1168" w:type="pct"/>
                  <w:tcBorders>
                    <w:tl2br w:val="nil"/>
                    <w:tr2bl w:val="nil"/>
                  </w:tcBorders>
                  <w:noWrap/>
                  <w:vAlign w:val="center"/>
                </w:tcPr>
                <w:p w14:paraId="3CD39E3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1416</w:t>
                  </w:r>
                </w:p>
              </w:tc>
              <w:tc>
                <w:tcPr>
                  <w:tcW w:w="1164" w:type="pct"/>
                  <w:tcBorders>
                    <w:tl2br w:val="nil"/>
                    <w:tr2bl w:val="nil"/>
                  </w:tcBorders>
                  <w:noWrap/>
                  <w:vAlign w:val="center"/>
                </w:tcPr>
                <w:p w14:paraId="70AC928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2360</w:t>
                  </w:r>
                </w:p>
              </w:tc>
            </w:tr>
            <w:tr w14:paraId="4C689E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 w:type="pct"/>
                  <w:vMerge w:val="continue"/>
                  <w:tcBorders>
                    <w:tl2br w:val="nil"/>
                    <w:tr2bl w:val="nil"/>
                  </w:tcBorders>
                  <w:noWrap/>
                  <w:vAlign w:val="center"/>
                </w:tcPr>
                <w:p w14:paraId="5F9E5F4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p>
              </w:tc>
              <w:tc>
                <w:tcPr>
                  <w:tcW w:w="253" w:type="pct"/>
                  <w:vMerge w:val="restart"/>
                  <w:tcBorders>
                    <w:tl2br w:val="nil"/>
                    <w:tr2bl w:val="nil"/>
                  </w:tcBorders>
                  <w:noWrap/>
                  <w:vAlign w:val="center"/>
                </w:tcPr>
                <w:p w14:paraId="426EDDB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其中</w:t>
                  </w:r>
                </w:p>
              </w:tc>
              <w:tc>
                <w:tcPr>
                  <w:tcW w:w="1058" w:type="pct"/>
                  <w:tcBorders>
                    <w:tl2br w:val="nil"/>
                    <w:tr2bl w:val="nil"/>
                  </w:tcBorders>
                  <w:noWrap/>
                  <w:vAlign w:val="center"/>
                </w:tcPr>
                <w:p w14:paraId="6FAE7BC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单批次熔炼炉门开启时间</w:t>
                  </w:r>
                </w:p>
              </w:tc>
              <w:tc>
                <w:tcPr>
                  <w:tcW w:w="1136" w:type="pct"/>
                  <w:tcBorders>
                    <w:tl2br w:val="nil"/>
                    <w:tr2bl w:val="nil"/>
                  </w:tcBorders>
                  <w:noWrap/>
                  <w:vAlign w:val="center"/>
                </w:tcPr>
                <w:p w14:paraId="03D7C77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3次/批，5~15min/次，取45min/批次</w:t>
                  </w:r>
                </w:p>
              </w:tc>
              <w:tc>
                <w:tcPr>
                  <w:tcW w:w="1168" w:type="pct"/>
                  <w:tcBorders>
                    <w:tl2br w:val="nil"/>
                    <w:tr2bl w:val="nil"/>
                  </w:tcBorders>
                  <w:noWrap/>
                  <w:vAlign w:val="center"/>
                </w:tcPr>
                <w:p w14:paraId="4CFA14D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3次/批，5~15min/次，取45min/批次</w:t>
                  </w:r>
                </w:p>
              </w:tc>
              <w:tc>
                <w:tcPr>
                  <w:tcW w:w="1164" w:type="pct"/>
                  <w:tcBorders>
                    <w:tl2br w:val="nil"/>
                    <w:tr2bl w:val="nil"/>
                  </w:tcBorders>
                  <w:noWrap/>
                  <w:vAlign w:val="center"/>
                </w:tcPr>
                <w:p w14:paraId="704F93C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3次/批，5~15min/次，取45min/批次</w:t>
                  </w:r>
                </w:p>
              </w:tc>
            </w:tr>
            <w:tr w14:paraId="056F2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 w:type="pct"/>
                  <w:vMerge w:val="continue"/>
                  <w:tcBorders>
                    <w:tl2br w:val="nil"/>
                    <w:tr2bl w:val="nil"/>
                  </w:tcBorders>
                  <w:noWrap/>
                  <w:vAlign w:val="center"/>
                </w:tcPr>
                <w:p w14:paraId="28A3285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p>
              </w:tc>
              <w:tc>
                <w:tcPr>
                  <w:tcW w:w="253" w:type="pct"/>
                  <w:vMerge w:val="continue"/>
                  <w:tcBorders>
                    <w:tl2br w:val="nil"/>
                    <w:tr2bl w:val="nil"/>
                  </w:tcBorders>
                  <w:noWrap/>
                  <w:vAlign w:val="center"/>
                </w:tcPr>
                <w:p w14:paraId="77C7E31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p>
              </w:tc>
              <w:tc>
                <w:tcPr>
                  <w:tcW w:w="1058" w:type="pct"/>
                  <w:tcBorders>
                    <w:tl2br w:val="nil"/>
                    <w:tr2bl w:val="nil"/>
                  </w:tcBorders>
                  <w:noWrap/>
                  <w:vAlign w:val="center"/>
                </w:tcPr>
                <w:p w14:paraId="3E76CE8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年熔炼开炉门时间h</w:t>
                  </w:r>
                </w:p>
              </w:tc>
              <w:tc>
                <w:tcPr>
                  <w:tcW w:w="1136" w:type="pct"/>
                  <w:tcBorders>
                    <w:tl2br w:val="nil"/>
                    <w:tr2bl w:val="nil"/>
                  </w:tcBorders>
                  <w:noWrap/>
                  <w:vAlign w:val="center"/>
                </w:tcPr>
                <w:p w14:paraId="78B5F1C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531</w:t>
                  </w:r>
                </w:p>
              </w:tc>
              <w:tc>
                <w:tcPr>
                  <w:tcW w:w="1168" w:type="pct"/>
                  <w:tcBorders>
                    <w:tl2br w:val="nil"/>
                    <w:tr2bl w:val="nil"/>
                  </w:tcBorders>
                  <w:noWrap/>
                  <w:vAlign w:val="center"/>
                </w:tcPr>
                <w:p w14:paraId="50EC1D8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531</w:t>
                  </w:r>
                </w:p>
              </w:tc>
              <w:tc>
                <w:tcPr>
                  <w:tcW w:w="1164" w:type="pct"/>
                  <w:tcBorders>
                    <w:tl2br w:val="nil"/>
                    <w:tr2bl w:val="nil"/>
                  </w:tcBorders>
                  <w:noWrap/>
                  <w:vAlign w:val="center"/>
                </w:tcPr>
                <w:p w14:paraId="043B4A8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885</w:t>
                  </w:r>
                </w:p>
              </w:tc>
            </w:tr>
            <w:tr w14:paraId="6C063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 w:type="pct"/>
                  <w:vMerge w:val="continue"/>
                  <w:tcBorders>
                    <w:tl2br w:val="nil"/>
                    <w:tr2bl w:val="nil"/>
                  </w:tcBorders>
                  <w:noWrap/>
                  <w:vAlign w:val="center"/>
                </w:tcPr>
                <w:p w14:paraId="0AF45AD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p>
              </w:tc>
              <w:tc>
                <w:tcPr>
                  <w:tcW w:w="253" w:type="pct"/>
                  <w:vMerge w:val="continue"/>
                  <w:tcBorders>
                    <w:tl2br w:val="nil"/>
                    <w:tr2bl w:val="nil"/>
                  </w:tcBorders>
                  <w:noWrap/>
                  <w:vAlign w:val="center"/>
                </w:tcPr>
                <w:p w14:paraId="4D7526E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p>
              </w:tc>
              <w:tc>
                <w:tcPr>
                  <w:tcW w:w="1058" w:type="pct"/>
                  <w:tcBorders>
                    <w:tl2br w:val="nil"/>
                    <w:tr2bl w:val="nil"/>
                  </w:tcBorders>
                  <w:noWrap/>
                  <w:vAlign w:val="center"/>
                </w:tcPr>
                <w:p w14:paraId="2C2F784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年熔炼闭炉门时间h</w:t>
                  </w:r>
                </w:p>
              </w:tc>
              <w:tc>
                <w:tcPr>
                  <w:tcW w:w="1136" w:type="pct"/>
                  <w:tcBorders>
                    <w:tl2br w:val="nil"/>
                    <w:tr2bl w:val="nil"/>
                  </w:tcBorders>
                  <w:noWrap/>
                  <w:vAlign w:val="center"/>
                </w:tcPr>
                <w:p w14:paraId="395C121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885</w:t>
                  </w:r>
                </w:p>
              </w:tc>
              <w:tc>
                <w:tcPr>
                  <w:tcW w:w="1168" w:type="pct"/>
                  <w:tcBorders>
                    <w:tl2br w:val="nil"/>
                    <w:tr2bl w:val="nil"/>
                  </w:tcBorders>
                  <w:noWrap/>
                  <w:vAlign w:val="center"/>
                </w:tcPr>
                <w:p w14:paraId="53E3BB1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885</w:t>
                  </w:r>
                </w:p>
              </w:tc>
              <w:tc>
                <w:tcPr>
                  <w:tcW w:w="1164" w:type="pct"/>
                  <w:tcBorders>
                    <w:tl2br w:val="nil"/>
                    <w:tr2bl w:val="nil"/>
                  </w:tcBorders>
                  <w:noWrap/>
                  <w:vAlign w:val="center"/>
                </w:tcPr>
                <w:p w14:paraId="0D4384D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1475</w:t>
                  </w:r>
                </w:p>
              </w:tc>
            </w:tr>
            <w:tr w14:paraId="45BE3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 w:type="pct"/>
                  <w:tcBorders>
                    <w:tl2br w:val="nil"/>
                    <w:tr2bl w:val="nil"/>
                  </w:tcBorders>
                  <w:noWrap/>
                  <w:vAlign w:val="center"/>
                </w:tcPr>
                <w:p w14:paraId="15A1306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其中</w:t>
                  </w:r>
                </w:p>
              </w:tc>
              <w:tc>
                <w:tcPr>
                  <w:tcW w:w="1312" w:type="pct"/>
                  <w:gridSpan w:val="2"/>
                  <w:tcBorders>
                    <w:tl2br w:val="nil"/>
                    <w:tr2bl w:val="nil"/>
                  </w:tcBorders>
                  <w:noWrap/>
                  <w:vAlign w:val="center"/>
                </w:tcPr>
                <w:p w14:paraId="275F65A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单批次精炼时间h</w:t>
                  </w:r>
                </w:p>
              </w:tc>
              <w:tc>
                <w:tcPr>
                  <w:tcW w:w="1136" w:type="pct"/>
                  <w:tcBorders>
                    <w:tl2br w:val="nil"/>
                    <w:tr2bl w:val="nil"/>
                  </w:tcBorders>
                  <w:noWrap/>
                  <w:vAlign w:val="center"/>
                </w:tcPr>
                <w:p w14:paraId="5975B59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w:t>
                  </w:r>
                </w:p>
              </w:tc>
              <w:tc>
                <w:tcPr>
                  <w:tcW w:w="1168" w:type="pct"/>
                  <w:tcBorders>
                    <w:tl2br w:val="nil"/>
                    <w:tr2bl w:val="nil"/>
                  </w:tcBorders>
                  <w:noWrap/>
                  <w:vAlign w:val="center"/>
                </w:tcPr>
                <w:p w14:paraId="35E51A6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w:t>
                  </w:r>
                </w:p>
              </w:tc>
              <w:tc>
                <w:tcPr>
                  <w:tcW w:w="1164" w:type="pct"/>
                  <w:tcBorders>
                    <w:tl2br w:val="nil"/>
                    <w:tr2bl w:val="nil"/>
                  </w:tcBorders>
                  <w:noWrap/>
                  <w:vAlign w:val="center"/>
                </w:tcPr>
                <w:p w14:paraId="6165CC6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w:t>
                  </w:r>
                </w:p>
              </w:tc>
            </w:tr>
            <w:tr w14:paraId="698D7E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 w:type="pct"/>
                  <w:vMerge w:val="restart"/>
                  <w:tcBorders>
                    <w:tl2br w:val="nil"/>
                    <w:tr2bl w:val="nil"/>
                  </w:tcBorders>
                  <w:noWrap/>
                  <w:vAlign w:val="center"/>
                </w:tcPr>
                <w:p w14:paraId="1C93002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w:t>
                  </w:r>
                </w:p>
              </w:tc>
              <w:tc>
                <w:tcPr>
                  <w:tcW w:w="1312" w:type="pct"/>
                  <w:gridSpan w:val="2"/>
                  <w:tcBorders>
                    <w:tl2br w:val="nil"/>
                    <w:tr2bl w:val="nil"/>
                  </w:tcBorders>
                  <w:noWrap/>
                  <w:vAlign w:val="center"/>
                </w:tcPr>
                <w:p w14:paraId="262BDD1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年精炼时间h/a</w:t>
                  </w:r>
                </w:p>
              </w:tc>
              <w:tc>
                <w:tcPr>
                  <w:tcW w:w="1136" w:type="pct"/>
                  <w:tcBorders>
                    <w:tl2br w:val="nil"/>
                    <w:tr2bl w:val="nil"/>
                  </w:tcBorders>
                  <w:noWrap/>
                  <w:vAlign w:val="center"/>
                </w:tcPr>
                <w:p w14:paraId="761CAA9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708</w:t>
                  </w:r>
                </w:p>
              </w:tc>
              <w:tc>
                <w:tcPr>
                  <w:tcW w:w="1168" w:type="pct"/>
                  <w:tcBorders>
                    <w:tl2br w:val="nil"/>
                    <w:tr2bl w:val="nil"/>
                  </w:tcBorders>
                  <w:noWrap/>
                  <w:vAlign w:val="center"/>
                </w:tcPr>
                <w:p w14:paraId="54AA669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708</w:t>
                  </w:r>
                </w:p>
              </w:tc>
              <w:tc>
                <w:tcPr>
                  <w:tcW w:w="1164" w:type="pct"/>
                  <w:tcBorders>
                    <w:tl2br w:val="nil"/>
                    <w:tr2bl w:val="nil"/>
                  </w:tcBorders>
                  <w:noWrap/>
                  <w:vAlign w:val="center"/>
                </w:tcPr>
                <w:p w14:paraId="63E7F98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1180</w:t>
                  </w:r>
                </w:p>
              </w:tc>
            </w:tr>
            <w:tr w14:paraId="2EE4A0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 w:type="pct"/>
                  <w:vMerge w:val="continue"/>
                  <w:tcBorders>
                    <w:tl2br w:val="nil"/>
                    <w:tr2bl w:val="nil"/>
                  </w:tcBorders>
                  <w:noWrap/>
                  <w:vAlign w:val="center"/>
                </w:tcPr>
                <w:p w14:paraId="56F999D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p>
              </w:tc>
              <w:tc>
                <w:tcPr>
                  <w:tcW w:w="253" w:type="pct"/>
                  <w:vMerge w:val="restart"/>
                  <w:tcBorders>
                    <w:tl2br w:val="nil"/>
                    <w:tr2bl w:val="nil"/>
                  </w:tcBorders>
                  <w:noWrap/>
                  <w:vAlign w:val="center"/>
                </w:tcPr>
                <w:p w14:paraId="16F4103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其中</w:t>
                  </w:r>
                </w:p>
              </w:tc>
              <w:tc>
                <w:tcPr>
                  <w:tcW w:w="1058" w:type="pct"/>
                  <w:tcBorders>
                    <w:tl2br w:val="nil"/>
                    <w:tr2bl w:val="nil"/>
                  </w:tcBorders>
                  <w:noWrap/>
                  <w:vAlign w:val="center"/>
                </w:tcPr>
                <w:p w14:paraId="204B6CD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单批次精炼炉门开启时间</w:t>
                  </w:r>
                </w:p>
              </w:tc>
              <w:tc>
                <w:tcPr>
                  <w:tcW w:w="1136" w:type="pct"/>
                  <w:tcBorders>
                    <w:tl2br w:val="nil"/>
                    <w:tr2bl w:val="nil"/>
                  </w:tcBorders>
                  <w:noWrap/>
                  <w:vAlign w:val="center"/>
                </w:tcPr>
                <w:p w14:paraId="34998A1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3次/批，5~15min/次，取30min/批次，</w:t>
                  </w:r>
                </w:p>
              </w:tc>
              <w:tc>
                <w:tcPr>
                  <w:tcW w:w="1168" w:type="pct"/>
                  <w:tcBorders>
                    <w:tl2br w:val="nil"/>
                    <w:tr2bl w:val="nil"/>
                  </w:tcBorders>
                  <w:noWrap/>
                  <w:vAlign w:val="center"/>
                </w:tcPr>
                <w:p w14:paraId="794BC1F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3次/批，5~15min/次，取30min/批次</w:t>
                  </w:r>
                </w:p>
              </w:tc>
              <w:tc>
                <w:tcPr>
                  <w:tcW w:w="1164" w:type="pct"/>
                  <w:tcBorders>
                    <w:tl2br w:val="nil"/>
                    <w:tr2bl w:val="nil"/>
                  </w:tcBorders>
                  <w:noWrap/>
                  <w:vAlign w:val="center"/>
                </w:tcPr>
                <w:p w14:paraId="2A3982A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3次/批，5~15min/次，取30min/批次</w:t>
                  </w:r>
                </w:p>
              </w:tc>
            </w:tr>
            <w:tr w14:paraId="57D1D4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 w:type="pct"/>
                  <w:vMerge w:val="continue"/>
                  <w:tcBorders>
                    <w:tl2br w:val="nil"/>
                    <w:tr2bl w:val="nil"/>
                  </w:tcBorders>
                  <w:noWrap/>
                  <w:vAlign w:val="center"/>
                </w:tcPr>
                <w:p w14:paraId="52999B3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p>
              </w:tc>
              <w:tc>
                <w:tcPr>
                  <w:tcW w:w="253" w:type="pct"/>
                  <w:vMerge w:val="continue"/>
                  <w:tcBorders>
                    <w:tl2br w:val="nil"/>
                    <w:tr2bl w:val="nil"/>
                  </w:tcBorders>
                  <w:noWrap/>
                  <w:vAlign w:val="center"/>
                </w:tcPr>
                <w:p w14:paraId="4B763B8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p>
              </w:tc>
              <w:tc>
                <w:tcPr>
                  <w:tcW w:w="1058" w:type="pct"/>
                  <w:tcBorders>
                    <w:tl2br w:val="nil"/>
                    <w:tr2bl w:val="nil"/>
                  </w:tcBorders>
                  <w:noWrap/>
                  <w:vAlign w:val="center"/>
                </w:tcPr>
                <w:p w14:paraId="4636061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年精炼开炉门时间h</w:t>
                  </w:r>
                </w:p>
              </w:tc>
              <w:tc>
                <w:tcPr>
                  <w:tcW w:w="1136" w:type="pct"/>
                  <w:tcBorders>
                    <w:tl2br w:val="nil"/>
                    <w:tr2bl w:val="nil"/>
                  </w:tcBorders>
                  <w:noWrap/>
                  <w:vAlign w:val="center"/>
                </w:tcPr>
                <w:p w14:paraId="577F109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354</w:t>
                  </w:r>
                </w:p>
              </w:tc>
              <w:tc>
                <w:tcPr>
                  <w:tcW w:w="1168" w:type="pct"/>
                  <w:tcBorders>
                    <w:tl2br w:val="nil"/>
                    <w:tr2bl w:val="nil"/>
                  </w:tcBorders>
                  <w:noWrap/>
                  <w:vAlign w:val="center"/>
                </w:tcPr>
                <w:p w14:paraId="6FEF598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354</w:t>
                  </w:r>
                </w:p>
              </w:tc>
              <w:tc>
                <w:tcPr>
                  <w:tcW w:w="1164" w:type="pct"/>
                  <w:tcBorders>
                    <w:tl2br w:val="nil"/>
                    <w:tr2bl w:val="nil"/>
                  </w:tcBorders>
                  <w:noWrap/>
                  <w:vAlign w:val="center"/>
                </w:tcPr>
                <w:p w14:paraId="479B053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590</w:t>
                  </w:r>
                </w:p>
              </w:tc>
            </w:tr>
            <w:tr w14:paraId="1D18B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 w:type="pct"/>
                  <w:vMerge w:val="continue"/>
                  <w:tcBorders>
                    <w:tl2br w:val="nil"/>
                    <w:tr2bl w:val="nil"/>
                  </w:tcBorders>
                  <w:noWrap/>
                  <w:vAlign w:val="center"/>
                </w:tcPr>
                <w:p w14:paraId="3487776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p>
              </w:tc>
              <w:tc>
                <w:tcPr>
                  <w:tcW w:w="253" w:type="pct"/>
                  <w:vMerge w:val="continue"/>
                  <w:tcBorders>
                    <w:tl2br w:val="nil"/>
                    <w:tr2bl w:val="nil"/>
                  </w:tcBorders>
                  <w:noWrap/>
                  <w:vAlign w:val="center"/>
                </w:tcPr>
                <w:p w14:paraId="19AC99F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p>
              </w:tc>
              <w:tc>
                <w:tcPr>
                  <w:tcW w:w="1058" w:type="pct"/>
                  <w:tcBorders>
                    <w:tl2br w:val="nil"/>
                    <w:tr2bl w:val="nil"/>
                  </w:tcBorders>
                  <w:noWrap/>
                  <w:vAlign w:val="center"/>
                </w:tcPr>
                <w:p w14:paraId="61ED009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年精炼闭炉门时间h</w:t>
                  </w:r>
                </w:p>
              </w:tc>
              <w:tc>
                <w:tcPr>
                  <w:tcW w:w="1136" w:type="pct"/>
                  <w:tcBorders>
                    <w:tl2br w:val="nil"/>
                    <w:tr2bl w:val="nil"/>
                  </w:tcBorders>
                  <w:noWrap/>
                  <w:vAlign w:val="center"/>
                </w:tcPr>
                <w:p w14:paraId="37FC2DA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354</w:t>
                  </w:r>
                </w:p>
              </w:tc>
              <w:tc>
                <w:tcPr>
                  <w:tcW w:w="1168" w:type="pct"/>
                  <w:tcBorders>
                    <w:tl2br w:val="nil"/>
                    <w:tr2bl w:val="nil"/>
                  </w:tcBorders>
                  <w:noWrap/>
                  <w:vAlign w:val="center"/>
                </w:tcPr>
                <w:p w14:paraId="5F83888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354</w:t>
                  </w:r>
                </w:p>
              </w:tc>
              <w:tc>
                <w:tcPr>
                  <w:tcW w:w="1164" w:type="pct"/>
                  <w:tcBorders>
                    <w:tl2br w:val="nil"/>
                    <w:tr2bl w:val="nil"/>
                  </w:tcBorders>
                  <w:noWrap/>
                  <w:vAlign w:val="center"/>
                </w:tcPr>
                <w:p w14:paraId="2C70DE6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590</w:t>
                  </w:r>
                </w:p>
              </w:tc>
            </w:tr>
            <w:tr w14:paraId="619BF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 w:type="pct"/>
                  <w:vMerge w:val="restart"/>
                  <w:tcBorders>
                    <w:tl2br w:val="nil"/>
                    <w:tr2bl w:val="nil"/>
                  </w:tcBorders>
                  <w:noWrap/>
                  <w:vAlign w:val="center"/>
                </w:tcPr>
                <w:p w14:paraId="66C8B6A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其中</w:t>
                  </w:r>
                </w:p>
              </w:tc>
              <w:tc>
                <w:tcPr>
                  <w:tcW w:w="1312" w:type="pct"/>
                  <w:gridSpan w:val="2"/>
                  <w:tcBorders>
                    <w:tl2br w:val="nil"/>
                    <w:tr2bl w:val="nil"/>
                  </w:tcBorders>
                  <w:noWrap/>
                  <w:vAlign w:val="center"/>
                </w:tcPr>
                <w:p w14:paraId="75B9423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单批次放汤铸造时间h</w:t>
                  </w:r>
                </w:p>
              </w:tc>
              <w:tc>
                <w:tcPr>
                  <w:tcW w:w="1136" w:type="pct"/>
                  <w:tcBorders>
                    <w:tl2br w:val="nil"/>
                    <w:tr2bl w:val="nil"/>
                  </w:tcBorders>
                  <w:noWrap/>
                  <w:vAlign w:val="center"/>
                </w:tcPr>
                <w:p w14:paraId="45EACCE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4</w:t>
                  </w:r>
                </w:p>
              </w:tc>
              <w:tc>
                <w:tcPr>
                  <w:tcW w:w="1168" w:type="pct"/>
                  <w:tcBorders>
                    <w:tl2br w:val="nil"/>
                    <w:tr2bl w:val="nil"/>
                  </w:tcBorders>
                  <w:noWrap/>
                  <w:vAlign w:val="center"/>
                </w:tcPr>
                <w:p w14:paraId="3D4BC59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4</w:t>
                  </w:r>
                </w:p>
              </w:tc>
              <w:tc>
                <w:tcPr>
                  <w:tcW w:w="1164" w:type="pct"/>
                  <w:tcBorders>
                    <w:tl2br w:val="nil"/>
                    <w:tr2bl w:val="nil"/>
                  </w:tcBorders>
                  <w:noWrap/>
                  <w:vAlign w:val="center"/>
                </w:tcPr>
                <w:p w14:paraId="10A07AC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3</w:t>
                  </w:r>
                </w:p>
              </w:tc>
            </w:tr>
            <w:tr w14:paraId="6E662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 w:type="pct"/>
                  <w:vMerge w:val="continue"/>
                  <w:tcBorders>
                    <w:tl2br w:val="nil"/>
                    <w:tr2bl w:val="nil"/>
                  </w:tcBorders>
                  <w:noWrap/>
                  <w:vAlign w:val="center"/>
                </w:tcPr>
                <w:p w14:paraId="5CFCF9A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p>
              </w:tc>
              <w:tc>
                <w:tcPr>
                  <w:tcW w:w="1312" w:type="pct"/>
                  <w:gridSpan w:val="2"/>
                  <w:tcBorders>
                    <w:tl2br w:val="nil"/>
                    <w:tr2bl w:val="nil"/>
                  </w:tcBorders>
                  <w:noWrap/>
                  <w:vAlign w:val="center"/>
                </w:tcPr>
                <w:p w14:paraId="20B1E7A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Cs/>
                      <w:color w:val="auto"/>
                      <w:kern w:val="2"/>
                      <w:sz w:val="22"/>
                      <w:szCs w:val="22"/>
                      <w:lang w:val="en-US" w:eastAsia="zh-CN" w:bidi="ar-SA"/>
                    </w:rPr>
                  </w:pPr>
                  <w:r>
                    <w:rPr>
                      <w:rFonts w:hint="eastAsia" w:ascii="Times New Roman" w:hAnsi="Times New Roman" w:eastAsia="宋体" w:cs="Times New Roman"/>
                      <w:bCs/>
                      <w:color w:val="auto"/>
                      <w:sz w:val="22"/>
                      <w:szCs w:val="22"/>
                      <w:lang w:val="en-US" w:eastAsia="zh-CN"/>
                    </w:rPr>
                    <w:t>年放汤铸造时间h/a</w:t>
                  </w:r>
                </w:p>
              </w:tc>
              <w:tc>
                <w:tcPr>
                  <w:tcW w:w="1136" w:type="pct"/>
                  <w:tcBorders>
                    <w:tl2br w:val="nil"/>
                    <w:tr2bl w:val="nil"/>
                  </w:tcBorders>
                  <w:noWrap/>
                  <w:vAlign w:val="center"/>
                </w:tcPr>
                <w:p w14:paraId="144A4FD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kern w:val="2"/>
                      <w:sz w:val="22"/>
                      <w:szCs w:val="22"/>
                      <w:lang w:val="en-US" w:eastAsia="zh-CN" w:bidi="ar-SA"/>
                    </w:rPr>
                  </w:pPr>
                  <w:r>
                    <w:rPr>
                      <w:rFonts w:hint="eastAsia" w:ascii="Times New Roman" w:hAnsi="Times New Roman" w:eastAsia="宋体" w:cs="Times New Roman"/>
                      <w:bCs/>
                      <w:color w:val="auto"/>
                      <w:sz w:val="22"/>
                      <w:szCs w:val="22"/>
                      <w:lang w:val="en-US" w:eastAsia="zh-CN"/>
                    </w:rPr>
                    <w:t>2832</w:t>
                  </w:r>
                </w:p>
              </w:tc>
              <w:tc>
                <w:tcPr>
                  <w:tcW w:w="1168" w:type="pct"/>
                  <w:tcBorders>
                    <w:tl2br w:val="nil"/>
                    <w:tr2bl w:val="nil"/>
                  </w:tcBorders>
                  <w:noWrap/>
                  <w:vAlign w:val="center"/>
                </w:tcPr>
                <w:p w14:paraId="589B857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kern w:val="2"/>
                      <w:sz w:val="22"/>
                      <w:szCs w:val="22"/>
                      <w:lang w:val="en-US" w:eastAsia="zh-CN" w:bidi="ar-SA"/>
                    </w:rPr>
                  </w:pPr>
                  <w:r>
                    <w:rPr>
                      <w:rFonts w:hint="eastAsia" w:ascii="Times New Roman" w:hAnsi="Times New Roman" w:eastAsia="宋体" w:cs="Times New Roman"/>
                      <w:bCs/>
                      <w:color w:val="auto"/>
                      <w:kern w:val="2"/>
                      <w:sz w:val="22"/>
                      <w:szCs w:val="22"/>
                      <w:lang w:val="en-US" w:eastAsia="zh-CN" w:bidi="ar-SA"/>
                    </w:rPr>
                    <w:t>2832</w:t>
                  </w:r>
                </w:p>
              </w:tc>
              <w:tc>
                <w:tcPr>
                  <w:tcW w:w="1164" w:type="pct"/>
                  <w:tcBorders>
                    <w:tl2br w:val="nil"/>
                    <w:tr2bl w:val="nil"/>
                  </w:tcBorders>
                  <w:noWrap/>
                  <w:vAlign w:val="center"/>
                </w:tcPr>
                <w:p w14:paraId="5CFE686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3540</w:t>
                  </w:r>
                </w:p>
              </w:tc>
            </w:tr>
            <w:tr w14:paraId="352850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0" w:type="pct"/>
                  <w:gridSpan w:val="3"/>
                  <w:tcBorders>
                    <w:tl2br w:val="nil"/>
                    <w:tr2bl w:val="nil"/>
                  </w:tcBorders>
                  <w:noWrap/>
                  <w:vAlign w:val="center"/>
                </w:tcPr>
                <w:p w14:paraId="2DA4D17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年开炉门时间h</w:t>
                  </w:r>
                </w:p>
              </w:tc>
              <w:tc>
                <w:tcPr>
                  <w:tcW w:w="1136" w:type="pct"/>
                  <w:tcBorders>
                    <w:tl2br w:val="nil"/>
                    <w:tr2bl w:val="nil"/>
                  </w:tcBorders>
                  <w:noWrap/>
                  <w:vAlign w:val="center"/>
                </w:tcPr>
                <w:p w14:paraId="56CFFA9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885</w:t>
                  </w:r>
                </w:p>
              </w:tc>
              <w:tc>
                <w:tcPr>
                  <w:tcW w:w="1168" w:type="pct"/>
                  <w:tcBorders>
                    <w:tl2br w:val="nil"/>
                    <w:tr2bl w:val="nil"/>
                  </w:tcBorders>
                  <w:noWrap/>
                  <w:vAlign w:val="center"/>
                </w:tcPr>
                <w:p w14:paraId="6E2B8B0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885</w:t>
                  </w:r>
                </w:p>
              </w:tc>
              <w:tc>
                <w:tcPr>
                  <w:tcW w:w="1164" w:type="pct"/>
                  <w:tcBorders>
                    <w:tl2br w:val="nil"/>
                    <w:tr2bl w:val="nil"/>
                  </w:tcBorders>
                  <w:noWrap/>
                  <w:vAlign w:val="center"/>
                </w:tcPr>
                <w:p w14:paraId="589B5B5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1475</w:t>
                  </w:r>
                </w:p>
              </w:tc>
            </w:tr>
            <w:tr w14:paraId="68AA0D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0" w:type="pct"/>
                  <w:gridSpan w:val="3"/>
                  <w:tcBorders>
                    <w:tl2br w:val="nil"/>
                    <w:tr2bl w:val="nil"/>
                  </w:tcBorders>
                  <w:noWrap/>
                  <w:vAlign w:val="center"/>
                </w:tcPr>
                <w:p w14:paraId="34D782A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年闭炉门时间h</w:t>
                  </w:r>
                </w:p>
              </w:tc>
              <w:tc>
                <w:tcPr>
                  <w:tcW w:w="1136" w:type="pct"/>
                  <w:tcBorders>
                    <w:tl2br w:val="nil"/>
                    <w:tr2bl w:val="nil"/>
                  </w:tcBorders>
                  <w:noWrap/>
                  <w:vAlign w:val="center"/>
                </w:tcPr>
                <w:p w14:paraId="0F9F44C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4071</w:t>
                  </w:r>
                </w:p>
              </w:tc>
              <w:tc>
                <w:tcPr>
                  <w:tcW w:w="1168" w:type="pct"/>
                  <w:tcBorders>
                    <w:tl2br w:val="nil"/>
                    <w:tr2bl w:val="nil"/>
                  </w:tcBorders>
                  <w:noWrap/>
                  <w:vAlign w:val="center"/>
                </w:tcPr>
                <w:p w14:paraId="164EDFC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4071</w:t>
                  </w:r>
                </w:p>
              </w:tc>
              <w:tc>
                <w:tcPr>
                  <w:tcW w:w="1164" w:type="pct"/>
                  <w:tcBorders>
                    <w:tl2br w:val="nil"/>
                    <w:tr2bl w:val="nil"/>
                  </w:tcBorders>
                  <w:noWrap/>
                  <w:vAlign w:val="center"/>
                </w:tcPr>
                <w:p w14:paraId="2108EF2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5605</w:t>
                  </w:r>
                </w:p>
              </w:tc>
            </w:tr>
            <w:tr w14:paraId="6E12A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0" w:type="pct"/>
                  <w:gridSpan w:val="3"/>
                  <w:tcBorders>
                    <w:tl2br w:val="nil"/>
                    <w:tr2bl w:val="nil"/>
                  </w:tcBorders>
                  <w:noWrap/>
                  <w:vAlign w:val="center"/>
                </w:tcPr>
                <w:p w14:paraId="67333D2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合计</w:t>
                  </w:r>
                </w:p>
              </w:tc>
              <w:tc>
                <w:tcPr>
                  <w:tcW w:w="1136" w:type="pct"/>
                  <w:tcBorders>
                    <w:tl2br w:val="nil"/>
                    <w:tr2bl w:val="nil"/>
                  </w:tcBorders>
                  <w:noWrap/>
                  <w:vAlign w:val="center"/>
                </w:tcPr>
                <w:p w14:paraId="37CA4C6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4956</w:t>
                  </w:r>
                </w:p>
              </w:tc>
              <w:tc>
                <w:tcPr>
                  <w:tcW w:w="1168" w:type="pct"/>
                  <w:tcBorders>
                    <w:tl2br w:val="nil"/>
                    <w:tr2bl w:val="nil"/>
                  </w:tcBorders>
                  <w:noWrap/>
                  <w:vAlign w:val="center"/>
                </w:tcPr>
                <w:p w14:paraId="12BE2BC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4956</w:t>
                  </w:r>
                </w:p>
              </w:tc>
              <w:tc>
                <w:tcPr>
                  <w:tcW w:w="1164" w:type="pct"/>
                  <w:tcBorders>
                    <w:tl2br w:val="nil"/>
                    <w:tr2bl w:val="nil"/>
                  </w:tcBorders>
                  <w:noWrap/>
                  <w:vAlign w:val="center"/>
                </w:tcPr>
                <w:p w14:paraId="63E0187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7080</w:t>
                  </w:r>
                </w:p>
              </w:tc>
            </w:tr>
          </w:tbl>
          <w:p w14:paraId="59CD40CC">
            <w:pPr>
              <w:keepNext w:val="0"/>
              <w:keepLines w:val="0"/>
              <w:pageBreakBefore w:val="0"/>
              <w:kinsoku/>
              <w:wordWrap/>
              <w:overflowPunct/>
              <w:topLinePunct w:val="0"/>
              <w:autoSpaceDE/>
              <w:autoSpaceDN/>
              <w:bidi w:val="0"/>
              <w:adjustRightInd w:val="0"/>
              <w:snapToGrid w:val="0"/>
              <w:spacing w:line="460" w:lineRule="exact"/>
              <w:ind w:firstLine="522" w:firstLineChars="200"/>
              <w:textAlignment w:val="auto"/>
              <w:rPr>
                <w:rFonts w:hint="eastAsia" w:ascii="Times New Roman" w:hAnsi="Calibri" w:eastAsia="宋体" w:cs="Times New Roman"/>
                <w:b/>
                <w:bCs/>
                <w:color w:val="auto"/>
                <w:kern w:val="0"/>
                <w:sz w:val="26"/>
                <w:szCs w:val="26"/>
                <w:lang w:val="en-US" w:eastAsia="zh-CN"/>
              </w:rPr>
            </w:pPr>
          </w:p>
          <w:p w14:paraId="133A8110">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default" w:ascii="Times New Roman" w:hAnsi="Times New Roman" w:eastAsia="宋体" w:cs="Times New Roman"/>
                <w:b/>
                <w:bCs/>
                <w:color w:val="auto"/>
                <w:sz w:val="26"/>
                <w:szCs w:val="26"/>
                <w:highlight w:val="none"/>
                <w:lang w:val="en-US" w:eastAsia="zh-CN"/>
              </w:rPr>
            </w:pPr>
            <w:r>
              <w:rPr>
                <w:rFonts w:hint="eastAsia" w:ascii="Times New Roman" w:hAnsi="Times New Roman" w:eastAsia="宋体" w:cs="Times New Roman"/>
                <w:b/>
                <w:bCs/>
                <w:color w:val="auto"/>
                <w:sz w:val="26"/>
                <w:szCs w:val="26"/>
                <w:highlight w:val="none"/>
                <w:lang w:val="en-US" w:eastAsia="zh-CN"/>
              </w:rPr>
              <w:t>表4.2-2  3台熔炼炉工作时段分配表2 单位：h/a</w:t>
            </w:r>
          </w:p>
          <w:tbl>
            <w:tblPr>
              <w:tblStyle w:val="26"/>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2451"/>
              <w:gridCol w:w="2122"/>
              <w:gridCol w:w="1675"/>
            </w:tblGrid>
            <w:tr w14:paraId="6B764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31" w:type="dxa"/>
                  <w:tcBorders>
                    <w:tl2br w:val="nil"/>
                    <w:tr2bl w:val="nil"/>
                  </w:tcBorders>
                  <w:noWrap w:val="0"/>
                  <w:vAlign w:val="center"/>
                </w:tcPr>
                <w:p w14:paraId="07A7BC35">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设备名称</w:t>
                  </w:r>
                </w:p>
              </w:tc>
              <w:tc>
                <w:tcPr>
                  <w:tcW w:w="2451" w:type="dxa"/>
                  <w:tcBorders>
                    <w:tl2br w:val="nil"/>
                    <w:tr2bl w:val="nil"/>
                  </w:tcBorders>
                  <w:noWrap w:val="0"/>
                  <w:vAlign w:val="center"/>
                </w:tcPr>
                <w:p w14:paraId="78B59E59">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加料、扒渣、取样分析时段（开炉状态）</w:t>
                  </w:r>
                </w:p>
              </w:tc>
              <w:tc>
                <w:tcPr>
                  <w:tcW w:w="2122" w:type="dxa"/>
                  <w:tcBorders>
                    <w:tl2br w:val="nil"/>
                    <w:tr2bl w:val="nil"/>
                  </w:tcBorders>
                  <w:noWrap w:val="0"/>
                  <w:vAlign w:val="center"/>
                </w:tcPr>
                <w:p w14:paraId="6B19233E">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熔炼其他时段</w:t>
                  </w:r>
                </w:p>
                <w:p w14:paraId="299A1863">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（闭炉状态）</w:t>
                  </w:r>
                </w:p>
              </w:tc>
              <w:tc>
                <w:tcPr>
                  <w:tcW w:w="1675" w:type="dxa"/>
                  <w:tcBorders>
                    <w:tl2br w:val="nil"/>
                    <w:tr2bl w:val="nil"/>
                  </w:tcBorders>
                  <w:noWrap w:val="0"/>
                  <w:vAlign w:val="center"/>
                </w:tcPr>
                <w:p w14:paraId="05A416B3">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合计</w:t>
                  </w:r>
                </w:p>
              </w:tc>
            </w:tr>
            <w:tr w14:paraId="415A2D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1" w:type="dxa"/>
                  <w:tcBorders>
                    <w:tl2br w:val="nil"/>
                    <w:tr2bl w:val="nil"/>
                  </w:tcBorders>
                  <w:noWrap w:val="0"/>
                  <w:vAlign w:val="center"/>
                </w:tcPr>
                <w:p w14:paraId="2868F378">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1#25t炉</w:t>
                  </w:r>
                </w:p>
              </w:tc>
              <w:tc>
                <w:tcPr>
                  <w:tcW w:w="2451" w:type="dxa"/>
                  <w:tcBorders>
                    <w:tl2br w:val="nil"/>
                    <w:tr2bl w:val="nil"/>
                  </w:tcBorders>
                  <w:noWrap w:val="0"/>
                  <w:vAlign w:val="center"/>
                </w:tcPr>
                <w:p w14:paraId="4C14121C">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885</w:t>
                  </w:r>
                </w:p>
              </w:tc>
              <w:tc>
                <w:tcPr>
                  <w:tcW w:w="2122" w:type="dxa"/>
                  <w:tcBorders>
                    <w:tl2br w:val="nil"/>
                    <w:tr2bl w:val="nil"/>
                  </w:tcBorders>
                  <w:noWrap w:val="0"/>
                  <w:vAlign w:val="center"/>
                </w:tcPr>
                <w:p w14:paraId="432D2929">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4071</w:t>
                  </w:r>
                </w:p>
              </w:tc>
              <w:tc>
                <w:tcPr>
                  <w:tcW w:w="1675" w:type="dxa"/>
                  <w:tcBorders>
                    <w:tl2br w:val="nil"/>
                    <w:tr2bl w:val="nil"/>
                  </w:tcBorders>
                  <w:noWrap w:val="0"/>
                  <w:vAlign w:val="center"/>
                </w:tcPr>
                <w:p w14:paraId="74266453">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4956</w:t>
                  </w:r>
                </w:p>
              </w:tc>
            </w:tr>
            <w:tr w14:paraId="7F1CE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1" w:type="dxa"/>
                  <w:tcBorders>
                    <w:tl2br w:val="nil"/>
                    <w:tr2bl w:val="nil"/>
                  </w:tcBorders>
                  <w:noWrap w:val="0"/>
                  <w:vAlign w:val="center"/>
                </w:tcPr>
                <w:p w14:paraId="52FB1371">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2#25t炉</w:t>
                  </w:r>
                </w:p>
              </w:tc>
              <w:tc>
                <w:tcPr>
                  <w:tcW w:w="2451" w:type="dxa"/>
                  <w:tcBorders>
                    <w:tl2br w:val="nil"/>
                    <w:tr2bl w:val="nil"/>
                  </w:tcBorders>
                  <w:noWrap w:val="0"/>
                  <w:vAlign w:val="center"/>
                </w:tcPr>
                <w:p w14:paraId="7021B238">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bCs/>
                      <w:color w:val="auto"/>
                      <w:kern w:val="2"/>
                      <w:sz w:val="22"/>
                      <w:szCs w:val="22"/>
                      <w:lang w:val="en-US" w:eastAsia="zh-CN" w:bidi="ar-SA"/>
                    </w:rPr>
                  </w:pPr>
                  <w:r>
                    <w:rPr>
                      <w:rFonts w:hint="eastAsia" w:ascii="Times New Roman" w:hAnsi="Times New Roman" w:eastAsia="宋体" w:cs="Times New Roman"/>
                      <w:bCs/>
                      <w:color w:val="auto"/>
                      <w:sz w:val="22"/>
                      <w:szCs w:val="22"/>
                      <w:lang w:val="en-US" w:eastAsia="zh-CN"/>
                    </w:rPr>
                    <w:t>885</w:t>
                  </w:r>
                </w:p>
              </w:tc>
              <w:tc>
                <w:tcPr>
                  <w:tcW w:w="2122" w:type="dxa"/>
                  <w:tcBorders>
                    <w:tl2br w:val="nil"/>
                    <w:tr2bl w:val="nil"/>
                  </w:tcBorders>
                  <w:noWrap w:val="0"/>
                  <w:vAlign w:val="center"/>
                </w:tcPr>
                <w:p w14:paraId="1A592140">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bCs/>
                      <w:color w:val="auto"/>
                      <w:kern w:val="2"/>
                      <w:sz w:val="22"/>
                      <w:szCs w:val="22"/>
                      <w:lang w:val="en-US" w:eastAsia="zh-CN" w:bidi="ar-SA"/>
                    </w:rPr>
                  </w:pPr>
                  <w:r>
                    <w:rPr>
                      <w:rFonts w:hint="eastAsia" w:ascii="Times New Roman" w:hAnsi="Times New Roman" w:eastAsia="宋体" w:cs="Times New Roman"/>
                      <w:bCs/>
                      <w:color w:val="auto"/>
                      <w:kern w:val="2"/>
                      <w:sz w:val="22"/>
                      <w:szCs w:val="22"/>
                      <w:lang w:val="en-US" w:eastAsia="zh-CN" w:bidi="ar-SA"/>
                    </w:rPr>
                    <w:t>4071</w:t>
                  </w:r>
                </w:p>
              </w:tc>
              <w:tc>
                <w:tcPr>
                  <w:tcW w:w="1675" w:type="dxa"/>
                  <w:tcBorders>
                    <w:tl2br w:val="nil"/>
                    <w:tr2bl w:val="nil"/>
                  </w:tcBorders>
                  <w:noWrap w:val="0"/>
                  <w:vAlign w:val="center"/>
                </w:tcPr>
                <w:p w14:paraId="4FE52D87">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4956</w:t>
                  </w:r>
                </w:p>
              </w:tc>
            </w:tr>
            <w:tr w14:paraId="7CA489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1" w:type="dxa"/>
                  <w:tcBorders>
                    <w:tl2br w:val="nil"/>
                    <w:tr2bl w:val="nil"/>
                  </w:tcBorders>
                  <w:noWrap w:val="0"/>
                  <w:vAlign w:val="center"/>
                </w:tcPr>
                <w:p w14:paraId="404F8E10">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16t炉</w:t>
                  </w:r>
                </w:p>
              </w:tc>
              <w:tc>
                <w:tcPr>
                  <w:tcW w:w="2451" w:type="dxa"/>
                  <w:tcBorders>
                    <w:tl2br w:val="nil"/>
                    <w:tr2bl w:val="nil"/>
                  </w:tcBorders>
                  <w:noWrap w:val="0"/>
                  <w:vAlign w:val="center"/>
                </w:tcPr>
                <w:p w14:paraId="61213E8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1475</w:t>
                  </w:r>
                </w:p>
              </w:tc>
              <w:tc>
                <w:tcPr>
                  <w:tcW w:w="2122" w:type="dxa"/>
                  <w:tcBorders>
                    <w:tl2br w:val="nil"/>
                    <w:tr2bl w:val="nil"/>
                  </w:tcBorders>
                  <w:noWrap w:val="0"/>
                  <w:vAlign w:val="center"/>
                </w:tcPr>
                <w:p w14:paraId="6FFA328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5605</w:t>
                  </w:r>
                </w:p>
              </w:tc>
              <w:tc>
                <w:tcPr>
                  <w:tcW w:w="1675" w:type="dxa"/>
                  <w:tcBorders>
                    <w:tl2br w:val="nil"/>
                    <w:tr2bl w:val="nil"/>
                  </w:tcBorders>
                  <w:noWrap w:val="0"/>
                  <w:vAlign w:val="center"/>
                </w:tcPr>
                <w:p w14:paraId="27FA090A">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7080</w:t>
                  </w:r>
                </w:p>
              </w:tc>
            </w:tr>
          </w:tbl>
          <w:p w14:paraId="12085731">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p>
          <w:p w14:paraId="299AF6E8">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熔炼过程中炉内处于微负压状态，熔炼炉出烟口通过管道密闭负压收集，采用气动压紧装置密闭炉门，熔炼炉处于全密闭状态，因此闭炉状态下，本评价收集效率按100%计。</w:t>
            </w:r>
          </w:p>
          <w:p w14:paraId="2E2C8701">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在熔炼设备炉口上方均设半密闭式集气罩，三面封闭、一面敞开，以利于形成局部负压状态，当炉门打开时，外溢的废气经炉门口大尺寸集气罩收集，通过环境集烟系统进入废气主管道，最终进入除尘系统处理。炉门打开时，熔炼废气85%通过炉顶出烟口进入管道，15%从炉门口逸散，通过PLC系统控制，根据炉门开启情况自动控制炉口集气装置除尘风量，对逸散的废气进行收集，炉门口集气装置废气捕集效率按90%计。</w:t>
            </w:r>
          </w:p>
          <w:p w14:paraId="1C66858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auto"/>
                <w:kern w:val="0"/>
                <w:sz w:val="26"/>
                <w:szCs w:val="26"/>
                <w:lang w:val="en-US" w:eastAsia="zh-CN"/>
              </w:rPr>
            </w:pPr>
          </w:p>
          <w:p w14:paraId="16BA4B54">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drawing>
                <wp:inline distT="0" distB="0" distL="114300" distR="114300">
                  <wp:extent cx="3886200" cy="3430905"/>
                  <wp:effectExtent l="9525" t="9525" r="9525" b="26670"/>
                  <wp:docPr id="1" name="图片 174" descr="5da2062eaedc0e48cc9cc20e20953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4" descr="5da2062eaedc0e48cc9cc20e2095320f"/>
                          <pic:cNvPicPr>
                            <a:picLocks noChangeAspect="1"/>
                          </pic:cNvPicPr>
                        </pic:nvPicPr>
                        <pic:blipFill>
                          <a:blip r:embed="rId25"/>
                          <a:srcRect l="18896" t="8206" r="28438" b="29779"/>
                          <a:stretch>
                            <a:fillRect/>
                          </a:stretch>
                        </pic:blipFill>
                        <pic:spPr>
                          <a:xfrm>
                            <a:off x="0" y="0"/>
                            <a:ext cx="3886200" cy="343090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727E23F5">
            <w:pPr>
              <w:autoSpaceDE w:val="0"/>
              <w:autoSpaceDN w:val="0"/>
              <w:adjustRightInd w:val="0"/>
              <w:spacing w:line="460" w:lineRule="exact"/>
              <w:jc w:val="center"/>
              <w:rPr>
                <w:rFonts w:hint="default"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炉门集气罩设施示意图</w:t>
            </w:r>
          </w:p>
          <w:p w14:paraId="5E96B832">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r>
              <w:rPr>
                <w:rFonts w:hint="eastAsia" w:ascii="Times New Roman" w:hAnsi="Calibri" w:eastAsia="宋体" w:cs="Times New Roman"/>
                <w:color w:val="auto"/>
                <w:sz w:val="26"/>
                <w:szCs w:val="26"/>
                <w:highlight w:val="none"/>
                <w:lang w:val="en-US" w:eastAsia="zh-CN"/>
              </w:rPr>
              <w:t>2</w:t>
            </w:r>
            <w:r>
              <w:rPr>
                <w:rFonts w:hint="eastAsia" w:ascii="Times New Roman" w:hAnsi="Times New Roman" w:eastAsia="宋体" w:cs="Times New Roman"/>
                <w:color w:val="auto"/>
                <w:kern w:val="0"/>
                <w:sz w:val="26"/>
                <w:szCs w:val="26"/>
                <w:lang w:val="en-US" w:eastAsia="zh-CN"/>
              </w:rPr>
              <w:t>）风量</w:t>
            </w:r>
          </w:p>
          <w:p w14:paraId="4D0E8319">
            <w:pPr>
              <w:autoSpaceDE w:val="0"/>
              <w:autoSpaceDN w:val="0"/>
              <w:adjustRightInd w:val="0"/>
              <w:spacing w:line="460" w:lineRule="exact"/>
              <w:ind w:firstLine="520" w:firstLineChars="200"/>
              <w:jc w:val="left"/>
              <w:rPr>
                <w:rFonts w:hint="default"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2台25t熔炼炉和1台16t熔炼炉废气一并收集至1#“旋风+布袋除尘器”处理后，依托现有21m高DA002排气筒排放，具体风量核算如下：</w:t>
            </w:r>
          </w:p>
          <w:p w14:paraId="681BC1EE">
            <w:pPr>
              <w:autoSpaceDE w:val="0"/>
              <w:autoSpaceDN w:val="0"/>
              <w:adjustRightInd w:val="0"/>
              <w:spacing w:line="460" w:lineRule="exact"/>
              <w:ind w:firstLine="522" w:firstLineChars="200"/>
              <w:jc w:val="left"/>
              <w:rPr>
                <w:rFonts w:hint="eastAsia"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lang w:val="en-US" w:eastAsia="zh-CN"/>
              </w:rPr>
              <w:t>开炉状态下：</w:t>
            </w:r>
          </w:p>
          <w:p w14:paraId="099DA1D2">
            <w:pPr>
              <w:autoSpaceDE w:val="0"/>
              <w:autoSpaceDN w:val="0"/>
              <w:adjustRightInd w:val="0"/>
              <w:spacing w:line="460" w:lineRule="exact"/>
              <w:ind w:firstLine="520" w:firstLineChars="200"/>
              <w:jc w:val="left"/>
              <w:rPr>
                <w:rFonts w:hint="default"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①25t熔炼炉炉口集尘罩端面有效尺寸设计为1200mm</w:t>
            </w:r>
            <w:r>
              <w:rPr>
                <w:rFonts w:hint="default" w:ascii="Times New Roman" w:hAnsi="Times New Roman" w:eastAsia="宋体" w:cs="Times New Roman"/>
                <w:color w:val="auto"/>
                <w:kern w:val="0"/>
                <w:sz w:val="26"/>
                <w:szCs w:val="26"/>
                <w:lang w:val="en-US" w:eastAsia="zh-CN"/>
              </w:rPr>
              <w:t>×</w:t>
            </w:r>
            <w:r>
              <w:rPr>
                <w:rFonts w:hint="eastAsia" w:ascii="Times New Roman" w:hAnsi="Times New Roman" w:eastAsia="宋体" w:cs="Times New Roman"/>
                <w:color w:val="auto"/>
                <w:kern w:val="0"/>
                <w:sz w:val="26"/>
                <w:szCs w:val="26"/>
                <w:lang w:val="en-US" w:eastAsia="zh-CN"/>
              </w:rPr>
              <w:t>4000mm，主要是在加料、扒渣及取样分析等开炉状态下产生的烟气，设计除尘风量在集尘罩端面产生的风速应不低于0.8m/s，即每台25t炉除尘风量为：烟罩尺寸×烟气上升风速×时间=4.0×1.2×0.8×3600＝13824m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/h，按13900m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/h计。</w:t>
            </w:r>
          </w:p>
          <w:p w14:paraId="6255A2DD">
            <w:pPr>
              <w:autoSpaceDE w:val="0"/>
              <w:autoSpaceDN w:val="0"/>
              <w:adjustRightInd w:val="0"/>
              <w:spacing w:line="460" w:lineRule="exact"/>
              <w:ind w:firstLine="520" w:firstLineChars="200"/>
              <w:jc w:val="left"/>
              <w:rPr>
                <w:rFonts w:hint="default"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②16t熔炼炉炉口集尘罩端面有效尺寸设计为1200mm</w:t>
            </w:r>
            <w:r>
              <w:rPr>
                <w:rFonts w:hint="default" w:ascii="Times New Roman" w:hAnsi="Times New Roman" w:eastAsia="宋体" w:cs="Times New Roman"/>
                <w:color w:val="auto"/>
                <w:kern w:val="0"/>
                <w:sz w:val="26"/>
                <w:szCs w:val="26"/>
                <w:lang w:val="en-US" w:eastAsia="zh-CN"/>
              </w:rPr>
              <w:t>×</w:t>
            </w:r>
            <w:r>
              <w:rPr>
                <w:rFonts w:hint="eastAsia" w:ascii="Times New Roman" w:hAnsi="Times New Roman" w:eastAsia="宋体" w:cs="Times New Roman"/>
                <w:color w:val="auto"/>
                <w:kern w:val="0"/>
                <w:sz w:val="26"/>
                <w:szCs w:val="26"/>
                <w:lang w:val="en-US" w:eastAsia="zh-CN"/>
              </w:rPr>
              <w:t>4000mm，主要是在加料、扒渣及取样分析等开炉状态下产生的烟气，设计除尘风量在集尘罩端面产生的风速应不低于0.8m/s，即除尘风量为：烟罩尺寸×烟气上升风速×时间=4.0×1.2×0.8×3600＝13824m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/h，按13900m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/h计。</w:t>
            </w:r>
          </w:p>
          <w:p w14:paraId="4F3A37D0">
            <w:pPr>
              <w:autoSpaceDE w:val="0"/>
              <w:autoSpaceDN w:val="0"/>
              <w:adjustRightInd w:val="0"/>
              <w:spacing w:line="460" w:lineRule="exact"/>
              <w:ind w:firstLine="522" w:firstLineChars="200"/>
              <w:jc w:val="left"/>
              <w:rPr>
                <w:rFonts w:hint="eastAsia"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lang w:val="en-US" w:eastAsia="zh-CN"/>
              </w:rPr>
              <w:t>闭炉状态下：</w:t>
            </w:r>
          </w:p>
          <w:p w14:paraId="38058B6E">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根据《排放源统计调查产排污核算方法和系数手册》（2021年）中3240 有色金属合金制造行业，以“结晶硅+铝锭”为原料，反射炉类型产污系数为：烟气量8300Nm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/t-产品，以“金属镁+铝锭”为原料，反射炉类型产污系数为：烟气量8250Nm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/t-产品。</w:t>
            </w:r>
          </w:p>
          <w:p w14:paraId="417EA757">
            <w:pPr>
              <w:keepNext w:val="0"/>
              <w:keepLines w:val="0"/>
              <w:pageBreakBefore w:val="0"/>
              <w:widowControl w:val="0"/>
              <w:kinsoku/>
              <w:wordWrap w:val="0"/>
              <w:overflowPunct/>
              <w:topLinePunct w:val="0"/>
              <w:autoSpaceDE w:val="0"/>
              <w:autoSpaceDN w:val="0"/>
              <w:bidi w:val="0"/>
              <w:adjustRightInd w:val="0"/>
              <w:snapToGrid/>
              <w:spacing w:line="460" w:lineRule="exact"/>
              <w:ind w:firstLine="520" w:firstLineChars="200"/>
              <w:jc w:val="left"/>
              <w:textAlignment w:val="auto"/>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本项目2台25t炉及16t炉为反射炉，均涉及“结晶硅+铝锭”、“金属镁+铝锭”，烟气量按8300Nm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/t-产品计，单台25t炉产品量为17650t/a，烟气产生量为14649.5万Nm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/a（29559Nm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/h），按30000m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/h计；16t炉产品量为18700t/a，烟气产生量为15521万Nm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/a（21922Nm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/h），按22000m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/h计。</w:t>
            </w:r>
          </w:p>
          <w:p w14:paraId="54D88C26">
            <w:pPr>
              <w:autoSpaceDE w:val="0"/>
              <w:autoSpaceDN w:val="0"/>
              <w:adjustRightInd w:val="0"/>
              <w:spacing w:line="460" w:lineRule="exact"/>
              <w:ind w:firstLine="520" w:firstLineChars="200"/>
              <w:jc w:val="left"/>
              <w:rPr>
                <w:rFonts w:hint="default"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综上，开炉状态下2台25t熔炼炉和1台16t熔炼炉熔炼废气合计最大废气量为41700m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/h，闭炉状态下合计最大废气量为82000m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/h。</w:t>
            </w:r>
          </w:p>
          <w:p w14:paraId="356A94C9">
            <w:pPr>
              <w:autoSpaceDE w:val="0"/>
              <w:autoSpaceDN w:val="0"/>
              <w:adjustRightInd w:val="0"/>
              <w:spacing w:line="460" w:lineRule="exact"/>
              <w:ind w:firstLine="520" w:firstLineChars="200"/>
              <w:jc w:val="left"/>
              <w:rPr>
                <w:rFonts w:hint="default"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3）废气各污染物产生情况</w:t>
            </w:r>
          </w:p>
          <w:p w14:paraId="26BE56D1">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根据《污染源源强核算技术指南 准则》(HJ884-2018)，污染源源强核算可采用实测法、物料衡算法、产污系数法、排污系数法、类比法、实验法等方法，本评价颗粒物、氮氧化物、二氧化硫采用产污系数法进行核算，氯化氢及氟化物采用类比法及物料衡算法进行核算。</w:t>
            </w:r>
          </w:p>
          <w:p w14:paraId="16BFB610">
            <w:pPr>
              <w:autoSpaceDE w:val="0"/>
              <w:autoSpaceDN w:val="0"/>
              <w:adjustRightInd w:val="0"/>
              <w:spacing w:line="460" w:lineRule="exact"/>
              <w:ind w:firstLine="520" w:firstLineChars="200"/>
              <w:jc w:val="left"/>
              <w:rPr>
                <w:rFonts w:hint="default" w:ascii="Times New Roman" w:hAnsi="Times New Roman" w:eastAsia="宋体" w:cs="Times New Roman"/>
                <w:color w:val="auto"/>
                <w:kern w:val="0"/>
                <w:sz w:val="26"/>
                <w:szCs w:val="26"/>
                <w:lang w:val="en-US" w:eastAsia="zh-CN"/>
              </w:rPr>
            </w:pPr>
            <w:r>
              <w:rPr>
                <w:rFonts w:hint="default" w:ascii="Times New Roman" w:hAnsi="Times New Roman" w:eastAsia="宋体" w:cs="Times New Roman"/>
                <w:color w:val="auto"/>
                <w:kern w:val="0"/>
                <w:sz w:val="26"/>
                <w:szCs w:val="26"/>
                <w:lang w:val="en-US" w:eastAsia="zh-CN"/>
              </w:rPr>
              <w:fldChar w:fldCharType="begin"/>
            </w:r>
            <w:r>
              <w:rPr>
                <w:rFonts w:hint="default" w:ascii="Times New Roman" w:hAnsi="Times New Roman" w:eastAsia="宋体" w:cs="Times New Roman"/>
                <w:color w:val="auto"/>
                <w:kern w:val="0"/>
                <w:sz w:val="26"/>
                <w:szCs w:val="26"/>
                <w:lang w:val="en-US" w:eastAsia="zh-CN"/>
              </w:rPr>
              <w:instrText xml:space="preserve"> = 1 \* GB3 \* MERGEFORMAT </w:instrText>
            </w:r>
            <w:r>
              <w:rPr>
                <w:rFonts w:hint="default" w:ascii="Times New Roman" w:hAnsi="Times New Roman" w:eastAsia="宋体" w:cs="Times New Roman"/>
                <w:color w:val="auto"/>
                <w:kern w:val="0"/>
                <w:sz w:val="26"/>
                <w:szCs w:val="26"/>
                <w:lang w:val="en-US" w:eastAsia="zh-CN"/>
              </w:rPr>
              <w:fldChar w:fldCharType="separate"/>
            </w:r>
            <w:r>
              <w:rPr>
                <w:rFonts w:hint="default" w:ascii="Times New Roman" w:hAnsi="Times New Roman" w:cs="Times New Roman"/>
                <w:color w:val="auto"/>
                <w:sz w:val="26"/>
                <w:szCs w:val="26"/>
              </w:rPr>
              <w:t>①</w:t>
            </w:r>
            <w:r>
              <w:rPr>
                <w:rFonts w:hint="default" w:ascii="Times New Roman" w:hAnsi="Times New Roman" w:eastAsia="宋体" w:cs="Times New Roman"/>
                <w:color w:val="auto"/>
                <w:kern w:val="0"/>
                <w:sz w:val="26"/>
                <w:szCs w:val="26"/>
                <w:lang w:val="en-US" w:eastAsia="zh-CN"/>
              </w:rPr>
              <w:fldChar w:fldCharType="end"/>
            </w:r>
            <w:r>
              <w:rPr>
                <w:rFonts w:hint="default" w:ascii="Times New Roman" w:hAnsi="Times New Roman" w:eastAsia="宋体" w:cs="Times New Roman"/>
                <w:color w:val="auto"/>
                <w:kern w:val="0"/>
                <w:sz w:val="26"/>
                <w:szCs w:val="26"/>
                <w:lang w:val="en-US" w:eastAsia="zh-CN"/>
              </w:rPr>
              <w:t>颗粒物</w:t>
            </w:r>
          </w:p>
          <w:p w14:paraId="53BA5C5B">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根据前述《手册》产污系数进行源强核算：以“结晶硅+铝锭”为原料，反射炉类型产污系数为：颗粒物5.78kg/t-产品，以“金属镁+铝锭”为原料，反射炉类型产污系数为：颗粒物6.67kg/t-产品。</w:t>
            </w:r>
          </w:p>
          <w:p w14:paraId="0DD896B0">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本项目3台熔炼炉均为反射炉，均涉及“结晶硅+铝锭”、“金属镁+铝锭”，因此本次评价颗粒物产污系数按6.67kg/t-产品计，则1#25t炉产品量为17650t/a，颗粒物产生量为117.73t/a，2#25t炉产品量为17650t/a，颗粒物产生量为117.73t/a；16t炉产品量为18700t/a，颗粒物产生量为124.73t/a。</w:t>
            </w:r>
          </w:p>
          <w:p w14:paraId="5EC429D9">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根据《排放源统计调查产排污核算方法和系数手册》（2021年），以“结晶硅+铝锭”、“金属镁+铝锭”为原料，反射炉末端治理袋式除尘效率98%，重力沉降除尘效率50%，同时参照《排污许可证申请与核发技术规范 金属铸造工业》（HJ1115-2020），燃气炉颗粒物布袋除尘效率可达99%以上，因此本项目“旋风+布袋除尘”对颗粒物的去除效率取99%。</w:t>
            </w:r>
          </w:p>
          <w:p w14:paraId="5D74405D">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加料和扒渣时段打开炉门，由于烟气受扰动，起尘速率相对较大，加料和扒渣时段颗粒物起尘平均速率按闭炉过程中颗粒物平均产生速率的1.5倍左右计。</w:t>
            </w:r>
          </w:p>
          <w:p w14:paraId="0AEDAFC2">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本项目3台炉子独立作业，因此独立核算：</w:t>
            </w:r>
          </w:p>
          <w:p w14:paraId="60E0FAD0">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A、1#25t炉加料、扒渣、取样分析时段颗粒物有组织最大产生速率为36.87kg/h，产生量为15.89t/a；熔炼其他时段颗粒物有组织最大产生速率为24.58kg/h，产生量为100t/a；</w:t>
            </w:r>
          </w:p>
          <w:p w14:paraId="3E8E4C03">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B、2#25t炉加料、扒渣、取样分析时段颗粒物有组织最大产生速率为36.87kg/h，产生量为15.89t/a；熔炼其他时段颗粒物有组织最大产生速率为24.58kg/h，产生量为100t/a；</w:t>
            </w:r>
          </w:p>
          <w:p w14:paraId="71821FC5">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C、16t炉加料、扒渣、取样分析时段颗粒物有组织最大产生速率为28.37kg/h，产生量为16.84t/a；熔炼其他时段颗粒物有组织最大产生速率为18.92kg/h，产生量为106t/a。</w:t>
            </w:r>
          </w:p>
          <w:p w14:paraId="5BE75318">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加料、扒渣及取样分析时炉门开启有部分炉气外溢，根据前述分析，废气收集效率按90%计，未收集废气按10%计，则炉门开启时颗粒物无组织排放量为：1#25t炉1.77t/a，2#25t炉1.77t/a，16t炉1.87t/a。</w:t>
            </w:r>
          </w:p>
          <w:p w14:paraId="00DF5E4D">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fldChar w:fldCharType="begin"/>
            </w:r>
            <w:r>
              <w:rPr>
                <w:rFonts w:hint="eastAsia" w:ascii="Times New Roman" w:hAnsi="Times New Roman" w:eastAsia="宋体" w:cs="Times New Roman"/>
                <w:color w:val="auto"/>
                <w:kern w:val="0"/>
                <w:sz w:val="26"/>
                <w:szCs w:val="26"/>
                <w:lang w:val="en-US" w:eastAsia="zh-CN"/>
              </w:rPr>
              <w:instrText xml:space="preserve"> = 2 \* GB3 \* MERGEFORMAT </w:instrText>
            </w:r>
            <w:r>
              <w:rPr>
                <w:rFonts w:hint="eastAsia" w:ascii="Times New Roman" w:hAnsi="Times New Roman" w:eastAsia="宋体" w:cs="Times New Roman"/>
                <w:color w:val="auto"/>
                <w:kern w:val="0"/>
                <w:sz w:val="26"/>
                <w:szCs w:val="26"/>
                <w:lang w:val="en-US" w:eastAsia="zh-CN"/>
              </w:rPr>
              <w:fldChar w:fldCharType="separate"/>
            </w:r>
            <w:r>
              <w:rPr>
                <w:color w:val="auto"/>
                <w:sz w:val="26"/>
                <w:szCs w:val="26"/>
              </w:rPr>
              <w:t>②</w:t>
            </w:r>
            <w:r>
              <w:rPr>
                <w:rFonts w:hint="eastAsia" w:ascii="Times New Roman" w:hAnsi="Times New Roman" w:eastAsia="宋体" w:cs="Times New Roman"/>
                <w:color w:val="auto"/>
                <w:kern w:val="0"/>
                <w:sz w:val="26"/>
                <w:szCs w:val="26"/>
                <w:lang w:val="en-US" w:eastAsia="zh-CN"/>
              </w:rPr>
              <w:fldChar w:fldCharType="end"/>
            </w:r>
            <w:r>
              <w:rPr>
                <w:rFonts w:hint="eastAsia" w:ascii="Times New Roman" w:hAnsi="Times New Roman" w:eastAsia="宋体" w:cs="Times New Roman"/>
                <w:color w:val="auto"/>
                <w:kern w:val="0"/>
                <w:sz w:val="26"/>
                <w:szCs w:val="26"/>
                <w:lang w:val="en-US" w:eastAsia="zh-CN"/>
              </w:rPr>
              <w:t>氮氧化物</w:t>
            </w:r>
          </w:p>
          <w:p w14:paraId="14759B7A">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根据前述《手册》产污系数进行源强核算：以“结晶硅+铝锭”为原料，反射炉类型产污系数为：氮氧化物0.19kg/t-产品，以“金属镁+铝锭”为原料，反射炉类型产污系数为：氮氧化物0.21kg/t-产品。</w:t>
            </w:r>
          </w:p>
          <w:p w14:paraId="4E3A1357">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本项目2台25t炉及16t炉为反射炉，均涉及“结晶硅+铝锭”、“金属镁+铝锭”，因此本次评价氮氧化物产污系数按0.21kg/t-产品计，则1#25t炉氮氧化物产生量为3.7t/a，2#25t炉氮氧化物产生量为3.7t/a；16t炉氮氧化物产生量为3.9t/a。</w:t>
            </w:r>
          </w:p>
          <w:p w14:paraId="6A115810">
            <w:pPr>
              <w:autoSpaceDE w:val="0"/>
              <w:autoSpaceDN w:val="0"/>
              <w:adjustRightInd w:val="0"/>
              <w:spacing w:line="460" w:lineRule="exact"/>
              <w:ind w:firstLine="520" w:firstLineChars="200"/>
              <w:jc w:val="left"/>
              <w:rPr>
                <w:rFonts w:ascii="Times New Roman" w:hAnsi="Times New Roman" w:eastAsia="宋体" w:cs="Times New Roman"/>
                <w:color w:val="auto"/>
                <w:kern w:val="0"/>
                <w:sz w:val="26"/>
                <w:szCs w:val="26"/>
                <w:vertAlign w:val="subscript"/>
              </w:rPr>
            </w:pPr>
            <w:r>
              <w:rPr>
                <w:rFonts w:hint="eastAsia" w:ascii="Times New Roman" w:hAnsi="Times New Roman" w:eastAsia="宋体" w:cs="Times New Roman"/>
                <w:color w:val="auto"/>
                <w:kern w:val="0"/>
                <w:sz w:val="26"/>
                <w:szCs w:val="26"/>
                <w:lang w:val="en-US" w:eastAsia="zh-CN"/>
              </w:rPr>
              <w:fldChar w:fldCharType="begin"/>
            </w:r>
            <w:r>
              <w:rPr>
                <w:rFonts w:hint="eastAsia" w:ascii="Times New Roman" w:hAnsi="Times New Roman" w:eastAsia="宋体" w:cs="Times New Roman"/>
                <w:color w:val="auto"/>
                <w:kern w:val="0"/>
                <w:sz w:val="26"/>
                <w:szCs w:val="26"/>
                <w:lang w:val="en-US" w:eastAsia="zh-CN"/>
              </w:rPr>
              <w:instrText xml:space="preserve"> = 3 \* GB3 \* MERGEFORMAT </w:instrText>
            </w:r>
            <w:r>
              <w:rPr>
                <w:rFonts w:hint="eastAsia" w:ascii="Times New Roman" w:hAnsi="Times New Roman" w:eastAsia="宋体" w:cs="Times New Roman"/>
                <w:color w:val="auto"/>
                <w:kern w:val="0"/>
                <w:sz w:val="26"/>
                <w:szCs w:val="26"/>
                <w:lang w:val="en-US" w:eastAsia="zh-CN"/>
              </w:rPr>
              <w:fldChar w:fldCharType="separate"/>
            </w:r>
            <w:r>
              <w:rPr>
                <w:color w:val="auto"/>
                <w:sz w:val="26"/>
                <w:szCs w:val="26"/>
              </w:rPr>
              <w:t>③</w:t>
            </w:r>
            <w:r>
              <w:rPr>
                <w:rFonts w:hint="eastAsia" w:ascii="Times New Roman" w:hAnsi="Times New Roman" w:eastAsia="宋体" w:cs="Times New Roman"/>
                <w:color w:val="auto"/>
                <w:kern w:val="0"/>
                <w:sz w:val="26"/>
                <w:szCs w:val="26"/>
                <w:lang w:val="en-US" w:eastAsia="zh-CN"/>
              </w:rPr>
              <w:fldChar w:fldCharType="end"/>
            </w:r>
            <w:r>
              <w:rPr>
                <w:rFonts w:ascii="Times New Roman" w:hAnsi="Times New Roman" w:eastAsia="宋体" w:cs="Times New Roman"/>
                <w:color w:val="auto"/>
                <w:kern w:val="0"/>
                <w:sz w:val="26"/>
                <w:szCs w:val="26"/>
              </w:rPr>
              <w:t>SO</w:t>
            </w:r>
            <w:r>
              <w:rPr>
                <w:rFonts w:ascii="Times New Roman" w:hAnsi="Times New Roman" w:eastAsia="宋体" w:cs="Times New Roman"/>
                <w:color w:val="auto"/>
                <w:kern w:val="0"/>
                <w:sz w:val="26"/>
                <w:szCs w:val="26"/>
                <w:vertAlign w:val="subscript"/>
              </w:rPr>
              <w:t>2</w:t>
            </w:r>
          </w:p>
          <w:p w14:paraId="4DC270BA">
            <w:pPr>
              <w:autoSpaceDE w:val="0"/>
              <w:autoSpaceDN w:val="0"/>
              <w:adjustRightInd w:val="0"/>
              <w:spacing w:line="460" w:lineRule="exact"/>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熔炼炉采用天然气为燃料，根据业主提供资料，</w:t>
            </w:r>
            <w:r>
              <w:rPr>
                <w:rFonts w:hint="eastAsia" w:ascii="Times New Roman" w:hAnsi="Times New Roman" w:eastAsia="宋体" w:cs="Times New Roman"/>
                <w:color w:val="auto"/>
                <w:kern w:val="0"/>
                <w:sz w:val="26"/>
                <w:szCs w:val="26"/>
                <w:lang w:val="en-US" w:eastAsia="zh-CN"/>
              </w:rPr>
              <w:t>1吨产品约消耗80m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天然气，则1#25t熔炼炉和2#25t熔炼炉天然气耗量均为141.2万m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/a，16t熔炼炉天然气耗量为149.6万m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/a</w:t>
            </w:r>
            <w:r>
              <w:rPr>
                <w:rFonts w:ascii="Times New Roman" w:hAnsi="Times New Roman" w:eastAsia="宋体" w:cs="Times New Roman"/>
                <w:color w:val="auto"/>
                <w:kern w:val="0"/>
                <w:sz w:val="26"/>
                <w:szCs w:val="26"/>
              </w:rPr>
              <w:t>，则</w:t>
            </w:r>
            <w:r>
              <w:rPr>
                <w:rFonts w:hint="eastAsia" w:ascii="Times New Roman" w:hAnsi="Times New Roman" w:eastAsia="宋体" w:cs="Times New Roman"/>
                <w:color w:val="auto"/>
                <w:kern w:val="0"/>
                <w:sz w:val="26"/>
                <w:szCs w:val="26"/>
                <w:lang w:val="en-US" w:eastAsia="zh-CN"/>
              </w:rPr>
              <w:t>总</w:t>
            </w:r>
            <w:r>
              <w:rPr>
                <w:rFonts w:ascii="Times New Roman" w:hAnsi="Times New Roman" w:eastAsia="宋体" w:cs="Times New Roman"/>
                <w:color w:val="auto"/>
                <w:kern w:val="0"/>
                <w:sz w:val="26"/>
                <w:szCs w:val="26"/>
              </w:rPr>
              <w:t>用气量为</w:t>
            </w:r>
            <w:r>
              <w:rPr>
                <w:rFonts w:hint="eastAsia" w:ascii="Times New Roman" w:hAnsi="Times New Roman" w:eastAsia="宋体" w:cs="Times New Roman"/>
                <w:color w:val="auto"/>
                <w:kern w:val="0"/>
                <w:sz w:val="26"/>
                <w:szCs w:val="26"/>
                <w:lang w:val="en-US" w:eastAsia="zh-CN"/>
              </w:rPr>
              <w:t>432</w:t>
            </w:r>
            <w:r>
              <w:rPr>
                <w:rFonts w:ascii="Times New Roman" w:hAnsi="Times New Roman" w:eastAsia="宋体" w:cs="Times New Roman"/>
                <w:color w:val="auto"/>
                <w:kern w:val="0"/>
                <w:sz w:val="26"/>
                <w:szCs w:val="26"/>
              </w:rPr>
              <w:t>万m</w:t>
            </w:r>
            <w:r>
              <w:rPr>
                <w:rFonts w:ascii="Times New Roman" w:hAnsi="Times New Roman" w:eastAsia="宋体" w:cs="Times New Roman"/>
                <w:color w:val="auto"/>
                <w:kern w:val="0"/>
                <w:sz w:val="26"/>
                <w:szCs w:val="26"/>
                <w:vertAlign w:val="superscript"/>
              </w:rPr>
              <w:t>3</w:t>
            </w:r>
            <w:r>
              <w:rPr>
                <w:rFonts w:ascii="Times New Roman" w:hAnsi="Times New Roman" w:eastAsia="宋体" w:cs="Times New Roman"/>
                <w:color w:val="auto"/>
                <w:kern w:val="0"/>
                <w:sz w:val="26"/>
                <w:szCs w:val="26"/>
              </w:rPr>
              <w:t>/a。本项目所用天然气为二类，根据《天然气》（GB17820-201</w:t>
            </w:r>
            <w:r>
              <w:rPr>
                <w:rFonts w:hint="eastAsia" w:ascii="Times New Roman" w:hAnsi="Times New Roman" w:eastAsia="宋体" w:cs="Times New Roman"/>
                <w:color w:val="auto"/>
                <w:kern w:val="0"/>
                <w:sz w:val="26"/>
                <w:szCs w:val="26"/>
                <w:lang w:val="en-US" w:eastAsia="zh-CN"/>
              </w:rPr>
              <w:t>8</w:t>
            </w:r>
            <w:r>
              <w:rPr>
                <w:rFonts w:ascii="Times New Roman" w:hAnsi="Times New Roman" w:eastAsia="宋体" w:cs="Times New Roman"/>
                <w:color w:val="auto"/>
                <w:kern w:val="0"/>
                <w:sz w:val="26"/>
                <w:szCs w:val="26"/>
              </w:rPr>
              <w:t>），二类天然气总硫含量≤</w:t>
            </w:r>
            <w:r>
              <w:rPr>
                <w:rFonts w:hint="eastAsia" w:ascii="Times New Roman" w:hAnsi="Times New Roman" w:eastAsia="宋体" w:cs="Times New Roman"/>
                <w:color w:val="auto"/>
                <w:kern w:val="0"/>
                <w:sz w:val="26"/>
                <w:szCs w:val="26"/>
                <w:lang w:val="en-US" w:eastAsia="zh-CN"/>
              </w:rPr>
              <w:t>1</w:t>
            </w:r>
            <w:r>
              <w:rPr>
                <w:rFonts w:ascii="Times New Roman" w:hAnsi="Times New Roman" w:eastAsia="宋体" w:cs="Times New Roman"/>
                <w:color w:val="auto"/>
                <w:kern w:val="0"/>
                <w:sz w:val="26"/>
                <w:szCs w:val="26"/>
              </w:rPr>
              <w:t>00mg/m</w:t>
            </w:r>
            <w:r>
              <w:rPr>
                <w:rFonts w:ascii="Times New Roman" w:hAnsi="Times New Roman" w:eastAsia="宋体" w:cs="Times New Roman"/>
                <w:color w:val="auto"/>
                <w:kern w:val="0"/>
                <w:sz w:val="26"/>
                <w:szCs w:val="26"/>
                <w:vertAlign w:val="superscript"/>
              </w:rPr>
              <w:t>3</w:t>
            </w:r>
            <w:r>
              <w:rPr>
                <w:rFonts w:ascii="Times New Roman" w:hAnsi="Times New Roman" w:eastAsia="宋体" w:cs="Times New Roman"/>
                <w:color w:val="auto"/>
                <w:kern w:val="0"/>
                <w:sz w:val="26"/>
                <w:szCs w:val="26"/>
              </w:rPr>
              <w:t>，本次评价</w:t>
            </w:r>
            <w:r>
              <w:rPr>
                <w:rFonts w:hint="eastAsia" w:ascii="Times New Roman" w:hAnsi="Times New Roman" w:eastAsia="宋体" w:cs="Times New Roman"/>
                <w:color w:val="auto"/>
                <w:kern w:val="0"/>
                <w:sz w:val="26"/>
                <w:szCs w:val="26"/>
                <w:lang w:val="en-US" w:eastAsia="zh-CN"/>
              </w:rPr>
              <w:t>SO</w:t>
            </w:r>
            <w:r>
              <w:rPr>
                <w:rFonts w:hint="eastAsia" w:ascii="Times New Roman" w:hAnsi="Times New Roman" w:eastAsia="宋体" w:cs="Times New Roman"/>
                <w:color w:val="auto"/>
                <w:kern w:val="0"/>
                <w:sz w:val="26"/>
                <w:szCs w:val="26"/>
                <w:vertAlign w:val="subscript"/>
                <w:lang w:val="en-US" w:eastAsia="zh-CN"/>
              </w:rPr>
              <w:t>2</w:t>
            </w:r>
            <w:r>
              <w:rPr>
                <w:rFonts w:ascii="Times New Roman" w:hAnsi="Times New Roman" w:eastAsia="宋体" w:cs="Times New Roman"/>
                <w:color w:val="auto"/>
                <w:kern w:val="0"/>
                <w:sz w:val="26"/>
                <w:szCs w:val="26"/>
              </w:rPr>
              <w:t>按最大含量</w:t>
            </w:r>
            <w:r>
              <w:rPr>
                <w:rFonts w:hint="eastAsia" w:ascii="Times New Roman" w:hAnsi="Times New Roman" w:eastAsia="宋体" w:cs="Times New Roman"/>
                <w:color w:val="auto"/>
                <w:kern w:val="0"/>
                <w:sz w:val="26"/>
                <w:szCs w:val="26"/>
                <w:lang w:val="en-US" w:eastAsia="zh-CN"/>
              </w:rPr>
              <w:t>1</w:t>
            </w:r>
            <w:r>
              <w:rPr>
                <w:rFonts w:ascii="Times New Roman" w:hAnsi="Times New Roman" w:eastAsia="宋体" w:cs="Times New Roman"/>
                <w:color w:val="auto"/>
                <w:kern w:val="0"/>
                <w:sz w:val="26"/>
                <w:szCs w:val="26"/>
              </w:rPr>
              <w:t>00mg/m</w:t>
            </w:r>
            <w:r>
              <w:rPr>
                <w:rFonts w:ascii="Times New Roman" w:hAnsi="Times New Roman" w:eastAsia="宋体" w:cs="Times New Roman"/>
                <w:color w:val="auto"/>
                <w:kern w:val="0"/>
                <w:sz w:val="26"/>
                <w:szCs w:val="26"/>
                <w:vertAlign w:val="superscript"/>
              </w:rPr>
              <w:t>3</w:t>
            </w:r>
            <w:r>
              <w:rPr>
                <w:rFonts w:ascii="Times New Roman" w:hAnsi="Times New Roman" w:eastAsia="宋体" w:cs="Times New Roman"/>
                <w:color w:val="auto"/>
                <w:kern w:val="0"/>
                <w:sz w:val="26"/>
                <w:szCs w:val="26"/>
              </w:rPr>
              <w:t>计。</w:t>
            </w:r>
            <w:r>
              <w:rPr>
                <w:rFonts w:hint="eastAsia" w:ascii="Times New Roman" w:hAnsi="Times New Roman" w:eastAsia="宋体" w:cs="Times New Roman"/>
                <w:color w:val="auto"/>
                <w:kern w:val="0"/>
                <w:sz w:val="26"/>
                <w:szCs w:val="26"/>
                <w:lang w:val="en-US" w:eastAsia="zh-CN"/>
              </w:rPr>
              <w:t>参考《排放源统计调查产排污核算方法和系数手册》中“</w:t>
            </w:r>
            <w:r>
              <w:rPr>
                <w:rFonts w:hint="default" w:ascii="Times New Roman" w:hAnsi="Times New Roman" w:eastAsia="宋体" w:cs="Times New Roman"/>
                <w:color w:val="auto"/>
                <w:kern w:val="0"/>
                <w:sz w:val="26"/>
                <w:szCs w:val="26"/>
                <w:lang w:val="en-US" w:eastAsia="zh-CN"/>
              </w:rPr>
              <w:t xml:space="preserve">4430 </w:t>
            </w:r>
            <w:r>
              <w:rPr>
                <w:rFonts w:hint="eastAsia" w:ascii="Times New Roman" w:hAnsi="Times New Roman" w:eastAsia="宋体" w:cs="Times New Roman"/>
                <w:color w:val="auto"/>
                <w:kern w:val="0"/>
                <w:sz w:val="26"/>
                <w:szCs w:val="26"/>
                <w:lang w:val="en-US" w:eastAsia="zh-CN"/>
              </w:rPr>
              <w:t>工业锅炉（热力生产和供应行业）产排污系数表</w:t>
            </w:r>
            <w:r>
              <w:rPr>
                <w:rFonts w:hint="default" w:ascii="Times New Roman" w:hAnsi="Times New Roman" w:eastAsia="宋体" w:cs="Times New Roman"/>
                <w:color w:val="auto"/>
                <w:kern w:val="0"/>
                <w:sz w:val="26"/>
                <w:szCs w:val="26"/>
                <w:lang w:val="en-US" w:eastAsia="zh-CN"/>
              </w:rPr>
              <w:t>-</w:t>
            </w:r>
            <w:r>
              <w:rPr>
                <w:rFonts w:hint="eastAsia" w:ascii="Times New Roman" w:hAnsi="Times New Roman" w:eastAsia="宋体" w:cs="Times New Roman"/>
                <w:color w:val="auto"/>
                <w:kern w:val="0"/>
                <w:sz w:val="26"/>
                <w:szCs w:val="26"/>
                <w:lang w:val="en-US" w:eastAsia="zh-CN"/>
              </w:rPr>
              <w:t>燃气工业锅炉”推荐的室燃炉中天然气燃烧过程污染物产污系数，</w:t>
            </w:r>
            <w:r>
              <w:rPr>
                <w:rFonts w:hint="default" w:ascii="Times New Roman" w:hAnsi="Times New Roman" w:eastAsia="宋体" w:cs="Times New Roman"/>
                <w:color w:val="auto"/>
                <w:kern w:val="0"/>
                <w:sz w:val="26"/>
                <w:szCs w:val="26"/>
                <w:lang w:val="en-US" w:eastAsia="zh-CN"/>
              </w:rPr>
              <w:t>SO</w:t>
            </w:r>
            <w:r>
              <w:rPr>
                <w:rFonts w:hint="default" w:ascii="Times New Roman" w:hAnsi="Times New Roman" w:eastAsia="宋体" w:cs="Times New Roman"/>
                <w:color w:val="auto"/>
                <w:kern w:val="0"/>
                <w:sz w:val="26"/>
                <w:szCs w:val="26"/>
                <w:vertAlign w:val="subscript"/>
                <w:lang w:val="en-US" w:eastAsia="zh-CN"/>
              </w:rPr>
              <w:t>2</w:t>
            </w:r>
            <w:r>
              <w:rPr>
                <w:rFonts w:hint="default" w:ascii="Times New Roman" w:hAnsi="Times New Roman" w:eastAsia="宋体" w:cs="Times New Roman"/>
                <w:color w:val="auto"/>
                <w:kern w:val="0"/>
                <w:sz w:val="26"/>
                <w:szCs w:val="26"/>
                <w:lang w:val="en-US" w:eastAsia="zh-CN"/>
              </w:rPr>
              <w:t>=0.02Skg/</w:t>
            </w:r>
            <w:r>
              <w:rPr>
                <w:rFonts w:hint="eastAsia" w:ascii="Times New Roman" w:hAnsi="Times New Roman" w:eastAsia="宋体" w:cs="Times New Roman"/>
                <w:color w:val="auto"/>
                <w:kern w:val="0"/>
                <w:sz w:val="26"/>
                <w:szCs w:val="26"/>
                <w:lang w:val="en-US" w:eastAsia="zh-CN"/>
              </w:rPr>
              <w:t>万</w:t>
            </w:r>
            <w:r>
              <w:rPr>
                <w:rFonts w:hint="default" w:ascii="Times New Roman" w:hAnsi="Times New Roman" w:eastAsia="宋体" w:cs="Times New Roman"/>
                <w:color w:val="auto"/>
                <w:kern w:val="0"/>
                <w:sz w:val="26"/>
                <w:szCs w:val="26"/>
                <w:lang w:val="en-US" w:eastAsia="zh-CN"/>
              </w:rPr>
              <w:t>m</w:t>
            </w:r>
            <w:r>
              <w:rPr>
                <w:rFonts w:hint="default"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×天然气用量，即1#25t炉SO</w:t>
            </w:r>
            <w:r>
              <w:rPr>
                <w:rFonts w:hint="eastAsia" w:ascii="Times New Roman" w:hAnsi="Times New Roman" w:eastAsia="宋体" w:cs="Times New Roman"/>
                <w:color w:val="auto"/>
                <w:kern w:val="0"/>
                <w:sz w:val="26"/>
                <w:szCs w:val="26"/>
                <w:vertAlign w:val="subscript"/>
                <w:lang w:val="en-US" w:eastAsia="zh-CN"/>
              </w:rPr>
              <w:t>2</w:t>
            </w:r>
            <w:r>
              <w:rPr>
                <w:rFonts w:hint="eastAsia" w:ascii="Times New Roman" w:hAnsi="Times New Roman" w:eastAsia="宋体" w:cs="Times New Roman"/>
                <w:color w:val="auto"/>
                <w:kern w:val="0"/>
                <w:sz w:val="26"/>
                <w:szCs w:val="26"/>
                <w:lang w:val="en-US" w:eastAsia="zh-CN"/>
              </w:rPr>
              <w:t>产生量为0.28t/a，2#25t炉SO</w:t>
            </w:r>
            <w:r>
              <w:rPr>
                <w:rFonts w:hint="eastAsia" w:ascii="Times New Roman" w:hAnsi="Times New Roman" w:eastAsia="宋体" w:cs="Times New Roman"/>
                <w:color w:val="auto"/>
                <w:kern w:val="0"/>
                <w:sz w:val="26"/>
                <w:szCs w:val="26"/>
                <w:vertAlign w:val="subscript"/>
                <w:lang w:val="en-US" w:eastAsia="zh-CN"/>
              </w:rPr>
              <w:t>2</w:t>
            </w:r>
            <w:r>
              <w:rPr>
                <w:rFonts w:hint="eastAsia" w:ascii="Times New Roman" w:hAnsi="Times New Roman" w:eastAsia="宋体" w:cs="Times New Roman"/>
                <w:color w:val="auto"/>
                <w:kern w:val="0"/>
                <w:sz w:val="26"/>
                <w:szCs w:val="26"/>
                <w:lang w:val="en-US" w:eastAsia="zh-CN"/>
              </w:rPr>
              <w:t>产生量为0.28t/a，16t炉SO</w:t>
            </w:r>
            <w:r>
              <w:rPr>
                <w:rFonts w:hint="eastAsia" w:ascii="Times New Roman" w:hAnsi="Times New Roman" w:eastAsia="宋体" w:cs="Times New Roman"/>
                <w:color w:val="auto"/>
                <w:kern w:val="0"/>
                <w:sz w:val="26"/>
                <w:szCs w:val="26"/>
                <w:vertAlign w:val="subscript"/>
                <w:lang w:val="en-US" w:eastAsia="zh-CN"/>
              </w:rPr>
              <w:t>2</w:t>
            </w:r>
            <w:r>
              <w:rPr>
                <w:rFonts w:hint="eastAsia" w:ascii="Times New Roman" w:hAnsi="Times New Roman" w:eastAsia="宋体" w:cs="Times New Roman"/>
                <w:color w:val="auto"/>
                <w:kern w:val="0"/>
                <w:sz w:val="26"/>
                <w:szCs w:val="26"/>
                <w:lang w:val="en-US" w:eastAsia="zh-CN"/>
              </w:rPr>
              <w:t>产生量为0.3t/a。</w:t>
            </w:r>
          </w:p>
          <w:p w14:paraId="65D7972B">
            <w:pPr>
              <w:autoSpaceDE w:val="0"/>
              <w:autoSpaceDN w:val="0"/>
              <w:adjustRightInd w:val="0"/>
              <w:spacing w:line="460" w:lineRule="exact"/>
              <w:ind w:firstLine="520" w:firstLineChars="200"/>
              <w:jc w:val="left"/>
              <w:rPr>
                <w:rFonts w:ascii="Times New Roman" w:hAnsi="Times New Roman" w:eastAsia="宋体" w:cs="Times New Roman"/>
                <w:color w:val="auto"/>
                <w:kern w:val="0"/>
                <w:sz w:val="26"/>
                <w:szCs w:val="26"/>
              </w:rPr>
            </w:pPr>
            <w:r>
              <w:rPr>
                <w:rFonts w:hint="eastAsia" w:ascii="Times New Roman" w:hAnsi="Times New Roman" w:eastAsia="宋体" w:cs="Times New Roman"/>
                <w:color w:val="auto"/>
                <w:kern w:val="0"/>
                <w:sz w:val="26"/>
                <w:szCs w:val="26"/>
                <w:lang w:val="en-US" w:eastAsia="zh-CN"/>
              </w:rPr>
              <w:fldChar w:fldCharType="begin"/>
            </w:r>
            <w:r>
              <w:rPr>
                <w:rFonts w:hint="eastAsia" w:ascii="Times New Roman" w:hAnsi="Times New Roman" w:eastAsia="宋体" w:cs="Times New Roman"/>
                <w:color w:val="auto"/>
                <w:kern w:val="0"/>
                <w:sz w:val="26"/>
                <w:szCs w:val="26"/>
                <w:lang w:val="en-US" w:eastAsia="zh-CN"/>
              </w:rPr>
              <w:instrText xml:space="preserve"> = 4 \* GB3 \* MERGEFORMAT </w:instrText>
            </w:r>
            <w:r>
              <w:rPr>
                <w:rFonts w:hint="eastAsia" w:ascii="Times New Roman" w:hAnsi="Times New Roman" w:eastAsia="宋体" w:cs="Times New Roman"/>
                <w:color w:val="auto"/>
                <w:kern w:val="0"/>
                <w:sz w:val="26"/>
                <w:szCs w:val="26"/>
                <w:lang w:val="en-US" w:eastAsia="zh-CN"/>
              </w:rPr>
              <w:fldChar w:fldCharType="separate"/>
            </w:r>
            <w:r>
              <w:rPr>
                <w:color w:val="auto"/>
                <w:sz w:val="26"/>
                <w:szCs w:val="26"/>
              </w:rPr>
              <w:t>④</w:t>
            </w:r>
            <w:r>
              <w:rPr>
                <w:rFonts w:hint="eastAsia" w:ascii="Times New Roman" w:hAnsi="Times New Roman" w:eastAsia="宋体" w:cs="Times New Roman"/>
                <w:color w:val="auto"/>
                <w:kern w:val="0"/>
                <w:sz w:val="26"/>
                <w:szCs w:val="26"/>
                <w:lang w:val="en-US" w:eastAsia="zh-CN"/>
              </w:rPr>
              <w:fldChar w:fldCharType="end"/>
            </w:r>
            <w:r>
              <w:rPr>
                <w:rFonts w:ascii="Times New Roman" w:hAnsi="Times New Roman" w:eastAsia="宋体" w:cs="Times New Roman"/>
                <w:color w:val="auto"/>
                <w:kern w:val="0"/>
                <w:sz w:val="26"/>
                <w:szCs w:val="26"/>
              </w:rPr>
              <w:t>氯化氢、氟化物</w:t>
            </w:r>
          </w:p>
          <w:p w14:paraId="06EC3843">
            <w:pPr>
              <w:autoSpaceDE w:val="0"/>
              <w:autoSpaceDN w:val="0"/>
              <w:adjustRightInd w:val="0"/>
              <w:spacing w:line="460" w:lineRule="exact"/>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氯化氢：本项目熔炼过程中不使用氯气除气，氯化氢主要来源于精炼剂氯化钾。氯化钾熔点770℃，沸点1420℃，本项目熔炼温度</w:t>
            </w:r>
            <w:r>
              <w:rPr>
                <w:rFonts w:hint="eastAsia" w:ascii="Times New Roman" w:hAnsi="Times New Roman" w:eastAsia="宋体" w:cs="Times New Roman"/>
                <w:color w:val="auto"/>
                <w:kern w:val="0"/>
                <w:sz w:val="26"/>
                <w:szCs w:val="26"/>
                <w:lang w:val="en-US" w:eastAsia="zh-CN"/>
              </w:rPr>
              <w:t>为</w:t>
            </w:r>
            <w:r>
              <w:rPr>
                <w:rFonts w:hint="eastAsia" w:ascii="Times New Roman" w:hAnsi="Times New Roman" w:eastAsia="宋体" w:cs="Times New Roman"/>
                <w:color w:val="auto"/>
                <w:sz w:val="26"/>
                <w:szCs w:val="26"/>
              </w:rPr>
              <w:t>750℃</w:t>
            </w:r>
            <w:r>
              <w:rPr>
                <w:rFonts w:hint="eastAsia" w:ascii="Times New Roman" w:hAnsi="Times New Roman" w:eastAsia="宋体" w:cs="Times New Roman"/>
                <w:color w:val="auto"/>
                <w:sz w:val="26"/>
                <w:szCs w:val="26"/>
                <w:lang w:val="en-US" w:eastAsia="zh-CN"/>
              </w:rPr>
              <w:t>~1080</w:t>
            </w:r>
            <w:r>
              <w:rPr>
                <w:rFonts w:hint="eastAsia" w:ascii="Times New Roman" w:hAnsi="Times New Roman" w:eastAsia="宋体" w:cs="Times New Roman"/>
                <w:color w:val="auto"/>
                <w:sz w:val="26"/>
                <w:szCs w:val="26"/>
              </w:rPr>
              <w:t>℃</w:t>
            </w:r>
            <w:r>
              <w:rPr>
                <w:rFonts w:ascii="Times New Roman" w:hAnsi="Times New Roman" w:eastAsia="宋体" w:cs="Times New Roman"/>
                <w:color w:val="auto"/>
                <w:kern w:val="0"/>
                <w:sz w:val="26"/>
                <w:szCs w:val="26"/>
              </w:rPr>
              <w:t>，氯化钾不易分解，大部分形成共晶混合物覆盖在铝熔液表面，余下KCl 与Al</w:t>
            </w:r>
            <w:r>
              <w:rPr>
                <w:rFonts w:ascii="Times New Roman" w:hAnsi="Times New Roman" w:eastAsia="宋体" w:cs="Times New Roman"/>
                <w:color w:val="auto"/>
                <w:kern w:val="0"/>
                <w:sz w:val="26"/>
                <w:szCs w:val="26"/>
                <w:vertAlign w:val="subscript"/>
              </w:rPr>
              <w:t>2</w:t>
            </w:r>
            <w:r>
              <w:rPr>
                <w:rFonts w:ascii="Times New Roman" w:hAnsi="Times New Roman" w:eastAsia="宋体" w:cs="Times New Roman"/>
                <w:color w:val="auto"/>
                <w:kern w:val="0"/>
                <w:sz w:val="26"/>
                <w:szCs w:val="26"/>
              </w:rPr>
              <w:t>O</w:t>
            </w:r>
            <w:r>
              <w:rPr>
                <w:rFonts w:ascii="Times New Roman" w:hAnsi="Times New Roman" w:eastAsia="宋体" w:cs="Times New Roman"/>
                <w:color w:val="auto"/>
                <w:kern w:val="0"/>
                <w:sz w:val="26"/>
                <w:szCs w:val="26"/>
                <w:vertAlign w:val="subscript"/>
              </w:rPr>
              <w:t>3</w:t>
            </w:r>
            <w:r>
              <w:rPr>
                <w:rFonts w:ascii="Times New Roman" w:hAnsi="Times New Roman" w:eastAsia="宋体" w:cs="Times New Roman"/>
                <w:color w:val="auto"/>
                <w:kern w:val="0"/>
                <w:sz w:val="26"/>
                <w:szCs w:val="26"/>
              </w:rPr>
              <w:t>生成碱金属氯盐，稳定存在于铝熔体中，大部分随扒渣过程进入铝灰渣中，少量的Cl-可能与铝液中的H+发生反应生产氯化氢。</w:t>
            </w:r>
          </w:p>
          <w:p w14:paraId="13E2521C">
            <w:pPr>
              <w:autoSpaceDE w:val="0"/>
              <w:autoSpaceDN w:val="0"/>
              <w:adjustRightInd w:val="0"/>
              <w:spacing w:line="460" w:lineRule="exact"/>
              <w:ind w:firstLine="520" w:firstLineChars="200"/>
              <w:jc w:val="left"/>
              <w:rPr>
                <w:rFonts w:ascii="Times New Roman" w:hAnsi="Times New Roman" w:eastAsia="宋体" w:cs="Times New Roman"/>
                <w:color w:val="auto"/>
                <w:kern w:val="0"/>
                <w:sz w:val="26"/>
                <w:szCs w:val="26"/>
              </w:rPr>
            </w:pPr>
            <w:r>
              <w:rPr>
                <w:rFonts w:ascii="Times New Roman" w:hAnsi="Times New Roman" w:eastAsia="宋体" w:cs="Times New Roman"/>
                <w:color w:val="auto"/>
                <w:kern w:val="0"/>
                <w:sz w:val="26"/>
                <w:szCs w:val="26"/>
              </w:rPr>
              <w:t>氟化物：主要来源于精炼剂中的</w:t>
            </w:r>
            <w:r>
              <w:rPr>
                <w:rFonts w:hint="eastAsia" w:ascii="Times New Roman" w:hAnsi="Times New Roman" w:eastAsia="宋体" w:cs="Times New Roman"/>
                <w:color w:val="auto"/>
                <w:kern w:val="0"/>
                <w:sz w:val="26"/>
                <w:szCs w:val="26"/>
                <w:lang w:val="en-US" w:eastAsia="zh-CN"/>
              </w:rPr>
              <w:t>氟化盐等</w:t>
            </w:r>
            <w:r>
              <w:rPr>
                <w:rFonts w:ascii="Times New Roman" w:hAnsi="Times New Roman" w:eastAsia="宋体" w:cs="Times New Roman"/>
                <w:color w:val="auto"/>
                <w:kern w:val="0"/>
                <w:sz w:val="26"/>
                <w:szCs w:val="26"/>
              </w:rPr>
              <w:t>，</w:t>
            </w:r>
            <w:r>
              <w:rPr>
                <w:rFonts w:hint="eastAsia" w:ascii="Times New Roman" w:hAnsi="Times New Roman" w:eastAsia="宋体" w:cs="Times New Roman"/>
                <w:color w:val="auto"/>
                <w:kern w:val="0"/>
                <w:sz w:val="26"/>
                <w:szCs w:val="26"/>
                <w:lang w:val="en-US" w:eastAsia="zh-CN"/>
              </w:rPr>
              <w:t>氟化盐</w:t>
            </w:r>
            <w:r>
              <w:rPr>
                <w:rFonts w:ascii="Times New Roman" w:hAnsi="Times New Roman" w:eastAsia="宋体" w:cs="Times New Roman"/>
                <w:color w:val="auto"/>
                <w:kern w:val="0"/>
                <w:sz w:val="26"/>
                <w:szCs w:val="26"/>
              </w:rPr>
              <w:t>熔点为</w:t>
            </w:r>
            <w:r>
              <w:rPr>
                <w:rFonts w:hint="eastAsia" w:ascii="Times New Roman" w:hAnsi="Times New Roman" w:eastAsia="宋体" w:cs="Times New Roman"/>
                <w:color w:val="auto"/>
                <w:kern w:val="0"/>
                <w:sz w:val="26"/>
                <w:szCs w:val="26"/>
                <w:lang w:val="en-US" w:eastAsia="zh-CN"/>
              </w:rPr>
              <w:t>858</w:t>
            </w:r>
            <w:r>
              <w:rPr>
                <w:rFonts w:ascii="Times New Roman" w:hAnsi="Times New Roman" w:eastAsia="宋体" w:cs="Times New Roman"/>
                <w:color w:val="auto"/>
                <w:kern w:val="0"/>
                <w:sz w:val="26"/>
                <w:szCs w:val="26"/>
              </w:rPr>
              <w:t>℃，沸点1</w:t>
            </w:r>
            <w:r>
              <w:rPr>
                <w:rFonts w:hint="eastAsia" w:ascii="Times New Roman" w:hAnsi="Times New Roman" w:eastAsia="宋体" w:cs="Times New Roman"/>
                <w:color w:val="auto"/>
                <w:kern w:val="0"/>
                <w:sz w:val="26"/>
                <w:szCs w:val="26"/>
                <w:lang w:val="en-US" w:eastAsia="zh-CN"/>
              </w:rPr>
              <w:t>505</w:t>
            </w:r>
            <w:r>
              <w:rPr>
                <w:rFonts w:ascii="Times New Roman" w:hAnsi="Times New Roman" w:eastAsia="宋体" w:cs="Times New Roman"/>
                <w:color w:val="auto"/>
                <w:kern w:val="0"/>
                <w:sz w:val="26"/>
                <w:szCs w:val="26"/>
              </w:rPr>
              <w:t>℃，不易分解，主要浮于熔体表面进入铝渣，少量在熔炼及扒渣过程中以颗粒物形式进入废气中。</w:t>
            </w:r>
          </w:p>
          <w:p w14:paraId="5F30322A">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类比已验收的根据《四川生琳新材料科技有限公司10万吨铝合金加工项目竣工验收监测报告》，使用精炼剂、除渣剂中F元素为20.0069t/a、Cl元素为5.9983t/a；监测结果显示90%生产负荷下，有组织排放废气中F元素为0.19 t/a，Cl元素为0.54 t/a。以95%的废气捕集率折算F、Cl进入废气比例为1.1%、10.6%。</w:t>
            </w:r>
          </w:p>
          <w:p w14:paraId="40BC9782">
            <w:pPr>
              <w:autoSpaceDE w:val="0"/>
              <w:autoSpaceDN w:val="0"/>
              <w:adjustRightInd w:val="0"/>
              <w:spacing w:line="460" w:lineRule="exact"/>
              <w:ind w:firstLine="520" w:firstLineChars="200"/>
              <w:jc w:val="left"/>
              <w:rPr>
                <w:rFonts w:hint="default"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本次评价保守取值F、Cl-进入废气比例为1.5%、11%。根据项目用精炼剂的成分，本次评价Cl元素含量取20%，F元素含量取30%。</w:t>
            </w:r>
          </w:p>
          <w:p w14:paraId="0284BB48">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根据前述比例取值核算：1#25t炉氯化氢产生量为0.31t/a，氟化物为0.065t/a；2#25t炉氯化氢产生量为0.31/a，氟化物为0.065t/a，16t炉氯化氢产生量为0.33t/a，氟化物为0.069t/a。</w:t>
            </w:r>
          </w:p>
          <w:p w14:paraId="752D9733">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类比项目与本项目对比情况详见下表。</w:t>
            </w:r>
          </w:p>
          <w:p w14:paraId="364890AC">
            <w:pPr>
              <w:autoSpaceDE w:val="0"/>
              <w:autoSpaceDN w:val="0"/>
              <w:adjustRightInd w:val="0"/>
              <w:spacing w:line="460" w:lineRule="exact"/>
              <w:jc w:val="center"/>
              <w:rPr>
                <w:rFonts w:hint="eastAsia"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lang w:val="en-US" w:eastAsia="zh-CN"/>
              </w:rPr>
              <w:t>表4.2-3  类别项目与本项目对比情况表</w:t>
            </w:r>
          </w:p>
          <w:tbl>
            <w:tblPr>
              <w:tblStyle w:val="26"/>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3203"/>
              <w:gridCol w:w="3182"/>
            </w:tblGrid>
            <w:tr w14:paraId="044932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4" w:type="dxa"/>
                  <w:tcBorders>
                    <w:tl2br w:val="nil"/>
                    <w:tr2bl w:val="nil"/>
                  </w:tcBorders>
                  <w:noWrap w:val="0"/>
                  <w:vAlign w:val="center"/>
                </w:tcPr>
                <w:p w14:paraId="2954693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基本情况</w:t>
                  </w:r>
                </w:p>
              </w:tc>
              <w:tc>
                <w:tcPr>
                  <w:tcW w:w="3203" w:type="dxa"/>
                  <w:tcBorders>
                    <w:tl2br w:val="nil"/>
                    <w:tr2bl w:val="nil"/>
                  </w:tcBorders>
                  <w:noWrap w:val="0"/>
                  <w:vAlign w:val="center"/>
                </w:tcPr>
                <w:p w14:paraId="4FDAB1F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四川生琳项目</w:t>
                  </w:r>
                </w:p>
              </w:tc>
              <w:tc>
                <w:tcPr>
                  <w:tcW w:w="3182" w:type="dxa"/>
                  <w:tcBorders>
                    <w:tl2br w:val="nil"/>
                    <w:tr2bl w:val="nil"/>
                  </w:tcBorders>
                  <w:noWrap w:val="0"/>
                  <w:vAlign w:val="center"/>
                </w:tcPr>
                <w:p w14:paraId="1AA21823">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本项目</w:t>
                  </w:r>
                </w:p>
              </w:tc>
            </w:tr>
            <w:tr w14:paraId="5ADCB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4" w:type="dxa"/>
                  <w:tcBorders>
                    <w:tl2br w:val="nil"/>
                    <w:tr2bl w:val="nil"/>
                  </w:tcBorders>
                  <w:noWrap w:val="0"/>
                  <w:vAlign w:val="center"/>
                </w:tcPr>
                <w:p w14:paraId="0B90B49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主要原料</w:t>
                  </w:r>
                </w:p>
              </w:tc>
              <w:tc>
                <w:tcPr>
                  <w:tcW w:w="3203" w:type="dxa"/>
                  <w:tcBorders>
                    <w:tl2br w:val="nil"/>
                    <w:tr2bl w:val="nil"/>
                  </w:tcBorders>
                  <w:noWrap w:val="0"/>
                  <w:vAlign w:val="center"/>
                </w:tcPr>
                <w:p w14:paraId="75711F1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废铝、铝锭、工业硅、精炼除气除渣剂</w:t>
                  </w:r>
                </w:p>
              </w:tc>
              <w:tc>
                <w:tcPr>
                  <w:tcW w:w="3182" w:type="dxa"/>
                  <w:tcBorders>
                    <w:tl2br w:val="nil"/>
                    <w:tr2bl w:val="nil"/>
                  </w:tcBorders>
                  <w:noWrap w:val="0"/>
                  <w:vAlign w:val="center"/>
                </w:tcPr>
                <w:p w14:paraId="4E866F2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铝液、工业硅、阴极铜、镁锭、精炼剂</w:t>
                  </w:r>
                </w:p>
              </w:tc>
            </w:tr>
            <w:tr w14:paraId="49E775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4" w:type="dxa"/>
                  <w:tcBorders>
                    <w:tl2br w:val="nil"/>
                    <w:tr2bl w:val="nil"/>
                  </w:tcBorders>
                  <w:noWrap w:val="0"/>
                  <w:vAlign w:val="center"/>
                </w:tcPr>
                <w:p w14:paraId="4C82C4D4">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辅料及用量</w:t>
                  </w:r>
                </w:p>
              </w:tc>
              <w:tc>
                <w:tcPr>
                  <w:tcW w:w="3203" w:type="dxa"/>
                  <w:tcBorders>
                    <w:tl2br w:val="nil"/>
                    <w:tr2bl w:val="nil"/>
                  </w:tcBorders>
                  <w:noWrap w:val="0"/>
                  <w:vAlign w:val="center"/>
                </w:tcPr>
                <w:p w14:paraId="09C8CF7A">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精炼除气除渣剂 80t/a</w:t>
                  </w:r>
                </w:p>
              </w:tc>
              <w:tc>
                <w:tcPr>
                  <w:tcW w:w="3182" w:type="dxa"/>
                  <w:tcBorders>
                    <w:tl2br w:val="nil"/>
                    <w:tr2bl w:val="nil"/>
                  </w:tcBorders>
                  <w:noWrap w:val="0"/>
                  <w:vAlign w:val="center"/>
                </w:tcPr>
                <w:p w14:paraId="5F48B99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精炼剂42t/a</w:t>
                  </w:r>
                </w:p>
              </w:tc>
            </w:tr>
            <w:tr w14:paraId="006B9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4" w:type="dxa"/>
                  <w:tcBorders>
                    <w:tl2br w:val="nil"/>
                    <w:tr2bl w:val="nil"/>
                  </w:tcBorders>
                  <w:noWrap w:val="0"/>
                  <w:vAlign w:val="center"/>
                </w:tcPr>
                <w:p w14:paraId="4C29770D">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工艺</w:t>
                  </w:r>
                </w:p>
              </w:tc>
              <w:tc>
                <w:tcPr>
                  <w:tcW w:w="3203" w:type="dxa"/>
                  <w:tcBorders>
                    <w:tl2br w:val="nil"/>
                    <w:tr2bl w:val="nil"/>
                  </w:tcBorders>
                  <w:noWrap w:val="0"/>
                  <w:vAlign w:val="center"/>
                </w:tcPr>
                <w:p w14:paraId="4928D29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熔化-调质-精炼-扒渣-铝灰渣回收-浇铸</w:t>
                  </w:r>
                </w:p>
              </w:tc>
              <w:tc>
                <w:tcPr>
                  <w:tcW w:w="3182" w:type="dxa"/>
                  <w:tcBorders>
                    <w:tl2br w:val="nil"/>
                    <w:tr2bl w:val="nil"/>
                  </w:tcBorders>
                  <w:noWrap w:val="0"/>
                  <w:vAlign w:val="center"/>
                </w:tcPr>
                <w:p w14:paraId="185AA357">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熔化--精炼-扒渣-铸造</w:t>
                  </w:r>
                </w:p>
              </w:tc>
            </w:tr>
            <w:tr w14:paraId="3549D2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4" w:type="dxa"/>
                  <w:tcBorders>
                    <w:tl2br w:val="nil"/>
                    <w:tr2bl w:val="nil"/>
                  </w:tcBorders>
                  <w:noWrap w:val="0"/>
                  <w:vAlign w:val="center"/>
                </w:tcPr>
                <w:p w14:paraId="6ED895B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产品规模</w:t>
                  </w:r>
                </w:p>
              </w:tc>
              <w:tc>
                <w:tcPr>
                  <w:tcW w:w="3203" w:type="dxa"/>
                  <w:tcBorders>
                    <w:tl2br w:val="nil"/>
                    <w:tr2bl w:val="nil"/>
                  </w:tcBorders>
                  <w:noWrap w:val="0"/>
                  <w:vAlign w:val="center"/>
                </w:tcPr>
                <w:p w14:paraId="2A1170F4">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铝合金制品10万吨/a</w:t>
                  </w:r>
                </w:p>
              </w:tc>
              <w:tc>
                <w:tcPr>
                  <w:tcW w:w="3182" w:type="dxa"/>
                  <w:tcBorders>
                    <w:tl2br w:val="nil"/>
                    <w:tr2bl w:val="nil"/>
                  </w:tcBorders>
                  <w:noWrap w:val="0"/>
                  <w:vAlign w:val="center"/>
                </w:tcPr>
                <w:p w14:paraId="025D4B5D">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color w:val="auto"/>
                      <w:kern w:val="0"/>
                      <w:sz w:val="22"/>
                      <w:szCs w:val="22"/>
                      <w:vertAlign w:val="baseline"/>
                      <w:lang w:val="en-US" w:eastAsia="zh-CN"/>
                    </w:rPr>
                    <w:t>铝合金圆铸棒</w:t>
                  </w:r>
                  <w:r>
                    <w:rPr>
                      <w:rFonts w:hint="eastAsia" w:ascii="Times New Roman" w:hAnsi="Times New Roman" w:eastAsia="宋体" w:cs="Times New Roman"/>
                      <w:bCs/>
                      <w:color w:val="auto"/>
                      <w:sz w:val="22"/>
                      <w:szCs w:val="22"/>
                      <w:lang w:val="en-US" w:eastAsia="zh-CN"/>
                    </w:rPr>
                    <w:t>5.4万吨/a</w:t>
                  </w:r>
                </w:p>
              </w:tc>
            </w:tr>
            <w:tr w14:paraId="4026E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4" w:type="dxa"/>
                  <w:tcBorders>
                    <w:tl2br w:val="nil"/>
                    <w:tr2bl w:val="nil"/>
                  </w:tcBorders>
                  <w:noWrap w:val="0"/>
                  <w:vAlign w:val="center"/>
                </w:tcPr>
                <w:p w14:paraId="5772885A">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主要设备</w:t>
                  </w:r>
                </w:p>
              </w:tc>
              <w:tc>
                <w:tcPr>
                  <w:tcW w:w="3203" w:type="dxa"/>
                  <w:tcBorders>
                    <w:tl2br w:val="nil"/>
                    <w:tr2bl w:val="nil"/>
                  </w:tcBorders>
                  <w:noWrap w:val="0"/>
                  <w:vAlign w:val="center"/>
                </w:tcPr>
                <w:p w14:paraId="2AA5B13A">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2台60t熔化炉、2台50t合金炉</w:t>
                  </w:r>
                </w:p>
              </w:tc>
              <w:tc>
                <w:tcPr>
                  <w:tcW w:w="3182" w:type="dxa"/>
                  <w:tcBorders>
                    <w:tl2br w:val="nil"/>
                    <w:tr2bl w:val="nil"/>
                  </w:tcBorders>
                  <w:noWrap w:val="0"/>
                  <w:vAlign w:val="center"/>
                </w:tcPr>
                <w:p w14:paraId="702B9056">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2台25t熔炼炉、1台16t熔炼炉</w:t>
                  </w:r>
                </w:p>
              </w:tc>
            </w:tr>
          </w:tbl>
          <w:p w14:paraId="0F57A44B">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p>
          <w:p w14:paraId="2342B9B9">
            <w:pPr>
              <w:autoSpaceDE w:val="0"/>
              <w:autoSpaceDN w:val="0"/>
              <w:adjustRightInd w:val="0"/>
              <w:spacing w:line="460" w:lineRule="exact"/>
              <w:ind w:firstLine="520" w:firstLineChars="200"/>
              <w:jc w:val="left"/>
              <w:rPr>
                <w:rFonts w:hint="default"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根据上表可知，四川生琳与本项目生产工艺基本一致，原料中虽掺用废铝，但精炼原理及工艺一致，具有可类比性。同时，本评价采用西南铝实业现有熔铸生产线一次例行监测数据进行反推校核验证，现有熔铸生产线采用的精炼剂与本项目相同，生产工艺相同，因此通过本项目产品规模与现有项目产品规模比例反推校正本项目理论氯化氢及氟化物排放速率可行。</w:t>
            </w:r>
          </w:p>
          <w:p w14:paraId="01232456">
            <w:pPr>
              <w:autoSpaceDE w:val="0"/>
              <w:autoSpaceDN w:val="0"/>
              <w:adjustRightInd w:val="0"/>
              <w:spacing w:line="460" w:lineRule="exact"/>
              <w:jc w:val="center"/>
              <w:rPr>
                <w:rFonts w:hint="eastAsia" w:ascii="Times New Roman" w:hAnsi="Times New Roman" w:eastAsia="宋体" w:cs="Times New Roman"/>
                <w:b/>
                <w:bCs/>
                <w:color w:val="auto"/>
                <w:kern w:val="0"/>
                <w:sz w:val="26"/>
                <w:szCs w:val="26"/>
                <w:lang w:val="en-US" w:eastAsia="zh-CN"/>
              </w:rPr>
            </w:pPr>
          </w:p>
          <w:p w14:paraId="6FCC2F3F">
            <w:pPr>
              <w:autoSpaceDE w:val="0"/>
              <w:autoSpaceDN w:val="0"/>
              <w:adjustRightInd w:val="0"/>
              <w:spacing w:line="460" w:lineRule="exact"/>
              <w:jc w:val="center"/>
              <w:rPr>
                <w:rFonts w:hint="eastAsia" w:ascii="Times New Roman" w:hAnsi="Times New Roman" w:eastAsia="宋体" w:cs="Times New Roman"/>
                <w:b/>
                <w:bCs/>
                <w:color w:val="auto"/>
                <w:kern w:val="0"/>
                <w:sz w:val="26"/>
                <w:szCs w:val="26"/>
                <w:lang w:val="en-US" w:eastAsia="zh-CN"/>
              </w:rPr>
            </w:pPr>
            <w:r>
              <w:rPr>
                <w:rFonts w:hint="eastAsia" w:ascii="Times New Roman" w:hAnsi="Times New Roman" w:eastAsia="宋体" w:cs="Times New Roman"/>
                <w:b/>
                <w:bCs/>
                <w:color w:val="auto"/>
                <w:kern w:val="0"/>
                <w:sz w:val="26"/>
                <w:szCs w:val="26"/>
                <w:lang w:val="en-US" w:eastAsia="zh-CN"/>
              </w:rPr>
              <w:t>表4.2-4  类比项目与本项目对比情况表</w:t>
            </w:r>
          </w:p>
          <w:tbl>
            <w:tblPr>
              <w:tblStyle w:val="26"/>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9"/>
              <w:gridCol w:w="1545"/>
              <w:gridCol w:w="2525"/>
              <w:gridCol w:w="2730"/>
            </w:tblGrid>
            <w:tr w14:paraId="254D97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0" w:type="dxa"/>
                  <w:gridSpan w:val="2"/>
                  <w:tcBorders>
                    <w:tl2br w:val="nil"/>
                    <w:tr2bl w:val="nil"/>
                  </w:tcBorders>
                  <w:noWrap w:val="0"/>
                  <w:vAlign w:val="center"/>
                </w:tcPr>
                <w:p w14:paraId="07B69F0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基本情况</w:t>
                  </w:r>
                </w:p>
              </w:tc>
              <w:tc>
                <w:tcPr>
                  <w:tcW w:w="1396" w:type="dxa"/>
                  <w:tcBorders>
                    <w:tl2br w:val="nil"/>
                    <w:tr2bl w:val="nil"/>
                  </w:tcBorders>
                  <w:noWrap w:val="0"/>
                  <w:vAlign w:val="center"/>
                </w:tcPr>
                <w:p w14:paraId="4B415E7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现有熔铸生产线</w:t>
                  </w:r>
                </w:p>
              </w:tc>
              <w:tc>
                <w:tcPr>
                  <w:tcW w:w="1509" w:type="dxa"/>
                  <w:tcBorders>
                    <w:tl2br w:val="nil"/>
                    <w:tr2bl w:val="nil"/>
                  </w:tcBorders>
                  <w:noWrap w:val="0"/>
                  <w:vAlign w:val="center"/>
                </w:tcPr>
                <w:p w14:paraId="6F638D6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本项目类比四川生琳项目计算情况</w:t>
                  </w:r>
                </w:p>
              </w:tc>
            </w:tr>
            <w:tr w14:paraId="17669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0" w:type="dxa"/>
                  <w:gridSpan w:val="2"/>
                  <w:tcBorders>
                    <w:tl2br w:val="nil"/>
                    <w:tr2bl w:val="nil"/>
                  </w:tcBorders>
                  <w:noWrap w:val="0"/>
                  <w:vAlign w:val="center"/>
                </w:tcPr>
                <w:p w14:paraId="01DF424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产品规模</w:t>
                  </w:r>
                </w:p>
              </w:tc>
              <w:tc>
                <w:tcPr>
                  <w:tcW w:w="1396" w:type="dxa"/>
                  <w:tcBorders>
                    <w:tl2br w:val="nil"/>
                    <w:tr2bl w:val="nil"/>
                  </w:tcBorders>
                  <w:noWrap w:val="0"/>
                  <w:vAlign w:val="center"/>
                </w:tcPr>
                <w:p w14:paraId="5D3D44C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2.89万t/a</w:t>
                  </w:r>
                </w:p>
              </w:tc>
              <w:tc>
                <w:tcPr>
                  <w:tcW w:w="1509" w:type="dxa"/>
                  <w:tcBorders>
                    <w:tl2br w:val="nil"/>
                    <w:tr2bl w:val="nil"/>
                  </w:tcBorders>
                  <w:noWrap w:val="0"/>
                  <w:vAlign w:val="center"/>
                </w:tcPr>
                <w:p w14:paraId="70A52B3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5.4万t/a</w:t>
                  </w:r>
                </w:p>
              </w:tc>
            </w:tr>
            <w:tr w14:paraId="728D3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0" w:type="dxa"/>
                  <w:gridSpan w:val="2"/>
                  <w:tcBorders>
                    <w:tl2br w:val="nil"/>
                    <w:tr2bl w:val="nil"/>
                  </w:tcBorders>
                  <w:noWrap w:val="0"/>
                  <w:vAlign w:val="center"/>
                </w:tcPr>
                <w:p w14:paraId="5725716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精炼剂用量</w:t>
                  </w:r>
                </w:p>
              </w:tc>
              <w:tc>
                <w:tcPr>
                  <w:tcW w:w="1396" w:type="dxa"/>
                  <w:tcBorders>
                    <w:tl2br w:val="nil"/>
                    <w:tr2bl w:val="nil"/>
                  </w:tcBorders>
                  <w:noWrap w:val="0"/>
                  <w:vAlign w:val="center"/>
                </w:tcPr>
                <w:p w14:paraId="0B2B615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36.88t/a</w:t>
                  </w:r>
                </w:p>
              </w:tc>
              <w:tc>
                <w:tcPr>
                  <w:tcW w:w="1509" w:type="dxa"/>
                  <w:tcBorders>
                    <w:tl2br w:val="nil"/>
                    <w:tr2bl w:val="nil"/>
                  </w:tcBorders>
                  <w:noWrap w:val="0"/>
                  <w:vAlign w:val="center"/>
                </w:tcPr>
                <w:p w14:paraId="2D678E7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42t/a</w:t>
                  </w:r>
                </w:p>
              </w:tc>
            </w:tr>
            <w:tr w14:paraId="5D937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6" w:type="dxa"/>
                  <w:vMerge w:val="restart"/>
                  <w:tcBorders>
                    <w:tl2br w:val="nil"/>
                    <w:tr2bl w:val="nil"/>
                  </w:tcBorders>
                  <w:noWrap w:val="0"/>
                  <w:vAlign w:val="center"/>
                </w:tcPr>
                <w:p w14:paraId="694ABD8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排放速率</w:t>
                  </w:r>
                </w:p>
              </w:tc>
              <w:tc>
                <w:tcPr>
                  <w:tcW w:w="854" w:type="dxa"/>
                  <w:tcBorders>
                    <w:tl2br w:val="nil"/>
                    <w:tr2bl w:val="nil"/>
                  </w:tcBorders>
                  <w:noWrap w:val="0"/>
                  <w:vAlign w:val="center"/>
                </w:tcPr>
                <w:p w14:paraId="7A453B1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氯化氢</w:t>
                  </w:r>
                </w:p>
              </w:tc>
              <w:tc>
                <w:tcPr>
                  <w:tcW w:w="1396" w:type="dxa"/>
                  <w:tcBorders>
                    <w:tl2br w:val="nil"/>
                    <w:tr2bl w:val="nil"/>
                  </w:tcBorders>
                  <w:noWrap w:val="0"/>
                  <w:vAlign w:val="center"/>
                </w:tcPr>
                <w:p w14:paraId="38B3E04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0.193~0.221kg/h</w:t>
                  </w:r>
                </w:p>
                <w:p w14:paraId="621FF2D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（实测速率）</w:t>
                  </w:r>
                </w:p>
              </w:tc>
              <w:tc>
                <w:tcPr>
                  <w:tcW w:w="1509" w:type="dxa"/>
                  <w:tcBorders>
                    <w:tl2br w:val="nil"/>
                    <w:tr2bl w:val="nil"/>
                  </w:tcBorders>
                  <w:noWrap w:val="0"/>
                  <w:vAlign w:val="center"/>
                </w:tcPr>
                <w:p w14:paraId="5EF8B5E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0.12</w:t>
                  </w:r>
                  <w:r>
                    <w:rPr>
                      <w:rFonts w:hint="eastAsia" w:ascii="Times New Roman" w:hAnsi="Times New Roman" w:eastAsia="宋体" w:cs="Times New Roman"/>
                      <w:bCs/>
                      <w:color w:val="auto"/>
                      <w:sz w:val="22"/>
                      <w:szCs w:val="22"/>
                      <w:lang w:val="en-US" w:eastAsia="zh-CN"/>
                    </w:rPr>
                    <w:t>5</w:t>
                  </w:r>
                  <w:r>
                    <w:rPr>
                      <w:rFonts w:hint="default" w:ascii="Times New Roman" w:hAnsi="Times New Roman" w:eastAsia="宋体" w:cs="Times New Roman"/>
                      <w:bCs/>
                      <w:color w:val="auto"/>
                      <w:sz w:val="22"/>
                      <w:szCs w:val="22"/>
                      <w:lang w:val="en-US" w:eastAsia="zh-CN"/>
                    </w:rPr>
                    <w:t>~0.1</w:t>
                  </w:r>
                  <w:r>
                    <w:rPr>
                      <w:rFonts w:hint="eastAsia" w:ascii="Times New Roman" w:hAnsi="Times New Roman" w:eastAsia="宋体" w:cs="Times New Roman"/>
                      <w:bCs/>
                      <w:color w:val="auto"/>
                      <w:sz w:val="22"/>
                      <w:szCs w:val="22"/>
                      <w:lang w:val="en-US" w:eastAsia="zh-CN"/>
                    </w:rPr>
                    <w:t>8</w:t>
                  </w:r>
                  <w:r>
                    <w:rPr>
                      <w:rFonts w:hint="default" w:ascii="Times New Roman" w:hAnsi="Times New Roman" w:eastAsia="宋体" w:cs="Times New Roman"/>
                      <w:bCs/>
                      <w:color w:val="auto"/>
                      <w:sz w:val="22"/>
                      <w:szCs w:val="22"/>
                      <w:lang w:val="en-US" w:eastAsia="zh-CN"/>
                    </w:rPr>
                    <w:t>g/h（理论计算速率）</w:t>
                  </w:r>
                </w:p>
              </w:tc>
            </w:tr>
            <w:tr w14:paraId="62A2B2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6" w:type="dxa"/>
                  <w:vMerge w:val="continue"/>
                  <w:tcBorders>
                    <w:tl2br w:val="nil"/>
                    <w:tr2bl w:val="nil"/>
                  </w:tcBorders>
                  <w:noWrap w:val="0"/>
                  <w:vAlign w:val="center"/>
                </w:tcPr>
                <w:p w14:paraId="7E4C6DA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p>
              </w:tc>
              <w:tc>
                <w:tcPr>
                  <w:tcW w:w="854" w:type="dxa"/>
                  <w:tcBorders>
                    <w:tl2br w:val="nil"/>
                    <w:tr2bl w:val="nil"/>
                  </w:tcBorders>
                  <w:noWrap w:val="0"/>
                  <w:vAlign w:val="center"/>
                </w:tcPr>
                <w:p w14:paraId="473FFF3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氟化物</w:t>
                  </w:r>
                </w:p>
              </w:tc>
              <w:tc>
                <w:tcPr>
                  <w:tcW w:w="1396" w:type="dxa"/>
                  <w:tcBorders>
                    <w:tl2br w:val="nil"/>
                    <w:tr2bl w:val="nil"/>
                  </w:tcBorders>
                  <w:noWrap w:val="0"/>
                  <w:vAlign w:val="center"/>
                </w:tcPr>
                <w:p w14:paraId="4604984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0.0318~0.045kg/h</w:t>
                  </w:r>
                </w:p>
                <w:p w14:paraId="2E4394E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（实测速率）</w:t>
                  </w:r>
                </w:p>
              </w:tc>
              <w:tc>
                <w:tcPr>
                  <w:tcW w:w="1509" w:type="dxa"/>
                  <w:tcBorders>
                    <w:tl2br w:val="nil"/>
                    <w:tr2bl w:val="nil"/>
                  </w:tcBorders>
                  <w:noWrap w:val="0"/>
                  <w:vAlign w:val="center"/>
                </w:tcPr>
                <w:p w14:paraId="43306B3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0.0</w:t>
                  </w:r>
                  <w:r>
                    <w:rPr>
                      <w:rFonts w:hint="eastAsia" w:ascii="Times New Roman" w:hAnsi="Times New Roman" w:eastAsia="宋体" w:cs="Times New Roman"/>
                      <w:bCs/>
                      <w:color w:val="auto"/>
                      <w:sz w:val="22"/>
                      <w:szCs w:val="22"/>
                      <w:lang w:val="en-US" w:eastAsia="zh-CN"/>
                    </w:rPr>
                    <w:t>26</w:t>
                  </w:r>
                  <w:r>
                    <w:rPr>
                      <w:rFonts w:hint="default" w:ascii="Times New Roman" w:hAnsi="Times New Roman" w:eastAsia="宋体" w:cs="Times New Roman"/>
                      <w:bCs/>
                      <w:color w:val="auto"/>
                      <w:sz w:val="22"/>
                      <w:szCs w:val="22"/>
                      <w:lang w:val="en-US" w:eastAsia="zh-CN"/>
                    </w:rPr>
                    <w:t>~0.0</w:t>
                  </w:r>
                  <w:r>
                    <w:rPr>
                      <w:rFonts w:hint="eastAsia" w:ascii="Times New Roman" w:hAnsi="Times New Roman" w:eastAsia="宋体" w:cs="Times New Roman"/>
                      <w:bCs/>
                      <w:color w:val="auto"/>
                      <w:sz w:val="22"/>
                      <w:szCs w:val="22"/>
                      <w:lang w:val="en-US" w:eastAsia="zh-CN"/>
                    </w:rPr>
                    <w:t>38</w:t>
                  </w:r>
                  <w:r>
                    <w:rPr>
                      <w:rFonts w:hint="default" w:ascii="Times New Roman" w:hAnsi="Times New Roman" w:eastAsia="宋体" w:cs="Times New Roman"/>
                      <w:bCs/>
                      <w:color w:val="auto"/>
                      <w:sz w:val="22"/>
                      <w:szCs w:val="22"/>
                      <w:lang w:val="en-US" w:eastAsia="zh-CN"/>
                    </w:rPr>
                    <w:t>kg/h（理论计算速率）</w:t>
                  </w:r>
                </w:p>
              </w:tc>
            </w:tr>
          </w:tbl>
          <w:p w14:paraId="3EED1322">
            <w:pPr>
              <w:autoSpaceDE w:val="0"/>
              <w:autoSpaceDN w:val="0"/>
              <w:adjustRightInd w:val="0"/>
              <w:spacing w:line="460" w:lineRule="exact"/>
              <w:ind w:firstLine="520" w:firstLineChars="200"/>
              <w:jc w:val="left"/>
              <w:rPr>
                <w:rFonts w:hint="eastAsia" w:ascii="Times New Roman" w:hAnsi="Times New Roman" w:eastAsia="宋体" w:cs="Times New Roman"/>
                <w:color w:val="auto"/>
                <w:kern w:val="0"/>
                <w:sz w:val="26"/>
                <w:szCs w:val="26"/>
                <w:lang w:val="en-US" w:eastAsia="zh-CN"/>
              </w:rPr>
            </w:pPr>
          </w:p>
          <w:p w14:paraId="2F772279">
            <w:pPr>
              <w:autoSpaceDE w:val="0"/>
              <w:autoSpaceDN w:val="0"/>
              <w:adjustRightInd w:val="0"/>
              <w:spacing w:line="460" w:lineRule="exact"/>
              <w:ind w:firstLine="520" w:firstLineChars="200"/>
              <w:jc w:val="left"/>
              <w:rPr>
                <w:rFonts w:hint="default"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经类比计算，现有熔铸生产线氯化氢和氟化物实测速率与本评价采用“四川生琳”类比计算结果接近，因此类比可行。</w:t>
            </w:r>
          </w:p>
          <w:p w14:paraId="268F2092">
            <w:pPr>
              <w:autoSpaceDE w:val="0"/>
              <w:autoSpaceDN w:val="0"/>
              <w:adjustRightInd w:val="0"/>
              <w:spacing w:line="460" w:lineRule="exact"/>
              <w:ind w:firstLine="520" w:firstLineChars="200"/>
              <w:jc w:val="left"/>
              <w:rPr>
                <w:rFonts w:hint="default"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4）产排污情况</w:t>
            </w:r>
          </w:p>
          <w:p w14:paraId="4F594D59">
            <w:pPr>
              <w:autoSpaceDE w:val="0"/>
              <w:autoSpaceDN w:val="0"/>
              <w:adjustRightInd w:val="0"/>
              <w:spacing w:line="460" w:lineRule="exact"/>
              <w:ind w:firstLine="520" w:firstLineChars="200"/>
              <w:jc w:val="left"/>
              <w:rPr>
                <w:rFonts w:hint="default" w:ascii="Times New Roman" w:hAnsi="Times New Roman" w:eastAsia="宋体"/>
                <w:bCs/>
                <w:snapToGrid w:val="0"/>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本项目2台25t熔炼炉和1台16t熔炼废气一同收集至1#“旋风+布袋除尘器”处理后，依托现有21m高DA002排气筒排放。</w:t>
            </w:r>
            <w:r>
              <w:rPr>
                <w:rFonts w:ascii="Times New Roman" w:hAnsi="Times New Roman" w:eastAsia="宋体" w:cs="Times New Roman"/>
                <w:color w:val="auto"/>
                <w:kern w:val="0"/>
                <w:sz w:val="26"/>
                <w:szCs w:val="26"/>
              </w:rPr>
              <w:t>熔炼废气污</w:t>
            </w:r>
            <w:r>
              <w:rPr>
                <w:rFonts w:hint="eastAsia" w:ascii="Times New Roman" w:hAnsi="Times New Roman" w:eastAsia="宋体" w:cs="Times New Roman"/>
                <w:color w:val="auto"/>
                <w:kern w:val="0"/>
                <w:sz w:val="26"/>
                <w:szCs w:val="26"/>
                <w:lang w:val="en-US" w:eastAsia="zh-CN"/>
              </w:rPr>
              <w:t>染物产生情况如下表所示。</w:t>
            </w:r>
          </w:p>
        </w:tc>
      </w:tr>
    </w:tbl>
    <w:p w14:paraId="18EBA3A8">
      <w:pPr>
        <w:rPr>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2512"/>
      </w:tblGrid>
      <w:tr w14:paraId="1988F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24" w:hRule="atLeast"/>
          <w:jc w:val="center"/>
        </w:trPr>
        <w:tc>
          <w:tcPr>
            <w:tcW w:w="887" w:type="dxa"/>
            <w:tcBorders>
              <w:tl2br w:val="nil"/>
              <w:tr2bl w:val="nil"/>
            </w:tcBorders>
            <w:noWrap w:val="0"/>
            <w:vAlign w:val="center"/>
          </w:tcPr>
          <w:p w14:paraId="5EA36DD3">
            <w:pPr>
              <w:pStyle w:val="20"/>
              <w:adjustRightInd w:val="0"/>
              <w:snapToGrid w:val="0"/>
              <w:spacing w:before="0" w:beforeAutospacing="0" w:after="0" w:afterAutospacing="0"/>
              <w:jc w:val="center"/>
              <w:rPr>
                <w:rFonts w:hint="default" w:ascii="Times New Roman" w:hAnsi="Times New Roman" w:eastAsia="宋体" w:cs="Times New Roman"/>
                <w:color w:val="auto"/>
                <w:kern w:val="2"/>
                <w:sz w:val="26"/>
                <w:szCs w:val="26"/>
              </w:rPr>
            </w:pPr>
            <w:r>
              <w:rPr>
                <w:rFonts w:hint="default" w:ascii="Times New Roman" w:hAnsi="Times New Roman" w:eastAsia="宋体" w:cs="Times New Roman"/>
                <w:color w:val="auto"/>
                <w:kern w:val="2"/>
                <w:sz w:val="26"/>
                <w:szCs w:val="26"/>
                <w:lang w:val="en-US" w:eastAsia="zh-CN"/>
              </w:rPr>
              <w:t>运营期</w:t>
            </w:r>
            <w:r>
              <w:rPr>
                <w:rFonts w:hint="default" w:ascii="Times New Roman" w:hAnsi="Times New Roman" w:eastAsia="宋体" w:cs="Times New Roman"/>
                <w:color w:val="auto"/>
                <w:kern w:val="2"/>
                <w:sz w:val="26"/>
                <w:szCs w:val="26"/>
              </w:rPr>
              <w:t>环</w:t>
            </w:r>
          </w:p>
          <w:p w14:paraId="439BBE7E">
            <w:pPr>
              <w:pStyle w:val="20"/>
              <w:adjustRightInd w:val="0"/>
              <w:snapToGrid w:val="0"/>
              <w:spacing w:before="0" w:beforeAutospacing="0" w:after="0" w:afterAutospacing="0"/>
              <w:jc w:val="center"/>
              <w:rPr>
                <w:rFonts w:hint="default" w:ascii="Times New Roman" w:hAnsi="Times New Roman" w:eastAsia="宋体" w:cs="Times New Roman"/>
                <w:color w:val="auto"/>
                <w:kern w:val="2"/>
                <w:sz w:val="26"/>
                <w:szCs w:val="26"/>
              </w:rPr>
            </w:pPr>
            <w:r>
              <w:rPr>
                <w:rFonts w:hint="default" w:ascii="Times New Roman" w:hAnsi="Times New Roman" w:eastAsia="宋体" w:cs="Times New Roman"/>
                <w:color w:val="auto"/>
                <w:kern w:val="2"/>
                <w:sz w:val="26"/>
                <w:szCs w:val="26"/>
              </w:rPr>
              <w:t>境保</w:t>
            </w:r>
          </w:p>
          <w:p w14:paraId="4E8942C7">
            <w:pPr>
              <w:pStyle w:val="20"/>
              <w:adjustRightInd w:val="0"/>
              <w:snapToGrid w:val="0"/>
              <w:spacing w:before="0" w:beforeAutospacing="0" w:after="0" w:afterAutospacing="0"/>
              <w:jc w:val="center"/>
              <w:rPr>
                <w:rFonts w:hint="default" w:ascii="Times New Roman" w:hAnsi="Times New Roman" w:eastAsia="宋体" w:cs="Times New Roman"/>
                <w:color w:val="auto"/>
                <w:kern w:val="2"/>
                <w:sz w:val="26"/>
                <w:szCs w:val="26"/>
              </w:rPr>
            </w:pPr>
            <w:r>
              <w:rPr>
                <w:rFonts w:hint="default" w:ascii="Times New Roman" w:hAnsi="Times New Roman" w:eastAsia="宋体" w:cs="Times New Roman"/>
                <w:color w:val="auto"/>
                <w:kern w:val="2"/>
                <w:sz w:val="26"/>
                <w:szCs w:val="26"/>
              </w:rPr>
              <w:t>护措</w:t>
            </w:r>
          </w:p>
          <w:p w14:paraId="4EFDA959">
            <w:pPr>
              <w:pStyle w:val="20"/>
              <w:adjustRightInd w:val="0"/>
              <w:snapToGrid w:val="0"/>
              <w:spacing w:before="0" w:beforeAutospacing="0" w:after="0" w:afterAutospacing="0"/>
              <w:jc w:val="center"/>
              <w:rPr>
                <w:rFonts w:hint="default" w:ascii="Times New Roman" w:hAnsi="Times New Roman" w:cs="Times New Roman"/>
                <w:b/>
                <w:color w:val="auto"/>
                <w:kern w:val="0"/>
                <w:sz w:val="26"/>
                <w:szCs w:val="26"/>
                <w:vertAlign w:val="baseline"/>
              </w:rPr>
            </w:pPr>
            <w:r>
              <w:rPr>
                <w:rFonts w:hint="default" w:ascii="Times New Roman" w:hAnsi="Times New Roman" w:eastAsia="宋体" w:cs="Times New Roman"/>
                <w:color w:val="auto"/>
                <w:kern w:val="2"/>
                <w:sz w:val="26"/>
                <w:szCs w:val="26"/>
              </w:rPr>
              <w:t>施</w:t>
            </w:r>
          </w:p>
        </w:tc>
        <w:tc>
          <w:tcPr>
            <w:tcW w:w="12512" w:type="dxa"/>
            <w:tcBorders>
              <w:tl2br w:val="nil"/>
              <w:tr2bl w:val="nil"/>
            </w:tcBorders>
            <w:noWrap w:val="0"/>
            <w:vAlign w:val="top"/>
          </w:tcPr>
          <w:p w14:paraId="595798AE">
            <w:pPr>
              <w:autoSpaceDE w:val="0"/>
              <w:autoSpaceDN w:val="0"/>
              <w:adjustRightInd w:val="0"/>
              <w:spacing w:line="460" w:lineRule="exact"/>
              <w:jc w:val="center"/>
              <w:rPr>
                <w:rFonts w:hint="default" w:ascii="Times New Roman" w:hAnsi="Times New Roman" w:eastAsia="宋体" w:cs="Times New Roman"/>
                <w:b/>
                <w:bCs w:val="0"/>
                <w:color w:val="auto"/>
                <w:sz w:val="26"/>
                <w:szCs w:val="26"/>
                <w:lang w:val="en-US" w:eastAsia="zh-CN"/>
              </w:rPr>
            </w:pPr>
            <w:r>
              <w:rPr>
                <w:rFonts w:hint="eastAsia" w:ascii="Times New Roman" w:hAnsi="Times New Roman" w:eastAsia="宋体" w:cs="Times New Roman"/>
                <w:b/>
                <w:bCs w:val="0"/>
                <w:color w:val="auto"/>
                <w:sz w:val="26"/>
                <w:szCs w:val="26"/>
                <w:lang w:val="en-US" w:eastAsia="zh-CN"/>
              </w:rPr>
              <w:t>表4.2-5  本项目扩建完成后熔炼废气产生及排放情况表</w:t>
            </w:r>
          </w:p>
          <w:tbl>
            <w:tblPr>
              <w:tblStyle w:val="26"/>
              <w:tblW w:w="48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0"/>
              <w:gridCol w:w="711"/>
              <w:gridCol w:w="413"/>
              <w:gridCol w:w="546"/>
              <w:gridCol w:w="900"/>
              <w:gridCol w:w="1050"/>
              <w:gridCol w:w="975"/>
              <w:gridCol w:w="884"/>
              <w:gridCol w:w="1102"/>
              <w:gridCol w:w="675"/>
              <w:gridCol w:w="884"/>
              <w:gridCol w:w="954"/>
              <w:gridCol w:w="895"/>
              <w:gridCol w:w="852"/>
              <w:gridCol w:w="737"/>
            </w:tblGrid>
            <w:tr w14:paraId="30DB8F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dxa"/>
                  <w:gridSpan w:val="2"/>
                  <w:vMerge w:val="restart"/>
                  <w:tcBorders>
                    <w:tl2br w:val="nil"/>
                    <w:tr2bl w:val="nil"/>
                  </w:tcBorders>
                  <w:noWrap w:val="0"/>
                  <w:vAlign w:val="center"/>
                </w:tcPr>
                <w:p w14:paraId="707B52A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废气类别</w:t>
                  </w:r>
                </w:p>
              </w:tc>
              <w:tc>
                <w:tcPr>
                  <w:tcW w:w="413" w:type="dxa"/>
                  <w:vMerge w:val="restart"/>
                  <w:tcBorders>
                    <w:tl2br w:val="nil"/>
                    <w:tr2bl w:val="nil"/>
                  </w:tcBorders>
                  <w:noWrap w:val="0"/>
                  <w:vAlign w:val="center"/>
                </w:tcPr>
                <w:p w14:paraId="2B37A2D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排气筒</w:t>
                  </w:r>
                </w:p>
              </w:tc>
              <w:tc>
                <w:tcPr>
                  <w:tcW w:w="546" w:type="dxa"/>
                  <w:vMerge w:val="restart"/>
                  <w:tcBorders>
                    <w:tl2br w:val="nil"/>
                    <w:tr2bl w:val="nil"/>
                  </w:tcBorders>
                  <w:noWrap w:val="0"/>
                  <w:vAlign w:val="center"/>
                </w:tcPr>
                <w:p w14:paraId="5C4AF1D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废气量m</w:t>
                  </w:r>
                  <w:r>
                    <w:rPr>
                      <w:rFonts w:hint="default" w:ascii="Times New Roman" w:hAnsi="Times New Roman" w:eastAsia="宋体" w:cs="Times New Roman"/>
                      <w:bCs/>
                      <w:color w:val="auto"/>
                      <w:sz w:val="22"/>
                      <w:szCs w:val="22"/>
                      <w:vertAlign w:val="superscript"/>
                      <w:lang w:val="en-US" w:eastAsia="zh-CN"/>
                    </w:rPr>
                    <w:t>3</w:t>
                  </w:r>
                  <w:r>
                    <w:rPr>
                      <w:rFonts w:hint="default" w:ascii="Times New Roman" w:hAnsi="Times New Roman" w:eastAsia="宋体" w:cs="Times New Roman"/>
                      <w:bCs/>
                      <w:color w:val="auto"/>
                      <w:sz w:val="22"/>
                      <w:szCs w:val="22"/>
                      <w:vertAlign w:val="baseline"/>
                      <w:lang w:val="en-US" w:eastAsia="zh-CN"/>
                    </w:rPr>
                    <w:t>/h</w:t>
                  </w:r>
                </w:p>
              </w:tc>
              <w:tc>
                <w:tcPr>
                  <w:tcW w:w="900" w:type="dxa"/>
                  <w:vMerge w:val="restart"/>
                  <w:tcBorders>
                    <w:tl2br w:val="nil"/>
                    <w:tr2bl w:val="nil"/>
                  </w:tcBorders>
                  <w:noWrap w:val="0"/>
                  <w:vAlign w:val="center"/>
                </w:tcPr>
                <w:p w14:paraId="4AB2B80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污染</w:t>
                  </w:r>
                </w:p>
                <w:p w14:paraId="69BBDFC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因子</w:t>
                  </w:r>
                </w:p>
              </w:tc>
              <w:tc>
                <w:tcPr>
                  <w:tcW w:w="2909" w:type="dxa"/>
                  <w:gridSpan w:val="3"/>
                  <w:tcBorders>
                    <w:tl2br w:val="nil"/>
                    <w:tr2bl w:val="nil"/>
                  </w:tcBorders>
                  <w:noWrap w:val="0"/>
                  <w:vAlign w:val="center"/>
                </w:tcPr>
                <w:p w14:paraId="1001333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产生情况</w:t>
                  </w:r>
                </w:p>
              </w:tc>
              <w:tc>
                <w:tcPr>
                  <w:tcW w:w="1777" w:type="dxa"/>
                  <w:gridSpan w:val="2"/>
                  <w:tcBorders>
                    <w:tl2br w:val="nil"/>
                    <w:tr2bl w:val="nil"/>
                  </w:tcBorders>
                  <w:noWrap w:val="0"/>
                  <w:vAlign w:val="center"/>
                </w:tcPr>
                <w:p w14:paraId="39F4FF0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治理情况</w:t>
                  </w:r>
                </w:p>
              </w:tc>
              <w:tc>
                <w:tcPr>
                  <w:tcW w:w="2733" w:type="dxa"/>
                  <w:gridSpan w:val="3"/>
                  <w:tcBorders>
                    <w:tl2br w:val="nil"/>
                    <w:tr2bl w:val="nil"/>
                  </w:tcBorders>
                  <w:noWrap w:val="0"/>
                  <w:vAlign w:val="center"/>
                </w:tcPr>
                <w:p w14:paraId="0F78D56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排放情况</w:t>
                  </w:r>
                </w:p>
              </w:tc>
              <w:tc>
                <w:tcPr>
                  <w:tcW w:w="1589" w:type="dxa"/>
                  <w:gridSpan w:val="2"/>
                  <w:tcBorders>
                    <w:tl2br w:val="nil"/>
                    <w:tr2bl w:val="nil"/>
                  </w:tcBorders>
                  <w:noWrap w:val="0"/>
                  <w:vAlign w:val="center"/>
                </w:tcPr>
                <w:p w14:paraId="77EC887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排放标准</w:t>
                  </w:r>
                </w:p>
              </w:tc>
            </w:tr>
            <w:tr w14:paraId="26DAA5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dxa"/>
                  <w:gridSpan w:val="2"/>
                  <w:vMerge w:val="continue"/>
                  <w:tcBorders>
                    <w:tl2br w:val="nil"/>
                    <w:tr2bl w:val="nil"/>
                  </w:tcBorders>
                  <w:noWrap w:val="0"/>
                  <w:vAlign w:val="center"/>
                </w:tcPr>
                <w:p w14:paraId="277ABE4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745084F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6D456DE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vMerge w:val="continue"/>
                  <w:tcBorders>
                    <w:tl2br w:val="nil"/>
                    <w:tr2bl w:val="nil"/>
                  </w:tcBorders>
                  <w:noWrap w:val="0"/>
                  <w:vAlign w:val="center"/>
                </w:tcPr>
                <w:p w14:paraId="365D286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1050" w:type="dxa"/>
                  <w:tcBorders>
                    <w:tl2br w:val="nil"/>
                    <w:tr2bl w:val="nil"/>
                  </w:tcBorders>
                  <w:noWrap w:val="0"/>
                  <w:vAlign w:val="center"/>
                </w:tcPr>
                <w:p w14:paraId="53F99E8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产生浓度mg/m</w:t>
                  </w:r>
                  <w:r>
                    <w:rPr>
                      <w:rFonts w:hint="default" w:ascii="Times New Roman" w:hAnsi="Times New Roman" w:eastAsia="宋体" w:cs="Times New Roman"/>
                      <w:bCs/>
                      <w:color w:val="auto"/>
                      <w:sz w:val="22"/>
                      <w:szCs w:val="22"/>
                      <w:vertAlign w:val="superscript"/>
                      <w:lang w:val="en-US" w:eastAsia="zh-CN"/>
                    </w:rPr>
                    <w:t>3</w:t>
                  </w:r>
                </w:p>
              </w:tc>
              <w:tc>
                <w:tcPr>
                  <w:tcW w:w="975" w:type="dxa"/>
                  <w:tcBorders>
                    <w:tl2br w:val="nil"/>
                    <w:tr2bl w:val="nil"/>
                  </w:tcBorders>
                  <w:noWrap w:val="0"/>
                  <w:vAlign w:val="center"/>
                </w:tcPr>
                <w:p w14:paraId="09AE3F1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产生速率kg/h</w:t>
                  </w:r>
                </w:p>
              </w:tc>
              <w:tc>
                <w:tcPr>
                  <w:tcW w:w="884" w:type="dxa"/>
                  <w:tcBorders>
                    <w:tl2br w:val="nil"/>
                    <w:tr2bl w:val="nil"/>
                  </w:tcBorders>
                  <w:noWrap w:val="0"/>
                  <w:vAlign w:val="center"/>
                </w:tcPr>
                <w:p w14:paraId="3A22AD5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产生量t/a</w:t>
                  </w:r>
                </w:p>
              </w:tc>
              <w:tc>
                <w:tcPr>
                  <w:tcW w:w="1102" w:type="dxa"/>
                  <w:tcBorders>
                    <w:tl2br w:val="nil"/>
                    <w:tr2bl w:val="nil"/>
                  </w:tcBorders>
                  <w:noWrap w:val="0"/>
                  <w:vAlign w:val="center"/>
                </w:tcPr>
                <w:p w14:paraId="2B7666B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治理措施</w:t>
                  </w:r>
                </w:p>
              </w:tc>
              <w:tc>
                <w:tcPr>
                  <w:tcW w:w="675" w:type="dxa"/>
                  <w:tcBorders>
                    <w:tl2br w:val="nil"/>
                    <w:tr2bl w:val="nil"/>
                  </w:tcBorders>
                  <w:noWrap w:val="0"/>
                  <w:vAlign w:val="center"/>
                </w:tcPr>
                <w:p w14:paraId="75982F1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治理效率%</w:t>
                  </w:r>
                </w:p>
              </w:tc>
              <w:tc>
                <w:tcPr>
                  <w:tcW w:w="884" w:type="dxa"/>
                  <w:tcBorders>
                    <w:tl2br w:val="nil"/>
                    <w:tr2bl w:val="nil"/>
                  </w:tcBorders>
                  <w:noWrap w:val="0"/>
                  <w:vAlign w:val="center"/>
                </w:tcPr>
                <w:p w14:paraId="6285C33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排放浓度mg/m</w:t>
                  </w:r>
                  <w:r>
                    <w:rPr>
                      <w:rFonts w:hint="default" w:ascii="Times New Roman" w:hAnsi="Times New Roman" w:eastAsia="宋体" w:cs="Times New Roman"/>
                      <w:bCs/>
                      <w:color w:val="auto"/>
                      <w:sz w:val="22"/>
                      <w:szCs w:val="22"/>
                      <w:vertAlign w:val="superscript"/>
                      <w:lang w:val="en-US" w:eastAsia="zh-CN"/>
                    </w:rPr>
                    <w:t>3</w:t>
                  </w:r>
                </w:p>
              </w:tc>
              <w:tc>
                <w:tcPr>
                  <w:tcW w:w="954" w:type="dxa"/>
                  <w:tcBorders>
                    <w:tl2br w:val="nil"/>
                    <w:tr2bl w:val="nil"/>
                  </w:tcBorders>
                  <w:noWrap w:val="0"/>
                  <w:vAlign w:val="center"/>
                </w:tcPr>
                <w:p w14:paraId="2BF1AF5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排放速率kg/h</w:t>
                  </w:r>
                </w:p>
              </w:tc>
              <w:tc>
                <w:tcPr>
                  <w:tcW w:w="895" w:type="dxa"/>
                  <w:tcBorders>
                    <w:tl2br w:val="nil"/>
                    <w:tr2bl w:val="nil"/>
                  </w:tcBorders>
                  <w:noWrap w:val="0"/>
                  <w:vAlign w:val="center"/>
                </w:tcPr>
                <w:p w14:paraId="70043BE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排放量t/a</w:t>
                  </w:r>
                </w:p>
              </w:tc>
              <w:tc>
                <w:tcPr>
                  <w:tcW w:w="852" w:type="dxa"/>
                  <w:tcBorders>
                    <w:tl2br w:val="nil"/>
                    <w:tr2bl w:val="nil"/>
                  </w:tcBorders>
                  <w:noWrap w:val="0"/>
                  <w:vAlign w:val="center"/>
                </w:tcPr>
                <w:p w14:paraId="3F34CCD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排放浓度mg/m</w:t>
                  </w:r>
                  <w:r>
                    <w:rPr>
                      <w:rFonts w:hint="default" w:ascii="Times New Roman" w:hAnsi="Times New Roman" w:eastAsia="宋体" w:cs="Times New Roman"/>
                      <w:bCs/>
                      <w:color w:val="auto"/>
                      <w:sz w:val="22"/>
                      <w:szCs w:val="22"/>
                      <w:vertAlign w:val="superscript"/>
                      <w:lang w:val="en-US" w:eastAsia="zh-CN"/>
                    </w:rPr>
                    <w:t>3</w:t>
                  </w:r>
                </w:p>
              </w:tc>
              <w:tc>
                <w:tcPr>
                  <w:tcW w:w="737" w:type="dxa"/>
                  <w:tcBorders>
                    <w:tl2br w:val="nil"/>
                    <w:tr2bl w:val="nil"/>
                  </w:tcBorders>
                  <w:noWrap w:val="0"/>
                  <w:vAlign w:val="center"/>
                </w:tcPr>
                <w:p w14:paraId="581E450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排放速率kg/h</w:t>
                  </w:r>
                </w:p>
              </w:tc>
            </w:tr>
            <w:tr w14:paraId="3AF6F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restart"/>
                  <w:tcBorders>
                    <w:tl2br w:val="nil"/>
                    <w:tr2bl w:val="nil"/>
                  </w:tcBorders>
                  <w:noWrap w:val="0"/>
                  <w:vAlign w:val="center"/>
                </w:tcPr>
                <w:p w14:paraId="2896585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1#25t炉</w:t>
                  </w:r>
                </w:p>
              </w:tc>
              <w:tc>
                <w:tcPr>
                  <w:tcW w:w="711" w:type="dxa"/>
                  <w:vMerge w:val="restart"/>
                  <w:tcBorders>
                    <w:tl2br w:val="nil"/>
                    <w:tr2bl w:val="nil"/>
                  </w:tcBorders>
                  <w:noWrap w:val="0"/>
                  <w:vAlign w:val="center"/>
                </w:tcPr>
                <w:p w14:paraId="6D0898B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加料、扒渣、取样分析时段</w:t>
                  </w:r>
                </w:p>
              </w:tc>
              <w:tc>
                <w:tcPr>
                  <w:tcW w:w="413" w:type="dxa"/>
                  <w:vMerge w:val="restart"/>
                  <w:tcBorders>
                    <w:tl2br w:val="nil"/>
                    <w:tr2bl w:val="nil"/>
                  </w:tcBorders>
                  <w:noWrap w:val="0"/>
                  <w:vAlign w:val="center"/>
                </w:tcPr>
                <w:p w14:paraId="57378FE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DA002</w:t>
                  </w:r>
                </w:p>
              </w:tc>
              <w:tc>
                <w:tcPr>
                  <w:tcW w:w="546" w:type="dxa"/>
                  <w:vMerge w:val="restart"/>
                  <w:tcBorders>
                    <w:tl2br w:val="nil"/>
                    <w:tr2bl w:val="nil"/>
                  </w:tcBorders>
                  <w:noWrap w:val="0"/>
                  <w:vAlign w:val="center"/>
                </w:tcPr>
                <w:p w14:paraId="56660FE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13900</w:t>
                  </w:r>
                </w:p>
              </w:tc>
              <w:tc>
                <w:tcPr>
                  <w:tcW w:w="900" w:type="dxa"/>
                  <w:tcBorders>
                    <w:tl2br w:val="nil"/>
                    <w:tr2bl w:val="nil"/>
                  </w:tcBorders>
                  <w:noWrap w:val="0"/>
                  <w:vAlign w:val="center"/>
                </w:tcPr>
                <w:p w14:paraId="3327B94D">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颗粒物</w:t>
                  </w:r>
                </w:p>
              </w:tc>
              <w:tc>
                <w:tcPr>
                  <w:tcW w:w="1050" w:type="dxa"/>
                  <w:tcBorders>
                    <w:tl2br w:val="nil"/>
                    <w:tr2bl w:val="nil"/>
                  </w:tcBorders>
                  <w:noWrap w:val="0"/>
                  <w:vAlign w:val="center"/>
                </w:tcPr>
                <w:p w14:paraId="3B22D1A4">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2652.52 </w:t>
                  </w:r>
                </w:p>
              </w:tc>
              <w:tc>
                <w:tcPr>
                  <w:tcW w:w="975" w:type="dxa"/>
                  <w:tcBorders>
                    <w:tl2br w:val="nil"/>
                    <w:tr2bl w:val="nil"/>
                  </w:tcBorders>
                  <w:noWrap w:val="0"/>
                  <w:vAlign w:val="center"/>
                </w:tcPr>
                <w:p w14:paraId="606C645A">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36.87 </w:t>
                  </w:r>
                </w:p>
              </w:tc>
              <w:tc>
                <w:tcPr>
                  <w:tcW w:w="884" w:type="dxa"/>
                  <w:tcBorders>
                    <w:tl2br w:val="nil"/>
                    <w:tr2bl w:val="nil"/>
                  </w:tcBorders>
                  <w:noWrap w:val="0"/>
                  <w:vAlign w:val="center"/>
                </w:tcPr>
                <w:p w14:paraId="282BA4CA">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15.89 </w:t>
                  </w:r>
                </w:p>
              </w:tc>
              <w:tc>
                <w:tcPr>
                  <w:tcW w:w="1102" w:type="dxa"/>
                  <w:vMerge w:val="restart"/>
                  <w:tcBorders>
                    <w:tl2br w:val="nil"/>
                    <w:tr2bl w:val="nil"/>
                  </w:tcBorders>
                  <w:noWrap w:val="0"/>
                  <w:vAlign w:val="center"/>
                </w:tcPr>
                <w:p w14:paraId="28F3018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旋风+布袋除尘</w:t>
                  </w:r>
                </w:p>
              </w:tc>
              <w:tc>
                <w:tcPr>
                  <w:tcW w:w="675" w:type="dxa"/>
                  <w:tcBorders>
                    <w:tl2br w:val="nil"/>
                    <w:tr2bl w:val="nil"/>
                  </w:tcBorders>
                  <w:noWrap w:val="0"/>
                  <w:vAlign w:val="center"/>
                </w:tcPr>
                <w:p w14:paraId="26A5BBC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99%</w:t>
                  </w:r>
                </w:p>
              </w:tc>
              <w:tc>
                <w:tcPr>
                  <w:tcW w:w="884" w:type="dxa"/>
                  <w:tcBorders>
                    <w:tl2br w:val="nil"/>
                    <w:tr2bl w:val="nil"/>
                  </w:tcBorders>
                  <w:noWrap w:val="0"/>
                  <w:vAlign w:val="center"/>
                </w:tcPr>
                <w:p w14:paraId="23D4C64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1B9429A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0C9BD5C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6FDAF06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1A82CBC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063658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557323A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0696A97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2A21371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749D522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110B28E2">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NOx</w:t>
                  </w:r>
                </w:p>
              </w:tc>
              <w:tc>
                <w:tcPr>
                  <w:tcW w:w="1050" w:type="dxa"/>
                  <w:tcBorders>
                    <w:tl2br w:val="nil"/>
                    <w:tr2bl w:val="nil"/>
                  </w:tcBorders>
                  <w:noWrap w:val="0"/>
                  <w:vAlign w:val="center"/>
                </w:tcPr>
                <w:p w14:paraId="4ABFA98F">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40.29 </w:t>
                  </w:r>
                </w:p>
              </w:tc>
              <w:tc>
                <w:tcPr>
                  <w:tcW w:w="975" w:type="dxa"/>
                  <w:tcBorders>
                    <w:tl2br w:val="nil"/>
                    <w:tr2bl w:val="nil"/>
                  </w:tcBorders>
                  <w:noWrap w:val="0"/>
                  <w:vAlign w:val="center"/>
                </w:tcPr>
                <w:p w14:paraId="248E44FD">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0.56 </w:t>
                  </w:r>
                </w:p>
              </w:tc>
              <w:tc>
                <w:tcPr>
                  <w:tcW w:w="884" w:type="dxa"/>
                  <w:tcBorders>
                    <w:tl2br w:val="nil"/>
                    <w:tr2bl w:val="nil"/>
                  </w:tcBorders>
                  <w:noWrap w:val="0"/>
                  <w:vAlign w:val="center"/>
                </w:tcPr>
                <w:p w14:paraId="4C4E3410">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0.50 </w:t>
                  </w:r>
                </w:p>
              </w:tc>
              <w:tc>
                <w:tcPr>
                  <w:tcW w:w="1102" w:type="dxa"/>
                  <w:vMerge w:val="continue"/>
                  <w:tcBorders>
                    <w:tl2br w:val="nil"/>
                    <w:tr2bl w:val="nil"/>
                  </w:tcBorders>
                  <w:noWrap w:val="0"/>
                  <w:vAlign w:val="center"/>
                </w:tcPr>
                <w:p w14:paraId="3FF4E83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39CEEB0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701ADBE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7FEC259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0348C85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5156B21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7DD7EE2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21712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696D82E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37EE7C5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4AB56AB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24851ED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6E3D6F4F">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highlight w:val="green"/>
                      <w:vertAlign w:val="baseline"/>
                      <w:lang w:val="en-US" w:eastAsia="zh-CN" w:bidi="ar-SA"/>
                    </w:rPr>
                  </w:pPr>
                  <w:r>
                    <w:rPr>
                      <w:rFonts w:hint="default" w:ascii="Times New Roman" w:hAnsi="Times New Roman" w:eastAsia="宋体" w:cs="Times New Roman"/>
                      <w:bCs/>
                      <w:color w:val="auto"/>
                      <w:sz w:val="22"/>
                      <w:szCs w:val="22"/>
                      <w:highlight w:val="none"/>
                      <w:lang w:val="en-US" w:eastAsia="zh-CN"/>
                    </w:rPr>
                    <w:t>SO</w:t>
                  </w:r>
                  <w:r>
                    <w:rPr>
                      <w:rFonts w:hint="default" w:ascii="Times New Roman" w:hAnsi="Times New Roman" w:eastAsia="宋体" w:cs="Times New Roman"/>
                      <w:bCs/>
                      <w:color w:val="auto"/>
                      <w:sz w:val="22"/>
                      <w:szCs w:val="22"/>
                      <w:highlight w:val="none"/>
                      <w:vertAlign w:val="subscript"/>
                      <w:lang w:val="en-US" w:eastAsia="zh-CN"/>
                    </w:rPr>
                    <w:t>2</w:t>
                  </w:r>
                </w:p>
              </w:tc>
              <w:tc>
                <w:tcPr>
                  <w:tcW w:w="1050" w:type="dxa"/>
                  <w:tcBorders>
                    <w:tl2br w:val="nil"/>
                    <w:tr2bl w:val="nil"/>
                  </w:tcBorders>
                  <w:noWrap w:val="0"/>
                  <w:vAlign w:val="center"/>
                </w:tcPr>
                <w:p w14:paraId="063735EB">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3.09 </w:t>
                  </w:r>
                </w:p>
              </w:tc>
              <w:tc>
                <w:tcPr>
                  <w:tcW w:w="975" w:type="dxa"/>
                  <w:tcBorders>
                    <w:tl2br w:val="nil"/>
                    <w:tr2bl w:val="nil"/>
                  </w:tcBorders>
                  <w:noWrap w:val="0"/>
                  <w:vAlign w:val="center"/>
                </w:tcPr>
                <w:p w14:paraId="61F07686">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0.043 </w:t>
                  </w:r>
                </w:p>
              </w:tc>
              <w:tc>
                <w:tcPr>
                  <w:tcW w:w="884" w:type="dxa"/>
                  <w:tcBorders>
                    <w:tl2br w:val="nil"/>
                    <w:tr2bl w:val="nil"/>
                  </w:tcBorders>
                  <w:noWrap w:val="0"/>
                  <w:vAlign w:val="center"/>
                </w:tcPr>
                <w:p w14:paraId="5F3E7B44">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0.04 </w:t>
                  </w:r>
                </w:p>
              </w:tc>
              <w:tc>
                <w:tcPr>
                  <w:tcW w:w="1102" w:type="dxa"/>
                  <w:vMerge w:val="continue"/>
                  <w:tcBorders>
                    <w:tl2br w:val="nil"/>
                    <w:tr2bl w:val="nil"/>
                  </w:tcBorders>
                  <w:noWrap w:val="0"/>
                  <w:vAlign w:val="center"/>
                </w:tcPr>
                <w:p w14:paraId="0FEC235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6DBCDB6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3E2739D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278BFFF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036E066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4B36839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17378DA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2B766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254F132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6048A2C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371FBC5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32FE395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49DB1DE5">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HCl</w:t>
                  </w:r>
                </w:p>
              </w:tc>
              <w:tc>
                <w:tcPr>
                  <w:tcW w:w="1050" w:type="dxa"/>
                  <w:tcBorders>
                    <w:tl2br w:val="nil"/>
                    <w:tr2bl w:val="nil"/>
                  </w:tcBorders>
                  <w:noWrap w:val="0"/>
                  <w:vAlign w:val="center"/>
                </w:tcPr>
                <w:p w14:paraId="08C35D01">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3.38 </w:t>
                  </w:r>
                </w:p>
              </w:tc>
              <w:tc>
                <w:tcPr>
                  <w:tcW w:w="975" w:type="dxa"/>
                  <w:tcBorders>
                    <w:tl2br w:val="nil"/>
                    <w:tr2bl w:val="nil"/>
                  </w:tcBorders>
                  <w:noWrap w:val="0"/>
                  <w:vAlign w:val="center"/>
                </w:tcPr>
                <w:p w14:paraId="069FC6C4">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0.047 </w:t>
                  </w:r>
                </w:p>
              </w:tc>
              <w:tc>
                <w:tcPr>
                  <w:tcW w:w="884" w:type="dxa"/>
                  <w:tcBorders>
                    <w:tl2br w:val="nil"/>
                    <w:tr2bl w:val="nil"/>
                  </w:tcBorders>
                  <w:noWrap w:val="0"/>
                  <w:vAlign w:val="center"/>
                </w:tcPr>
                <w:p w14:paraId="658994B0">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0.04 </w:t>
                  </w:r>
                </w:p>
              </w:tc>
              <w:tc>
                <w:tcPr>
                  <w:tcW w:w="1102" w:type="dxa"/>
                  <w:vMerge w:val="continue"/>
                  <w:tcBorders>
                    <w:tl2br w:val="nil"/>
                    <w:tr2bl w:val="nil"/>
                  </w:tcBorders>
                  <w:noWrap w:val="0"/>
                  <w:vAlign w:val="center"/>
                </w:tcPr>
                <w:p w14:paraId="0190FB2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548E7B2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41D4D3E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43E3F38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18B3A04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70319F8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1999309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27A38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30BF35F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31BC821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4C3440A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177963F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7C131FCD">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氟化物</w:t>
                  </w:r>
                </w:p>
              </w:tc>
              <w:tc>
                <w:tcPr>
                  <w:tcW w:w="1050" w:type="dxa"/>
                  <w:tcBorders>
                    <w:tl2br w:val="nil"/>
                    <w:tr2bl w:val="nil"/>
                  </w:tcBorders>
                  <w:noWrap w:val="0"/>
                  <w:vAlign w:val="center"/>
                </w:tcPr>
                <w:p w14:paraId="2F6A532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0.72 </w:t>
                  </w:r>
                </w:p>
              </w:tc>
              <w:tc>
                <w:tcPr>
                  <w:tcW w:w="975" w:type="dxa"/>
                  <w:tcBorders>
                    <w:tl2br w:val="nil"/>
                    <w:tr2bl w:val="nil"/>
                  </w:tcBorders>
                  <w:noWrap w:val="0"/>
                  <w:vAlign w:val="center"/>
                </w:tcPr>
                <w:p w14:paraId="1FFB653C">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0.010 </w:t>
                  </w:r>
                </w:p>
              </w:tc>
              <w:tc>
                <w:tcPr>
                  <w:tcW w:w="884" w:type="dxa"/>
                  <w:tcBorders>
                    <w:tl2br w:val="nil"/>
                    <w:tr2bl w:val="nil"/>
                  </w:tcBorders>
                  <w:noWrap w:val="0"/>
                  <w:vAlign w:val="center"/>
                </w:tcPr>
                <w:p w14:paraId="481E62C1">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0.01 </w:t>
                  </w:r>
                </w:p>
              </w:tc>
              <w:tc>
                <w:tcPr>
                  <w:tcW w:w="1102" w:type="dxa"/>
                  <w:vMerge w:val="continue"/>
                  <w:tcBorders>
                    <w:tl2br w:val="nil"/>
                    <w:tr2bl w:val="nil"/>
                  </w:tcBorders>
                  <w:noWrap w:val="0"/>
                  <w:vAlign w:val="center"/>
                </w:tcPr>
                <w:p w14:paraId="0345A3E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66F74C8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30D4B5C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4580EFE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61500DC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1F74B62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7349775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404F0A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58B8169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restart"/>
                  <w:tcBorders>
                    <w:tl2br w:val="nil"/>
                    <w:tr2bl w:val="nil"/>
                  </w:tcBorders>
                  <w:noWrap w:val="0"/>
                  <w:vAlign w:val="center"/>
                </w:tcPr>
                <w:p w14:paraId="13472BA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lang w:val="en-US" w:eastAsia="zh-CN"/>
                    </w:rPr>
                    <w:t>熔炼其他时段</w:t>
                  </w:r>
                </w:p>
              </w:tc>
              <w:tc>
                <w:tcPr>
                  <w:tcW w:w="413" w:type="dxa"/>
                  <w:vMerge w:val="continue"/>
                  <w:tcBorders>
                    <w:tl2br w:val="nil"/>
                    <w:tr2bl w:val="nil"/>
                  </w:tcBorders>
                  <w:noWrap w:val="0"/>
                  <w:vAlign w:val="center"/>
                </w:tcPr>
                <w:p w14:paraId="40A3FC2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restart"/>
                  <w:tcBorders>
                    <w:tl2br w:val="nil"/>
                    <w:tr2bl w:val="nil"/>
                  </w:tcBorders>
                  <w:noWrap w:val="0"/>
                  <w:vAlign w:val="center"/>
                </w:tcPr>
                <w:p w14:paraId="403A9DC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30000</w:t>
                  </w:r>
                </w:p>
              </w:tc>
              <w:tc>
                <w:tcPr>
                  <w:tcW w:w="900" w:type="dxa"/>
                  <w:tcBorders>
                    <w:tl2br w:val="nil"/>
                    <w:tr2bl w:val="nil"/>
                  </w:tcBorders>
                  <w:noWrap w:val="0"/>
                  <w:vAlign w:val="center"/>
                </w:tcPr>
                <w:p w14:paraId="47244738">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颗粒物</w:t>
                  </w:r>
                </w:p>
              </w:tc>
              <w:tc>
                <w:tcPr>
                  <w:tcW w:w="1050" w:type="dxa"/>
                  <w:tcBorders>
                    <w:tl2br w:val="nil"/>
                    <w:tr2bl w:val="nil"/>
                  </w:tcBorders>
                  <w:noWrap w:val="0"/>
                  <w:vAlign w:val="center"/>
                </w:tcPr>
                <w:p w14:paraId="3D4201C5">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819.33 </w:t>
                  </w:r>
                </w:p>
              </w:tc>
              <w:tc>
                <w:tcPr>
                  <w:tcW w:w="975" w:type="dxa"/>
                  <w:tcBorders>
                    <w:tl2br w:val="nil"/>
                    <w:tr2bl w:val="nil"/>
                  </w:tcBorders>
                  <w:noWrap w:val="0"/>
                  <w:vAlign w:val="center"/>
                </w:tcPr>
                <w:p w14:paraId="249D7A50">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24.58 </w:t>
                  </w:r>
                </w:p>
              </w:tc>
              <w:tc>
                <w:tcPr>
                  <w:tcW w:w="884" w:type="dxa"/>
                  <w:tcBorders>
                    <w:tl2br w:val="nil"/>
                    <w:tr2bl w:val="nil"/>
                  </w:tcBorders>
                  <w:noWrap w:val="0"/>
                  <w:vAlign w:val="center"/>
                </w:tcPr>
                <w:p w14:paraId="55985555">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100.07 </w:t>
                  </w:r>
                </w:p>
              </w:tc>
              <w:tc>
                <w:tcPr>
                  <w:tcW w:w="1102" w:type="dxa"/>
                  <w:vMerge w:val="restart"/>
                  <w:tcBorders>
                    <w:tl2br w:val="nil"/>
                    <w:tr2bl w:val="nil"/>
                  </w:tcBorders>
                  <w:noWrap w:val="0"/>
                  <w:vAlign w:val="center"/>
                </w:tcPr>
                <w:p w14:paraId="3A3CE9A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旋风+布袋除尘</w:t>
                  </w:r>
                </w:p>
              </w:tc>
              <w:tc>
                <w:tcPr>
                  <w:tcW w:w="675" w:type="dxa"/>
                  <w:tcBorders>
                    <w:tl2br w:val="nil"/>
                    <w:tr2bl w:val="nil"/>
                  </w:tcBorders>
                  <w:noWrap w:val="0"/>
                  <w:vAlign w:val="center"/>
                </w:tcPr>
                <w:p w14:paraId="4B6954C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99%</w:t>
                  </w:r>
                </w:p>
              </w:tc>
              <w:tc>
                <w:tcPr>
                  <w:tcW w:w="884" w:type="dxa"/>
                  <w:tcBorders>
                    <w:tl2br w:val="nil"/>
                    <w:tr2bl w:val="nil"/>
                  </w:tcBorders>
                  <w:noWrap w:val="0"/>
                  <w:vAlign w:val="center"/>
                </w:tcPr>
                <w:p w14:paraId="445D2D9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5138062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637BC3D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4022260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1E26853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40055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4CE82E3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758B0FE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694DEC2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7719B4A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7D13896B">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NOx</w:t>
                  </w:r>
                </w:p>
              </w:tc>
              <w:tc>
                <w:tcPr>
                  <w:tcW w:w="1050" w:type="dxa"/>
                  <w:tcBorders>
                    <w:tl2br w:val="nil"/>
                    <w:tr2bl w:val="nil"/>
                  </w:tcBorders>
                  <w:noWrap w:val="0"/>
                  <w:vAlign w:val="center"/>
                </w:tcPr>
                <w:p w14:paraId="2C409A41">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25.67 </w:t>
                  </w:r>
                </w:p>
              </w:tc>
              <w:tc>
                <w:tcPr>
                  <w:tcW w:w="975" w:type="dxa"/>
                  <w:tcBorders>
                    <w:tl2br w:val="nil"/>
                    <w:tr2bl w:val="nil"/>
                  </w:tcBorders>
                  <w:noWrap w:val="0"/>
                  <w:vAlign w:val="center"/>
                </w:tcPr>
                <w:p w14:paraId="6454CC1E">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0.77 </w:t>
                  </w:r>
                </w:p>
              </w:tc>
              <w:tc>
                <w:tcPr>
                  <w:tcW w:w="884" w:type="dxa"/>
                  <w:tcBorders>
                    <w:tl2br w:val="nil"/>
                    <w:tr2bl w:val="nil"/>
                  </w:tcBorders>
                  <w:noWrap w:val="0"/>
                  <w:vAlign w:val="center"/>
                </w:tcPr>
                <w:p w14:paraId="338AE20A">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3.15 </w:t>
                  </w:r>
                </w:p>
              </w:tc>
              <w:tc>
                <w:tcPr>
                  <w:tcW w:w="1102" w:type="dxa"/>
                  <w:vMerge w:val="continue"/>
                  <w:tcBorders>
                    <w:tl2br w:val="nil"/>
                    <w:tr2bl w:val="nil"/>
                  </w:tcBorders>
                  <w:noWrap w:val="0"/>
                  <w:vAlign w:val="center"/>
                </w:tcPr>
                <w:p w14:paraId="6560EA2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3E9DB6E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793C860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68E420A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00C70B5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63E08AF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44AD9BD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6CA0E3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10C5C86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153102D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4325F3D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2A4906F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6BEB4CF9">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SO</w:t>
                  </w:r>
                  <w:r>
                    <w:rPr>
                      <w:rFonts w:hint="default" w:ascii="Times New Roman" w:hAnsi="Times New Roman" w:eastAsia="宋体" w:cs="Times New Roman"/>
                      <w:bCs/>
                      <w:color w:val="auto"/>
                      <w:sz w:val="22"/>
                      <w:szCs w:val="22"/>
                      <w:vertAlign w:val="subscript"/>
                      <w:lang w:val="en-US" w:eastAsia="zh-CN"/>
                    </w:rPr>
                    <w:t>2</w:t>
                  </w:r>
                </w:p>
              </w:tc>
              <w:tc>
                <w:tcPr>
                  <w:tcW w:w="1050" w:type="dxa"/>
                  <w:tcBorders>
                    <w:tl2br w:val="nil"/>
                    <w:tr2bl w:val="nil"/>
                  </w:tcBorders>
                  <w:noWrap w:val="0"/>
                  <w:vAlign w:val="center"/>
                </w:tcPr>
                <w:p w14:paraId="46DB2021">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1.97 </w:t>
                  </w:r>
                </w:p>
              </w:tc>
              <w:tc>
                <w:tcPr>
                  <w:tcW w:w="975" w:type="dxa"/>
                  <w:tcBorders>
                    <w:tl2br w:val="nil"/>
                    <w:tr2bl w:val="nil"/>
                  </w:tcBorders>
                  <w:noWrap w:val="0"/>
                  <w:vAlign w:val="center"/>
                </w:tcPr>
                <w:p w14:paraId="235EFD53">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0.059 </w:t>
                  </w:r>
                </w:p>
              </w:tc>
              <w:tc>
                <w:tcPr>
                  <w:tcW w:w="884" w:type="dxa"/>
                  <w:tcBorders>
                    <w:tl2br w:val="nil"/>
                    <w:tr2bl w:val="nil"/>
                  </w:tcBorders>
                  <w:noWrap w:val="0"/>
                  <w:vAlign w:val="center"/>
                </w:tcPr>
                <w:p w14:paraId="58BAD814">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0.24 </w:t>
                  </w:r>
                </w:p>
              </w:tc>
              <w:tc>
                <w:tcPr>
                  <w:tcW w:w="1102" w:type="dxa"/>
                  <w:vMerge w:val="continue"/>
                  <w:tcBorders>
                    <w:tl2br w:val="nil"/>
                    <w:tr2bl w:val="nil"/>
                  </w:tcBorders>
                  <w:noWrap w:val="0"/>
                  <w:vAlign w:val="center"/>
                </w:tcPr>
                <w:p w14:paraId="00822B5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2B34F11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36E9032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2096529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54395D7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736D574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6AFC589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2A3AF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007435B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p>
              </w:tc>
              <w:tc>
                <w:tcPr>
                  <w:tcW w:w="711" w:type="dxa"/>
                  <w:vMerge w:val="continue"/>
                  <w:tcBorders>
                    <w:tl2br w:val="nil"/>
                    <w:tr2bl w:val="nil"/>
                  </w:tcBorders>
                  <w:noWrap w:val="0"/>
                  <w:vAlign w:val="center"/>
                </w:tcPr>
                <w:p w14:paraId="0965B30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44F8CD3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7BA5345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5573704F">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HCl</w:t>
                  </w:r>
                </w:p>
              </w:tc>
              <w:tc>
                <w:tcPr>
                  <w:tcW w:w="1050" w:type="dxa"/>
                  <w:tcBorders>
                    <w:tl2br w:val="nil"/>
                    <w:tr2bl w:val="nil"/>
                  </w:tcBorders>
                  <w:noWrap w:val="0"/>
                  <w:vAlign w:val="center"/>
                </w:tcPr>
                <w:p w14:paraId="1D3D04FC">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2.17 </w:t>
                  </w:r>
                </w:p>
              </w:tc>
              <w:tc>
                <w:tcPr>
                  <w:tcW w:w="975" w:type="dxa"/>
                  <w:tcBorders>
                    <w:tl2br w:val="nil"/>
                    <w:tr2bl w:val="nil"/>
                  </w:tcBorders>
                  <w:noWrap w:val="0"/>
                  <w:vAlign w:val="center"/>
                </w:tcPr>
                <w:p w14:paraId="07897F5B">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0.065 </w:t>
                  </w:r>
                </w:p>
              </w:tc>
              <w:tc>
                <w:tcPr>
                  <w:tcW w:w="884" w:type="dxa"/>
                  <w:tcBorders>
                    <w:tl2br w:val="nil"/>
                    <w:tr2bl w:val="nil"/>
                  </w:tcBorders>
                  <w:noWrap w:val="0"/>
                  <w:vAlign w:val="center"/>
                </w:tcPr>
                <w:p w14:paraId="00EB9B13">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0.26 </w:t>
                  </w:r>
                </w:p>
              </w:tc>
              <w:tc>
                <w:tcPr>
                  <w:tcW w:w="1102" w:type="dxa"/>
                  <w:vMerge w:val="continue"/>
                  <w:tcBorders>
                    <w:tl2br w:val="nil"/>
                    <w:tr2bl w:val="nil"/>
                  </w:tcBorders>
                  <w:noWrap w:val="0"/>
                  <w:vAlign w:val="center"/>
                </w:tcPr>
                <w:p w14:paraId="7DCC8EE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57B5781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0F401D1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4916E7B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20DC8B2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3ED9AEA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05347D3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1D0B2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0A08FBA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35D5BF3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4B495AE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6723B3C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572C459A">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氟化物</w:t>
                  </w:r>
                </w:p>
              </w:tc>
              <w:tc>
                <w:tcPr>
                  <w:tcW w:w="1050" w:type="dxa"/>
                  <w:tcBorders>
                    <w:tl2br w:val="nil"/>
                    <w:tr2bl w:val="nil"/>
                  </w:tcBorders>
                  <w:noWrap w:val="0"/>
                  <w:vAlign w:val="center"/>
                </w:tcPr>
                <w:p w14:paraId="025C296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0.47 </w:t>
                  </w:r>
                </w:p>
              </w:tc>
              <w:tc>
                <w:tcPr>
                  <w:tcW w:w="975" w:type="dxa"/>
                  <w:tcBorders>
                    <w:tl2br w:val="nil"/>
                    <w:tr2bl w:val="nil"/>
                  </w:tcBorders>
                  <w:noWrap w:val="0"/>
                  <w:vAlign w:val="center"/>
                </w:tcPr>
                <w:p w14:paraId="5D8A2C55">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0.014 </w:t>
                  </w:r>
                </w:p>
              </w:tc>
              <w:tc>
                <w:tcPr>
                  <w:tcW w:w="884" w:type="dxa"/>
                  <w:tcBorders>
                    <w:tl2br w:val="nil"/>
                    <w:tr2bl w:val="nil"/>
                  </w:tcBorders>
                  <w:noWrap w:val="0"/>
                  <w:vAlign w:val="center"/>
                </w:tcPr>
                <w:p w14:paraId="705FE87D">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0.06 </w:t>
                  </w:r>
                </w:p>
              </w:tc>
              <w:tc>
                <w:tcPr>
                  <w:tcW w:w="1102" w:type="dxa"/>
                  <w:vMerge w:val="continue"/>
                  <w:tcBorders>
                    <w:tl2br w:val="nil"/>
                    <w:tr2bl w:val="nil"/>
                  </w:tcBorders>
                  <w:noWrap w:val="0"/>
                  <w:vAlign w:val="center"/>
                </w:tcPr>
                <w:p w14:paraId="163AE9B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73E712F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55CB44F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6F23A7C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5C3A689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7900BE0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10E7E7B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1AD26B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restart"/>
                  <w:tcBorders>
                    <w:tl2br w:val="nil"/>
                    <w:tr2bl w:val="nil"/>
                  </w:tcBorders>
                  <w:noWrap w:val="0"/>
                  <w:vAlign w:val="center"/>
                </w:tcPr>
                <w:p w14:paraId="0EEB96A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2#25t炉</w:t>
                  </w:r>
                </w:p>
              </w:tc>
              <w:tc>
                <w:tcPr>
                  <w:tcW w:w="711" w:type="dxa"/>
                  <w:vMerge w:val="restart"/>
                  <w:tcBorders>
                    <w:tl2br w:val="nil"/>
                    <w:tr2bl w:val="nil"/>
                  </w:tcBorders>
                  <w:noWrap w:val="0"/>
                  <w:vAlign w:val="center"/>
                </w:tcPr>
                <w:p w14:paraId="2B9D901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lang w:val="en-US" w:eastAsia="zh-CN"/>
                    </w:rPr>
                    <w:t>加料、扒渣、取样分析时段</w:t>
                  </w:r>
                </w:p>
              </w:tc>
              <w:tc>
                <w:tcPr>
                  <w:tcW w:w="413" w:type="dxa"/>
                  <w:vMerge w:val="continue"/>
                  <w:tcBorders>
                    <w:tl2br w:val="nil"/>
                    <w:tr2bl w:val="nil"/>
                  </w:tcBorders>
                  <w:noWrap w:val="0"/>
                  <w:vAlign w:val="center"/>
                </w:tcPr>
                <w:p w14:paraId="6BF2064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restart"/>
                  <w:tcBorders>
                    <w:tl2br w:val="nil"/>
                    <w:tr2bl w:val="nil"/>
                  </w:tcBorders>
                  <w:noWrap w:val="0"/>
                  <w:vAlign w:val="center"/>
                </w:tcPr>
                <w:p w14:paraId="44150B1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13900</w:t>
                  </w:r>
                </w:p>
              </w:tc>
              <w:tc>
                <w:tcPr>
                  <w:tcW w:w="900" w:type="dxa"/>
                  <w:tcBorders>
                    <w:tl2br w:val="nil"/>
                    <w:tr2bl w:val="nil"/>
                  </w:tcBorders>
                  <w:noWrap w:val="0"/>
                  <w:vAlign w:val="center"/>
                </w:tcPr>
                <w:p w14:paraId="356A2155">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颗粒物</w:t>
                  </w:r>
                </w:p>
              </w:tc>
              <w:tc>
                <w:tcPr>
                  <w:tcW w:w="1050" w:type="dxa"/>
                  <w:tcBorders>
                    <w:tl2br w:val="nil"/>
                    <w:tr2bl w:val="nil"/>
                  </w:tcBorders>
                  <w:noWrap w:val="0"/>
                  <w:vAlign w:val="center"/>
                </w:tcPr>
                <w:p w14:paraId="02A0F8F0">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2652.52 </w:t>
                  </w:r>
                </w:p>
              </w:tc>
              <w:tc>
                <w:tcPr>
                  <w:tcW w:w="975" w:type="dxa"/>
                  <w:tcBorders>
                    <w:tl2br w:val="nil"/>
                    <w:tr2bl w:val="nil"/>
                  </w:tcBorders>
                  <w:noWrap w:val="0"/>
                  <w:vAlign w:val="center"/>
                </w:tcPr>
                <w:p w14:paraId="37B584D1">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36.87 </w:t>
                  </w:r>
                </w:p>
              </w:tc>
              <w:tc>
                <w:tcPr>
                  <w:tcW w:w="884" w:type="dxa"/>
                  <w:tcBorders>
                    <w:tl2br w:val="nil"/>
                    <w:tr2bl w:val="nil"/>
                  </w:tcBorders>
                  <w:noWrap w:val="0"/>
                  <w:vAlign w:val="center"/>
                </w:tcPr>
                <w:p w14:paraId="3DF731BF">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15.89 </w:t>
                  </w:r>
                </w:p>
              </w:tc>
              <w:tc>
                <w:tcPr>
                  <w:tcW w:w="1102" w:type="dxa"/>
                  <w:vMerge w:val="restart"/>
                  <w:tcBorders>
                    <w:tl2br w:val="nil"/>
                    <w:tr2bl w:val="nil"/>
                  </w:tcBorders>
                  <w:noWrap w:val="0"/>
                  <w:vAlign w:val="center"/>
                </w:tcPr>
                <w:p w14:paraId="5506E20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旋风+布袋除尘</w:t>
                  </w:r>
                </w:p>
              </w:tc>
              <w:tc>
                <w:tcPr>
                  <w:tcW w:w="675" w:type="dxa"/>
                  <w:tcBorders>
                    <w:tl2br w:val="nil"/>
                    <w:tr2bl w:val="nil"/>
                  </w:tcBorders>
                  <w:noWrap w:val="0"/>
                  <w:vAlign w:val="center"/>
                </w:tcPr>
                <w:p w14:paraId="563C89D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99%</w:t>
                  </w:r>
                </w:p>
              </w:tc>
              <w:tc>
                <w:tcPr>
                  <w:tcW w:w="884" w:type="dxa"/>
                  <w:tcBorders>
                    <w:tl2br w:val="nil"/>
                    <w:tr2bl w:val="nil"/>
                  </w:tcBorders>
                  <w:noWrap w:val="0"/>
                  <w:vAlign w:val="center"/>
                </w:tcPr>
                <w:p w14:paraId="4CF15A0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4813369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2D2AB9D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52FE5B1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3F652EC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60652A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3E14C33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1AEBD4C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25082E6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2072221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4387AECA">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NOx</w:t>
                  </w:r>
                </w:p>
              </w:tc>
              <w:tc>
                <w:tcPr>
                  <w:tcW w:w="1050" w:type="dxa"/>
                  <w:tcBorders>
                    <w:tl2br w:val="nil"/>
                    <w:tr2bl w:val="nil"/>
                  </w:tcBorders>
                  <w:noWrap w:val="0"/>
                  <w:vAlign w:val="center"/>
                </w:tcPr>
                <w:p w14:paraId="3445FCCB">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40.29 </w:t>
                  </w:r>
                </w:p>
              </w:tc>
              <w:tc>
                <w:tcPr>
                  <w:tcW w:w="975" w:type="dxa"/>
                  <w:tcBorders>
                    <w:tl2br w:val="nil"/>
                    <w:tr2bl w:val="nil"/>
                  </w:tcBorders>
                  <w:noWrap w:val="0"/>
                  <w:vAlign w:val="center"/>
                </w:tcPr>
                <w:p w14:paraId="3D503EE4">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0.56 </w:t>
                  </w:r>
                </w:p>
              </w:tc>
              <w:tc>
                <w:tcPr>
                  <w:tcW w:w="884" w:type="dxa"/>
                  <w:tcBorders>
                    <w:tl2br w:val="nil"/>
                    <w:tr2bl w:val="nil"/>
                  </w:tcBorders>
                  <w:noWrap w:val="0"/>
                  <w:vAlign w:val="center"/>
                </w:tcPr>
                <w:p w14:paraId="25F826DA">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0.50 </w:t>
                  </w:r>
                </w:p>
              </w:tc>
              <w:tc>
                <w:tcPr>
                  <w:tcW w:w="1102" w:type="dxa"/>
                  <w:vMerge w:val="continue"/>
                  <w:tcBorders>
                    <w:tl2br w:val="nil"/>
                    <w:tr2bl w:val="nil"/>
                  </w:tcBorders>
                  <w:noWrap w:val="0"/>
                  <w:vAlign w:val="center"/>
                </w:tcPr>
                <w:p w14:paraId="43E17A0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5E7F4CC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0B5761F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6E2566F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43AE548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5603A23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21FD126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682D21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742D8B8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7EEBEC1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481A413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488DE18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014E5D07">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highlight w:val="green"/>
                      <w:vertAlign w:val="baseline"/>
                      <w:lang w:val="en-US" w:eastAsia="zh-CN" w:bidi="ar-SA"/>
                    </w:rPr>
                  </w:pPr>
                  <w:r>
                    <w:rPr>
                      <w:rFonts w:hint="default" w:ascii="Times New Roman" w:hAnsi="Times New Roman" w:eastAsia="宋体" w:cs="Times New Roman"/>
                      <w:bCs/>
                      <w:color w:val="auto"/>
                      <w:sz w:val="22"/>
                      <w:szCs w:val="22"/>
                      <w:highlight w:val="none"/>
                      <w:lang w:val="en-US" w:eastAsia="zh-CN"/>
                    </w:rPr>
                    <w:t>SO</w:t>
                  </w:r>
                  <w:r>
                    <w:rPr>
                      <w:rFonts w:hint="default" w:ascii="Times New Roman" w:hAnsi="Times New Roman" w:eastAsia="宋体" w:cs="Times New Roman"/>
                      <w:bCs/>
                      <w:color w:val="auto"/>
                      <w:sz w:val="22"/>
                      <w:szCs w:val="22"/>
                      <w:highlight w:val="none"/>
                      <w:vertAlign w:val="subscript"/>
                      <w:lang w:val="en-US" w:eastAsia="zh-CN"/>
                    </w:rPr>
                    <w:t>2</w:t>
                  </w:r>
                </w:p>
              </w:tc>
              <w:tc>
                <w:tcPr>
                  <w:tcW w:w="1050" w:type="dxa"/>
                  <w:tcBorders>
                    <w:tl2br w:val="nil"/>
                    <w:tr2bl w:val="nil"/>
                  </w:tcBorders>
                  <w:noWrap w:val="0"/>
                  <w:vAlign w:val="center"/>
                </w:tcPr>
                <w:p w14:paraId="3E8508C7">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3.09 </w:t>
                  </w:r>
                </w:p>
              </w:tc>
              <w:tc>
                <w:tcPr>
                  <w:tcW w:w="975" w:type="dxa"/>
                  <w:tcBorders>
                    <w:tl2br w:val="nil"/>
                    <w:tr2bl w:val="nil"/>
                  </w:tcBorders>
                  <w:noWrap w:val="0"/>
                  <w:vAlign w:val="center"/>
                </w:tcPr>
                <w:p w14:paraId="7B5F4772">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0.043 </w:t>
                  </w:r>
                </w:p>
              </w:tc>
              <w:tc>
                <w:tcPr>
                  <w:tcW w:w="884" w:type="dxa"/>
                  <w:tcBorders>
                    <w:tl2br w:val="nil"/>
                    <w:tr2bl w:val="nil"/>
                  </w:tcBorders>
                  <w:noWrap w:val="0"/>
                  <w:vAlign w:val="center"/>
                </w:tcPr>
                <w:p w14:paraId="5A5AECE8">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0.04 </w:t>
                  </w:r>
                </w:p>
              </w:tc>
              <w:tc>
                <w:tcPr>
                  <w:tcW w:w="1102" w:type="dxa"/>
                  <w:vMerge w:val="continue"/>
                  <w:tcBorders>
                    <w:tl2br w:val="nil"/>
                    <w:tr2bl w:val="nil"/>
                  </w:tcBorders>
                  <w:noWrap w:val="0"/>
                  <w:vAlign w:val="center"/>
                </w:tcPr>
                <w:p w14:paraId="075283A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31F8819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6E8CC08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4B2A2A2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13DD312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6800BFC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536817A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55226E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125EBC5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07FE12E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0FF8A29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7D43766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02F361D2">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HCl</w:t>
                  </w:r>
                </w:p>
              </w:tc>
              <w:tc>
                <w:tcPr>
                  <w:tcW w:w="1050" w:type="dxa"/>
                  <w:tcBorders>
                    <w:tl2br w:val="nil"/>
                    <w:tr2bl w:val="nil"/>
                  </w:tcBorders>
                  <w:noWrap w:val="0"/>
                  <w:vAlign w:val="center"/>
                </w:tcPr>
                <w:p w14:paraId="1BB61DFF">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3.38 </w:t>
                  </w:r>
                </w:p>
              </w:tc>
              <w:tc>
                <w:tcPr>
                  <w:tcW w:w="975" w:type="dxa"/>
                  <w:tcBorders>
                    <w:tl2br w:val="nil"/>
                    <w:tr2bl w:val="nil"/>
                  </w:tcBorders>
                  <w:noWrap w:val="0"/>
                  <w:vAlign w:val="center"/>
                </w:tcPr>
                <w:p w14:paraId="408B078C">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0.047 </w:t>
                  </w:r>
                </w:p>
              </w:tc>
              <w:tc>
                <w:tcPr>
                  <w:tcW w:w="884" w:type="dxa"/>
                  <w:tcBorders>
                    <w:tl2br w:val="nil"/>
                    <w:tr2bl w:val="nil"/>
                  </w:tcBorders>
                  <w:noWrap w:val="0"/>
                  <w:vAlign w:val="center"/>
                </w:tcPr>
                <w:p w14:paraId="61B8B415">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0.04 </w:t>
                  </w:r>
                </w:p>
              </w:tc>
              <w:tc>
                <w:tcPr>
                  <w:tcW w:w="1102" w:type="dxa"/>
                  <w:vMerge w:val="continue"/>
                  <w:tcBorders>
                    <w:tl2br w:val="nil"/>
                    <w:tr2bl w:val="nil"/>
                  </w:tcBorders>
                  <w:noWrap w:val="0"/>
                  <w:vAlign w:val="center"/>
                </w:tcPr>
                <w:p w14:paraId="561DF9F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1C57AD6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11E2BC8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6A4F8A6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0D4B7D6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354BD75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35D6F48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6AA799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57E72AC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43216C2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1947E29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55F7C22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791EFBDF">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氟化物</w:t>
                  </w:r>
                </w:p>
              </w:tc>
              <w:tc>
                <w:tcPr>
                  <w:tcW w:w="1050" w:type="dxa"/>
                  <w:tcBorders>
                    <w:tl2br w:val="nil"/>
                    <w:tr2bl w:val="nil"/>
                  </w:tcBorders>
                  <w:noWrap w:val="0"/>
                  <w:vAlign w:val="center"/>
                </w:tcPr>
                <w:p w14:paraId="056B3E01">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0.72 </w:t>
                  </w:r>
                </w:p>
              </w:tc>
              <w:tc>
                <w:tcPr>
                  <w:tcW w:w="975" w:type="dxa"/>
                  <w:tcBorders>
                    <w:tl2br w:val="nil"/>
                    <w:tr2bl w:val="nil"/>
                  </w:tcBorders>
                  <w:noWrap w:val="0"/>
                  <w:vAlign w:val="center"/>
                </w:tcPr>
                <w:p w14:paraId="26934784">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0.010 </w:t>
                  </w:r>
                </w:p>
              </w:tc>
              <w:tc>
                <w:tcPr>
                  <w:tcW w:w="884" w:type="dxa"/>
                  <w:tcBorders>
                    <w:tl2br w:val="nil"/>
                    <w:tr2bl w:val="nil"/>
                  </w:tcBorders>
                  <w:noWrap w:val="0"/>
                  <w:vAlign w:val="center"/>
                </w:tcPr>
                <w:p w14:paraId="0BFA885B">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0.01 </w:t>
                  </w:r>
                </w:p>
              </w:tc>
              <w:tc>
                <w:tcPr>
                  <w:tcW w:w="1102" w:type="dxa"/>
                  <w:vMerge w:val="continue"/>
                  <w:tcBorders>
                    <w:tl2br w:val="nil"/>
                    <w:tr2bl w:val="nil"/>
                  </w:tcBorders>
                  <w:noWrap w:val="0"/>
                  <w:vAlign w:val="center"/>
                </w:tcPr>
                <w:p w14:paraId="78F1CA3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0916717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2316F98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2F5AD20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03C7D6C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769778C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17501FD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1F31D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6824026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restart"/>
                  <w:tcBorders>
                    <w:tl2br w:val="nil"/>
                    <w:tr2bl w:val="nil"/>
                  </w:tcBorders>
                  <w:noWrap w:val="0"/>
                  <w:vAlign w:val="center"/>
                </w:tcPr>
                <w:p w14:paraId="6E836DD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lang w:val="en-US" w:eastAsia="zh-CN"/>
                    </w:rPr>
                    <w:t>熔炼其他时段</w:t>
                  </w:r>
                </w:p>
              </w:tc>
              <w:tc>
                <w:tcPr>
                  <w:tcW w:w="413" w:type="dxa"/>
                  <w:vMerge w:val="continue"/>
                  <w:tcBorders>
                    <w:tl2br w:val="nil"/>
                    <w:tr2bl w:val="nil"/>
                  </w:tcBorders>
                  <w:noWrap w:val="0"/>
                  <w:vAlign w:val="center"/>
                </w:tcPr>
                <w:p w14:paraId="61F8612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restart"/>
                  <w:tcBorders>
                    <w:tl2br w:val="nil"/>
                    <w:tr2bl w:val="nil"/>
                  </w:tcBorders>
                  <w:noWrap w:val="0"/>
                  <w:vAlign w:val="center"/>
                </w:tcPr>
                <w:p w14:paraId="1CE5E22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30000</w:t>
                  </w:r>
                </w:p>
              </w:tc>
              <w:tc>
                <w:tcPr>
                  <w:tcW w:w="900" w:type="dxa"/>
                  <w:tcBorders>
                    <w:tl2br w:val="nil"/>
                    <w:tr2bl w:val="nil"/>
                  </w:tcBorders>
                  <w:noWrap w:val="0"/>
                  <w:vAlign w:val="center"/>
                </w:tcPr>
                <w:p w14:paraId="2E3B01F6">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颗粒物</w:t>
                  </w:r>
                </w:p>
              </w:tc>
              <w:tc>
                <w:tcPr>
                  <w:tcW w:w="1050" w:type="dxa"/>
                  <w:tcBorders>
                    <w:tl2br w:val="nil"/>
                    <w:tr2bl w:val="nil"/>
                  </w:tcBorders>
                  <w:noWrap w:val="0"/>
                  <w:vAlign w:val="center"/>
                </w:tcPr>
                <w:p w14:paraId="7864ED7C">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819.33 </w:t>
                  </w:r>
                </w:p>
              </w:tc>
              <w:tc>
                <w:tcPr>
                  <w:tcW w:w="975" w:type="dxa"/>
                  <w:tcBorders>
                    <w:tl2br w:val="nil"/>
                    <w:tr2bl w:val="nil"/>
                  </w:tcBorders>
                  <w:noWrap w:val="0"/>
                  <w:vAlign w:val="center"/>
                </w:tcPr>
                <w:p w14:paraId="1BB0073F">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24.58 </w:t>
                  </w:r>
                </w:p>
              </w:tc>
              <w:tc>
                <w:tcPr>
                  <w:tcW w:w="884" w:type="dxa"/>
                  <w:tcBorders>
                    <w:tl2br w:val="nil"/>
                    <w:tr2bl w:val="nil"/>
                  </w:tcBorders>
                  <w:noWrap w:val="0"/>
                  <w:vAlign w:val="center"/>
                </w:tcPr>
                <w:p w14:paraId="5F5FBCCD">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100.07 </w:t>
                  </w:r>
                </w:p>
              </w:tc>
              <w:tc>
                <w:tcPr>
                  <w:tcW w:w="1102" w:type="dxa"/>
                  <w:vMerge w:val="restart"/>
                  <w:tcBorders>
                    <w:tl2br w:val="nil"/>
                    <w:tr2bl w:val="nil"/>
                  </w:tcBorders>
                  <w:noWrap w:val="0"/>
                  <w:vAlign w:val="center"/>
                </w:tcPr>
                <w:p w14:paraId="2D01D56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旋风+布袋除尘</w:t>
                  </w:r>
                </w:p>
              </w:tc>
              <w:tc>
                <w:tcPr>
                  <w:tcW w:w="675" w:type="dxa"/>
                  <w:tcBorders>
                    <w:tl2br w:val="nil"/>
                    <w:tr2bl w:val="nil"/>
                  </w:tcBorders>
                  <w:noWrap w:val="0"/>
                  <w:vAlign w:val="center"/>
                </w:tcPr>
                <w:p w14:paraId="65402C3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99%</w:t>
                  </w:r>
                </w:p>
              </w:tc>
              <w:tc>
                <w:tcPr>
                  <w:tcW w:w="884" w:type="dxa"/>
                  <w:tcBorders>
                    <w:tl2br w:val="nil"/>
                    <w:tr2bl w:val="nil"/>
                  </w:tcBorders>
                  <w:noWrap w:val="0"/>
                  <w:vAlign w:val="center"/>
                </w:tcPr>
                <w:p w14:paraId="22333A3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0779621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5D806FB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3600D35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13FAFC9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7A4A3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6A6DD2D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6EBFD9E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518C912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629B93C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60F65E6B">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NOx</w:t>
                  </w:r>
                </w:p>
              </w:tc>
              <w:tc>
                <w:tcPr>
                  <w:tcW w:w="1050" w:type="dxa"/>
                  <w:tcBorders>
                    <w:tl2br w:val="nil"/>
                    <w:tr2bl w:val="nil"/>
                  </w:tcBorders>
                  <w:noWrap w:val="0"/>
                  <w:vAlign w:val="center"/>
                </w:tcPr>
                <w:p w14:paraId="46CC2D59">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25.67 </w:t>
                  </w:r>
                </w:p>
              </w:tc>
              <w:tc>
                <w:tcPr>
                  <w:tcW w:w="975" w:type="dxa"/>
                  <w:tcBorders>
                    <w:tl2br w:val="nil"/>
                    <w:tr2bl w:val="nil"/>
                  </w:tcBorders>
                  <w:noWrap w:val="0"/>
                  <w:vAlign w:val="center"/>
                </w:tcPr>
                <w:p w14:paraId="0C5652DF">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0.77 </w:t>
                  </w:r>
                </w:p>
              </w:tc>
              <w:tc>
                <w:tcPr>
                  <w:tcW w:w="884" w:type="dxa"/>
                  <w:tcBorders>
                    <w:tl2br w:val="nil"/>
                    <w:tr2bl w:val="nil"/>
                  </w:tcBorders>
                  <w:noWrap w:val="0"/>
                  <w:vAlign w:val="center"/>
                </w:tcPr>
                <w:p w14:paraId="522FCC63">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3.15 </w:t>
                  </w:r>
                </w:p>
              </w:tc>
              <w:tc>
                <w:tcPr>
                  <w:tcW w:w="1102" w:type="dxa"/>
                  <w:vMerge w:val="continue"/>
                  <w:tcBorders>
                    <w:tl2br w:val="nil"/>
                    <w:tr2bl w:val="nil"/>
                  </w:tcBorders>
                  <w:noWrap w:val="0"/>
                  <w:vAlign w:val="center"/>
                </w:tcPr>
                <w:p w14:paraId="7087C49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67826BD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56E822B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682AD07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33F53BE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595AB13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7DED16C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5B1A0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0EC017A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7DB50C9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479F7B1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4B83064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05FB409E">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SO</w:t>
                  </w:r>
                  <w:r>
                    <w:rPr>
                      <w:rFonts w:hint="default" w:ascii="Times New Roman" w:hAnsi="Times New Roman" w:eastAsia="宋体" w:cs="Times New Roman"/>
                      <w:bCs/>
                      <w:color w:val="auto"/>
                      <w:sz w:val="22"/>
                      <w:szCs w:val="22"/>
                      <w:vertAlign w:val="subscript"/>
                      <w:lang w:val="en-US" w:eastAsia="zh-CN"/>
                    </w:rPr>
                    <w:t>2</w:t>
                  </w:r>
                </w:p>
              </w:tc>
              <w:tc>
                <w:tcPr>
                  <w:tcW w:w="1050" w:type="dxa"/>
                  <w:tcBorders>
                    <w:tl2br w:val="nil"/>
                    <w:tr2bl w:val="nil"/>
                  </w:tcBorders>
                  <w:noWrap w:val="0"/>
                  <w:vAlign w:val="center"/>
                </w:tcPr>
                <w:p w14:paraId="2152B3F0">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1.97 </w:t>
                  </w:r>
                </w:p>
              </w:tc>
              <w:tc>
                <w:tcPr>
                  <w:tcW w:w="975" w:type="dxa"/>
                  <w:tcBorders>
                    <w:tl2br w:val="nil"/>
                    <w:tr2bl w:val="nil"/>
                  </w:tcBorders>
                  <w:noWrap w:val="0"/>
                  <w:vAlign w:val="center"/>
                </w:tcPr>
                <w:p w14:paraId="11D6DA2D">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0.059 </w:t>
                  </w:r>
                </w:p>
              </w:tc>
              <w:tc>
                <w:tcPr>
                  <w:tcW w:w="884" w:type="dxa"/>
                  <w:tcBorders>
                    <w:tl2br w:val="nil"/>
                    <w:tr2bl w:val="nil"/>
                  </w:tcBorders>
                  <w:noWrap w:val="0"/>
                  <w:vAlign w:val="center"/>
                </w:tcPr>
                <w:p w14:paraId="1078A05B">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0.24 </w:t>
                  </w:r>
                </w:p>
              </w:tc>
              <w:tc>
                <w:tcPr>
                  <w:tcW w:w="1102" w:type="dxa"/>
                  <w:vMerge w:val="continue"/>
                  <w:tcBorders>
                    <w:tl2br w:val="nil"/>
                    <w:tr2bl w:val="nil"/>
                  </w:tcBorders>
                  <w:noWrap w:val="0"/>
                  <w:vAlign w:val="center"/>
                </w:tcPr>
                <w:p w14:paraId="75BF614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5DD454E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3B0A2C9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13A0E48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5A21B7F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0A001B2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6B13D2D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78FA8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7F82304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094AC0C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615191F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4675A26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1BBDEC94">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HCl</w:t>
                  </w:r>
                </w:p>
              </w:tc>
              <w:tc>
                <w:tcPr>
                  <w:tcW w:w="1050" w:type="dxa"/>
                  <w:tcBorders>
                    <w:tl2br w:val="nil"/>
                    <w:tr2bl w:val="nil"/>
                  </w:tcBorders>
                  <w:noWrap w:val="0"/>
                  <w:vAlign w:val="center"/>
                </w:tcPr>
                <w:p w14:paraId="78152D82">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2.17 </w:t>
                  </w:r>
                </w:p>
              </w:tc>
              <w:tc>
                <w:tcPr>
                  <w:tcW w:w="975" w:type="dxa"/>
                  <w:tcBorders>
                    <w:tl2br w:val="nil"/>
                    <w:tr2bl w:val="nil"/>
                  </w:tcBorders>
                  <w:noWrap w:val="0"/>
                  <w:vAlign w:val="center"/>
                </w:tcPr>
                <w:p w14:paraId="5AC32871">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0.065 </w:t>
                  </w:r>
                </w:p>
              </w:tc>
              <w:tc>
                <w:tcPr>
                  <w:tcW w:w="884" w:type="dxa"/>
                  <w:tcBorders>
                    <w:tl2br w:val="nil"/>
                    <w:tr2bl w:val="nil"/>
                  </w:tcBorders>
                  <w:noWrap w:val="0"/>
                  <w:vAlign w:val="center"/>
                </w:tcPr>
                <w:p w14:paraId="3E17F310">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0.26 </w:t>
                  </w:r>
                </w:p>
              </w:tc>
              <w:tc>
                <w:tcPr>
                  <w:tcW w:w="1102" w:type="dxa"/>
                  <w:vMerge w:val="continue"/>
                  <w:tcBorders>
                    <w:tl2br w:val="nil"/>
                    <w:tr2bl w:val="nil"/>
                  </w:tcBorders>
                  <w:noWrap w:val="0"/>
                  <w:vAlign w:val="center"/>
                </w:tcPr>
                <w:p w14:paraId="66DCD55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4B167B2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20E22FB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6BFAB35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6283473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5F7029C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2BB3C71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504042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66677EE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475F9AB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1401214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66B0C8B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580BAB88">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氟化物</w:t>
                  </w:r>
                </w:p>
              </w:tc>
              <w:tc>
                <w:tcPr>
                  <w:tcW w:w="1050" w:type="dxa"/>
                  <w:tcBorders>
                    <w:tl2br w:val="nil"/>
                    <w:tr2bl w:val="nil"/>
                  </w:tcBorders>
                  <w:noWrap w:val="0"/>
                  <w:vAlign w:val="center"/>
                </w:tcPr>
                <w:p w14:paraId="2E863410">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0.47 </w:t>
                  </w:r>
                </w:p>
              </w:tc>
              <w:tc>
                <w:tcPr>
                  <w:tcW w:w="975" w:type="dxa"/>
                  <w:tcBorders>
                    <w:tl2br w:val="nil"/>
                    <w:tr2bl w:val="nil"/>
                  </w:tcBorders>
                  <w:noWrap w:val="0"/>
                  <w:vAlign w:val="center"/>
                </w:tcPr>
                <w:p w14:paraId="475B6FDC">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0.014 </w:t>
                  </w:r>
                </w:p>
              </w:tc>
              <w:tc>
                <w:tcPr>
                  <w:tcW w:w="884" w:type="dxa"/>
                  <w:tcBorders>
                    <w:tl2br w:val="nil"/>
                    <w:tr2bl w:val="nil"/>
                  </w:tcBorders>
                  <w:noWrap w:val="0"/>
                  <w:vAlign w:val="center"/>
                </w:tcPr>
                <w:p w14:paraId="10B1C328">
                  <w:pPr>
                    <w:keepNext w:val="0"/>
                    <w:keepLines w:val="0"/>
                    <w:widowControl/>
                    <w:suppressLineNumbers w:val="0"/>
                    <w:jc w:val="center"/>
                    <w:textAlignment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0.06 </w:t>
                  </w:r>
                </w:p>
              </w:tc>
              <w:tc>
                <w:tcPr>
                  <w:tcW w:w="1102" w:type="dxa"/>
                  <w:vMerge w:val="continue"/>
                  <w:tcBorders>
                    <w:tl2br w:val="nil"/>
                    <w:tr2bl w:val="nil"/>
                  </w:tcBorders>
                  <w:noWrap w:val="0"/>
                  <w:vAlign w:val="center"/>
                </w:tcPr>
                <w:p w14:paraId="2FF48EC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4560CDA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688F3BD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75DF6FC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1265AC9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0C48AD7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7F0BF1A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3FDB8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restart"/>
                  <w:tcBorders>
                    <w:tl2br w:val="nil"/>
                    <w:tr2bl w:val="nil"/>
                  </w:tcBorders>
                  <w:noWrap w:val="0"/>
                  <w:vAlign w:val="center"/>
                </w:tcPr>
                <w:p w14:paraId="3E61BB9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16t炉</w:t>
                  </w:r>
                </w:p>
              </w:tc>
              <w:tc>
                <w:tcPr>
                  <w:tcW w:w="711" w:type="dxa"/>
                  <w:vMerge w:val="restart"/>
                  <w:tcBorders>
                    <w:tl2br w:val="nil"/>
                    <w:tr2bl w:val="nil"/>
                  </w:tcBorders>
                  <w:noWrap w:val="0"/>
                  <w:vAlign w:val="center"/>
                </w:tcPr>
                <w:p w14:paraId="0764EDB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lang w:val="en-US" w:eastAsia="zh-CN"/>
                    </w:rPr>
                    <w:t>加料、扒渣、取样分析时段</w:t>
                  </w:r>
                </w:p>
              </w:tc>
              <w:tc>
                <w:tcPr>
                  <w:tcW w:w="413" w:type="dxa"/>
                  <w:vMerge w:val="continue"/>
                  <w:tcBorders>
                    <w:tl2br w:val="nil"/>
                    <w:tr2bl w:val="nil"/>
                  </w:tcBorders>
                  <w:noWrap w:val="0"/>
                  <w:vAlign w:val="center"/>
                </w:tcPr>
                <w:p w14:paraId="2076D86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restart"/>
                  <w:tcBorders>
                    <w:tl2br w:val="nil"/>
                    <w:tr2bl w:val="nil"/>
                  </w:tcBorders>
                  <w:noWrap w:val="0"/>
                  <w:vAlign w:val="center"/>
                </w:tcPr>
                <w:p w14:paraId="63D6F76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13900</w:t>
                  </w:r>
                </w:p>
              </w:tc>
              <w:tc>
                <w:tcPr>
                  <w:tcW w:w="900" w:type="dxa"/>
                  <w:tcBorders>
                    <w:tl2br w:val="nil"/>
                    <w:tr2bl w:val="nil"/>
                  </w:tcBorders>
                  <w:noWrap w:val="0"/>
                  <w:vAlign w:val="center"/>
                </w:tcPr>
                <w:p w14:paraId="4639B5EC">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颗粒物</w:t>
                  </w:r>
                </w:p>
              </w:tc>
              <w:tc>
                <w:tcPr>
                  <w:tcW w:w="1050" w:type="dxa"/>
                  <w:tcBorders>
                    <w:tl2br w:val="nil"/>
                    <w:tr2bl w:val="nil"/>
                  </w:tcBorders>
                  <w:noWrap w:val="0"/>
                  <w:vAlign w:val="center"/>
                </w:tcPr>
                <w:p w14:paraId="6243CE75">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2041.22 </w:t>
                  </w:r>
                </w:p>
              </w:tc>
              <w:tc>
                <w:tcPr>
                  <w:tcW w:w="975" w:type="dxa"/>
                  <w:tcBorders>
                    <w:tl2br w:val="nil"/>
                    <w:tr2bl w:val="nil"/>
                  </w:tcBorders>
                  <w:noWrap w:val="0"/>
                  <w:vAlign w:val="center"/>
                </w:tcPr>
                <w:p w14:paraId="0EDE5B05">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28.37 </w:t>
                  </w:r>
                </w:p>
              </w:tc>
              <w:tc>
                <w:tcPr>
                  <w:tcW w:w="884" w:type="dxa"/>
                  <w:tcBorders>
                    <w:tl2br w:val="nil"/>
                    <w:tr2bl w:val="nil"/>
                  </w:tcBorders>
                  <w:noWrap w:val="0"/>
                  <w:vAlign w:val="center"/>
                </w:tcPr>
                <w:p w14:paraId="440293AF">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16.84 </w:t>
                  </w:r>
                </w:p>
              </w:tc>
              <w:tc>
                <w:tcPr>
                  <w:tcW w:w="1102" w:type="dxa"/>
                  <w:vMerge w:val="restart"/>
                  <w:tcBorders>
                    <w:tl2br w:val="nil"/>
                    <w:tr2bl w:val="nil"/>
                  </w:tcBorders>
                  <w:noWrap w:val="0"/>
                  <w:vAlign w:val="center"/>
                </w:tcPr>
                <w:p w14:paraId="3B4F78A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旋风+布袋除尘</w:t>
                  </w:r>
                </w:p>
              </w:tc>
              <w:tc>
                <w:tcPr>
                  <w:tcW w:w="675" w:type="dxa"/>
                  <w:tcBorders>
                    <w:tl2br w:val="nil"/>
                    <w:tr2bl w:val="nil"/>
                  </w:tcBorders>
                  <w:noWrap w:val="0"/>
                  <w:vAlign w:val="center"/>
                </w:tcPr>
                <w:p w14:paraId="36E36E6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99%</w:t>
                  </w:r>
                </w:p>
              </w:tc>
              <w:tc>
                <w:tcPr>
                  <w:tcW w:w="884" w:type="dxa"/>
                  <w:tcBorders>
                    <w:tl2br w:val="nil"/>
                    <w:tr2bl w:val="nil"/>
                  </w:tcBorders>
                  <w:noWrap w:val="0"/>
                  <w:vAlign w:val="center"/>
                </w:tcPr>
                <w:p w14:paraId="3DAE23D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5AAAEC9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44D18AE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2019D8C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010788A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06CB8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5233832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7BDC2FA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7DD9456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1B632FF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51886B04">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NOx</w:t>
                  </w:r>
                </w:p>
              </w:tc>
              <w:tc>
                <w:tcPr>
                  <w:tcW w:w="1050" w:type="dxa"/>
                  <w:tcBorders>
                    <w:tl2br w:val="nil"/>
                    <w:tr2bl w:val="nil"/>
                  </w:tcBorders>
                  <w:noWrap w:val="0"/>
                  <w:vAlign w:val="center"/>
                </w:tcPr>
                <w:p w14:paraId="31B1F0D4">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25.90 </w:t>
                  </w:r>
                </w:p>
              </w:tc>
              <w:tc>
                <w:tcPr>
                  <w:tcW w:w="975" w:type="dxa"/>
                  <w:tcBorders>
                    <w:tl2br w:val="nil"/>
                    <w:tr2bl w:val="nil"/>
                  </w:tcBorders>
                  <w:noWrap w:val="0"/>
                  <w:vAlign w:val="center"/>
                </w:tcPr>
                <w:p w14:paraId="0DD538B0">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0.36 </w:t>
                  </w:r>
                </w:p>
              </w:tc>
              <w:tc>
                <w:tcPr>
                  <w:tcW w:w="884" w:type="dxa"/>
                  <w:tcBorders>
                    <w:tl2br w:val="nil"/>
                    <w:tr2bl w:val="nil"/>
                  </w:tcBorders>
                  <w:noWrap w:val="0"/>
                  <w:vAlign w:val="center"/>
                </w:tcPr>
                <w:p w14:paraId="3A8CB05A">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0.53 </w:t>
                  </w:r>
                </w:p>
              </w:tc>
              <w:tc>
                <w:tcPr>
                  <w:tcW w:w="1102" w:type="dxa"/>
                  <w:vMerge w:val="continue"/>
                  <w:tcBorders>
                    <w:tl2br w:val="nil"/>
                    <w:tr2bl w:val="nil"/>
                  </w:tcBorders>
                  <w:noWrap w:val="0"/>
                  <w:vAlign w:val="center"/>
                </w:tcPr>
                <w:p w14:paraId="1CBC82F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4BB050C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0550CC2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7AF746E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5993EC5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782A222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34FF159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50F515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5670B0B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160E6EF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70BAA3C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258BF09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716A7C4B">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highlight w:val="green"/>
                      <w:vertAlign w:val="baseline"/>
                      <w:lang w:val="en-US" w:eastAsia="zh-CN" w:bidi="ar-SA"/>
                    </w:rPr>
                  </w:pPr>
                  <w:r>
                    <w:rPr>
                      <w:rFonts w:hint="default" w:ascii="Times New Roman" w:hAnsi="Times New Roman" w:eastAsia="宋体" w:cs="Times New Roman"/>
                      <w:bCs/>
                      <w:color w:val="auto"/>
                      <w:sz w:val="22"/>
                      <w:szCs w:val="22"/>
                      <w:highlight w:val="none"/>
                      <w:lang w:val="en-US" w:eastAsia="zh-CN"/>
                    </w:rPr>
                    <w:t>SO</w:t>
                  </w:r>
                  <w:r>
                    <w:rPr>
                      <w:rFonts w:hint="default" w:ascii="Times New Roman" w:hAnsi="Times New Roman" w:eastAsia="宋体" w:cs="Times New Roman"/>
                      <w:bCs/>
                      <w:color w:val="auto"/>
                      <w:sz w:val="22"/>
                      <w:szCs w:val="22"/>
                      <w:highlight w:val="none"/>
                      <w:vertAlign w:val="subscript"/>
                      <w:lang w:val="en-US" w:eastAsia="zh-CN"/>
                    </w:rPr>
                    <w:t>2</w:t>
                  </w:r>
                </w:p>
              </w:tc>
              <w:tc>
                <w:tcPr>
                  <w:tcW w:w="1050" w:type="dxa"/>
                  <w:tcBorders>
                    <w:tl2br w:val="nil"/>
                    <w:tr2bl w:val="nil"/>
                  </w:tcBorders>
                  <w:noWrap w:val="0"/>
                  <w:vAlign w:val="center"/>
                </w:tcPr>
                <w:p w14:paraId="167617D9">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1.94 </w:t>
                  </w:r>
                </w:p>
              </w:tc>
              <w:tc>
                <w:tcPr>
                  <w:tcW w:w="975" w:type="dxa"/>
                  <w:tcBorders>
                    <w:tl2br w:val="nil"/>
                    <w:tr2bl w:val="nil"/>
                  </w:tcBorders>
                  <w:noWrap w:val="0"/>
                  <w:vAlign w:val="center"/>
                </w:tcPr>
                <w:p w14:paraId="30B15FEE">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0.027 </w:t>
                  </w:r>
                </w:p>
              </w:tc>
              <w:tc>
                <w:tcPr>
                  <w:tcW w:w="884" w:type="dxa"/>
                  <w:tcBorders>
                    <w:tl2br w:val="nil"/>
                    <w:tr2bl w:val="nil"/>
                  </w:tcBorders>
                  <w:noWrap w:val="0"/>
                  <w:vAlign w:val="center"/>
                </w:tcPr>
                <w:p w14:paraId="6CE54C5F">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0.04 </w:t>
                  </w:r>
                </w:p>
              </w:tc>
              <w:tc>
                <w:tcPr>
                  <w:tcW w:w="1102" w:type="dxa"/>
                  <w:vMerge w:val="continue"/>
                  <w:tcBorders>
                    <w:tl2br w:val="nil"/>
                    <w:tr2bl w:val="nil"/>
                  </w:tcBorders>
                  <w:noWrap w:val="0"/>
                  <w:vAlign w:val="center"/>
                </w:tcPr>
                <w:p w14:paraId="4882781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572610F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30A0285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548FC90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01F42B8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5B2CC34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684A4D4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0D018C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01774C8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1C06A5F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223120C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0870544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7BAA1CFB">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HCl</w:t>
                  </w:r>
                </w:p>
              </w:tc>
              <w:tc>
                <w:tcPr>
                  <w:tcW w:w="1050" w:type="dxa"/>
                  <w:tcBorders>
                    <w:tl2br w:val="nil"/>
                    <w:tr2bl w:val="nil"/>
                  </w:tcBorders>
                  <w:noWrap w:val="0"/>
                  <w:vAlign w:val="center"/>
                </w:tcPr>
                <w:p w14:paraId="1F599CE9">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2.16 </w:t>
                  </w:r>
                </w:p>
              </w:tc>
              <w:tc>
                <w:tcPr>
                  <w:tcW w:w="975" w:type="dxa"/>
                  <w:tcBorders>
                    <w:tl2br w:val="nil"/>
                    <w:tr2bl w:val="nil"/>
                  </w:tcBorders>
                  <w:noWrap w:val="0"/>
                  <w:vAlign w:val="center"/>
                </w:tcPr>
                <w:p w14:paraId="72B40BBC">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0.030 </w:t>
                  </w:r>
                </w:p>
              </w:tc>
              <w:tc>
                <w:tcPr>
                  <w:tcW w:w="884" w:type="dxa"/>
                  <w:tcBorders>
                    <w:tl2br w:val="nil"/>
                    <w:tr2bl w:val="nil"/>
                  </w:tcBorders>
                  <w:noWrap w:val="0"/>
                  <w:vAlign w:val="center"/>
                </w:tcPr>
                <w:p w14:paraId="56555E8A">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0.04 </w:t>
                  </w:r>
                </w:p>
              </w:tc>
              <w:tc>
                <w:tcPr>
                  <w:tcW w:w="1102" w:type="dxa"/>
                  <w:vMerge w:val="continue"/>
                  <w:tcBorders>
                    <w:tl2br w:val="nil"/>
                    <w:tr2bl w:val="nil"/>
                  </w:tcBorders>
                  <w:noWrap w:val="0"/>
                  <w:vAlign w:val="center"/>
                </w:tcPr>
                <w:p w14:paraId="16747DA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79AC009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222098F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023382E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48DE699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6EA38FD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5132C52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73279F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4ABF885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554DF62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1F90C24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0752DB6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2B37C1C7">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氟化物</w:t>
                  </w:r>
                </w:p>
              </w:tc>
              <w:tc>
                <w:tcPr>
                  <w:tcW w:w="1050" w:type="dxa"/>
                  <w:tcBorders>
                    <w:tl2br w:val="nil"/>
                    <w:tr2bl w:val="nil"/>
                  </w:tcBorders>
                  <w:noWrap w:val="0"/>
                  <w:vAlign w:val="center"/>
                </w:tcPr>
                <w:p w14:paraId="2D4927B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0.44 </w:t>
                  </w:r>
                </w:p>
              </w:tc>
              <w:tc>
                <w:tcPr>
                  <w:tcW w:w="975" w:type="dxa"/>
                  <w:tcBorders>
                    <w:tl2br w:val="nil"/>
                    <w:tr2bl w:val="nil"/>
                  </w:tcBorders>
                  <w:noWrap w:val="0"/>
                  <w:vAlign w:val="center"/>
                </w:tcPr>
                <w:p w14:paraId="280B27D0">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0.006 </w:t>
                  </w:r>
                </w:p>
              </w:tc>
              <w:tc>
                <w:tcPr>
                  <w:tcW w:w="884" w:type="dxa"/>
                  <w:tcBorders>
                    <w:tl2br w:val="nil"/>
                    <w:tr2bl w:val="nil"/>
                  </w:tcBorders>
                  <w:noWrap w:val="0"/>
                  <w:vAlign w:val="center"/>
                </w:tcPr>
                <w:p w14:paraId="4BF3E30F">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0.01 </w:t>
                  </w:r>
                </w:p>
              </w:tc>
              <w:tc>
                <w:tcPr>
                  <w:tcW w:w="1102" w:type="dxa"/>
                  <w:vMerge w:val="continue"/>
                  <w:tcBorders>
                    <w:tl2br w:val="nil"/>
                    <w:tr2bl w:val="nil"/>
                  </w:tcBorders>
                  <w:noWrap w:val="0"/>
                  <w:vAlign w:val="center"/>
                </w:tcPr>
                <w:p w14:paraId="6769EAD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334900D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3C176E2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0F46A77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41B8448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223ECCD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4C48153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15294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616D1B3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restart"/>
                  <w:tcBorders>
                    <w:tl2br w:val="nil"/>
                    <w:tr2bl w:val="nil"/>
                  </w:tcBorders>
                  <w:noWrap w:val="0"/>
                  <w:vAlign w:val="center"/>
                </w:tcPr>
                <w:p w14:paraId="39B101E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lang w:val="en-US" w:eastAsia="zh-CN"/>
                    </w:rPr>
                    <w:t>熔炼其他时段</w:t>
                  </w:r>
                </w:p>
              </w:tc>
              <w:tc>
                <w:tcPr>
                  <w:tcW w:w="413" w:type="dxa"/>
                  <w:vMerge w:val="continue"/>
                  <w:tcBorders>
                    <w:tl2br w:val="nil"/>
                    <w:tr2bl w:val="nil"/>
                  </w:tcBorders>
                  <w:noWrap w:val="0"/>
                  <w:vAlign w:val="center"/>
                </w:tcPr>
                <w:p w14:paraId="5717987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restart"/>
                  <w:tcBorders>
                    <w:tl2br w:val="nil"/>
                    <w:tr2bl w:val="nil"/>
                  </w:tcBorders>
                  <w:noWrap w:val="0"/>
                  <w:vAlign w:val="center"/>
                </w:tcPr>
                <w:p w14:paraId="2FFDE11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22000</w:t>
                  </w:r>
                </w:p>
              </w:tc>
              <w:tc>
                <w:tcPr>
                  <w:tcW w:w="900" w:type="dxa"/>
                  <w:tcBorders>
                    <w:tl2br w:val="nil"/>
                    <w:tr2bl w:val="nil"/>
                  </w:tcBorders>
                  <w:noWrap w:val="0"/>
                  <w:vAlign w:val="center"/>
                </w:tcPr>
                <w:p w14:paraId="158696E1">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颗粒物</w:t>
                  </w:r>
                </w:p>
              </w:tc>
              <w:tc>
                <w:tcPr>
                  <w:tcW w:w="1050" w:type="dxa"/>
                  <w:tcBorders>
                    <w:tl2br w:val="nil"/>
                    <w:tr2bl w:val="nil"/>
                  </w:tcBorders>
                  <w:noWrap w:val="0"/>
                  <w:vAlign w:val="center"/>
                </w:tcPr>
                <w:p w14:paraId="6D9FA6FD">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859.77 </w:t>
                  </w:r>
                </w:p>
              </w:tc>
              <w:tc>
                <w:tcPr>
                  <w:tcW w:w="975" w:type="dxa"/>
                  <w:tcBorders>
                    <w:tl2br w:val="nil"/>
                    <w:tr2bl w:val="nil"/>
                  </w:tcBorders>
                  <w:noWrap w:val="0"/>
                  <w:vAlign w:val="center"/>
                </w:tcPr>
                <w:p w14:paraId="7CA5B60E">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18.92 </w:t>
                  </w:r>
                </w:p>
              </w:tc>
              <w:tc>
                <w:tcPr>
                  <w:tcW w:w="884" w:type="dxa"/>
                  <w:tcBorders>
                    <w:tl2br w:val="nil"/>
                    <w:tr2bl w:val="nil"/>
                  </w:tcBorders>
                  <w:noWrap w:val="0"/>
                  <w:vAlign w:val="center"/>
                </w:tcPr>
                <w:p w14:paraId="7F573904">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106.02 </w:t>
                  </w:r>
                </w:p>
              </w:tc>
              <w:tc>
                <w:tcPr>
                  <w:tcW w:w="1102" w:type="dxa"/>
                  <w:vMerge w:val="restart"/>
                  <w:tcBorders>
                    <w:tl2br w:val="nil"/>
                    <w:tr2bl w:val="nil"/>
                  </w:tcBorders>
                  <w:noWrap w:val="0"/>
                  <w:vAlign w:val="center"/>
                </w:tcPr>
                <w:p w14:paraId="2708AC3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旋风+布袋除尘</w:t>
                  </w:r>
                </w:p>
              </w:tc>
              <w:tc>
                <w:tcPr>
                  <w:tcW w:w="675" w:type="dxa"/>
                  <w:tcBorders>
                    <w:tl2br w:val="nil"/>
                    <w:tr2bl w:val="nil"/>
                  </w:tcBorders>
                  <w:noWrap w:val="0"/>
                  <w:vAlign w:val="center"/>
                </w:tcPr>
                <w:p w14:paraId="6CDA637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99%</w:t>
                  </w:r>
                </w:p>
              </w:tc>
              <w:tc>
                <w:tcPr>
                  <w:tcW w:w="884" w:type="dxa"/>
                  <w:tcBorders>
                    <w:tl2br w:val="nil"/>
                    <w:tr2bl w:val="nil"/>
                  </w:tcBorders>
                  <w:noWrap w:val="0"/>
                  <w:vAlign w:val="center"/>
                </w:tcPr>
                <w:p w14:paraId="03A9AC2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3FCD0D2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5B49565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47032D1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6B8A849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1874C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527981E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142C796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6566778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16816DF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25A09CC6">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NOx</w:t>
                  </w:r>
                </w:p>
              </w:tc>
              <w:tc>
                <w:tcPr>
                  <w:tcW w:w="1050" w:type="dxa"/>
                  <w:tcBorders>
                    <w:tl2br w:val="nil"/>
                    <w:tr2bl w:val="nil"/>
                  </w:tcBorders>
                  <w:noWrap w:val="0"/>
                  <w:vAlign w:val="center"/>
                </w:tcPr>
                <w:p w14:paraId="16D3B9D9">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27.27 </w:t>
                  </w:r>
                </w:p>
              </w:tc>
              <w:tc>
                <w:tcPr>
                  <w:tcW w:w="975" w:type="dxa"/>
                  <w:tcBorders>
                    <w:tl2br w:val="nil"/>
                    <w:tr2bl w:val="nil"/>
                  </w:tcBorders>
                  <w:noWrap w:val="0"/>
                  <w:vAlign w:val="center"/>
                </w:tcPr>
                <w:p w14:paraId="35ABAC1E">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0.60 </w:t>
                  </w:r>
                </w:p>
              </w:tc>
              <w:tc>
                <w:tcPr>
                  <w:tcW w:w="884" w:type="dxa"/>
                  <w:tcBorders>
                    <w:tl2br w:val="nil"/>
                    <w:tr2bl w:val="nil"/>
                  </w:tcBorders>
                  <w:noWrap w:val="0"/>
                  <w:vAlign w:val="center"/>
                </w:tcPr>
                <w:p w14:paraId="0184208A">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3.34 </w:t>
                  </w:r>
                </w:p>
              </w:tc>
              <w:tc>
                <w:tcPr>
                  <w:tcW w:w="1102" w:type="dxa"/>
                  <w:vMerge w:val="continue"/>
                  <w:tcBorders>
                    <w:tl2br w:val="nil"/>
                    <w:tr2bl w:val="nil"/>
                  </w:tcBorders>
                  <w:noWrap w:val="0"/>
                  <w:vAlign w:val="center"/>
                </w:tcPr>
                <w:p w14:paraId="5B3DAA7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09D593E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5FAC6D3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3029127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2C1D6DE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46F81BE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39FBB85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016377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01992C3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622F4C4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4159FA7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4540B3D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6C330EEC">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SO</w:t>
                  </w:r>
                  <w:r>
                    <w:rPr>
                      <w:rFonts w:hint="default" w:ascii="Times New Roman" w:hAnsi="Times New Roman" w:eastAsia="宋体" w:cs="Times New Roman"/>
                      <w:bCs/>
                      <w:color w:val="auto"/>
                      <w:sz w:val="22"/>
                      <w:szCs w:val="22"/>
                      <w:vertAlign w:val="subscript"/>
                      <w:lang w:val="en-US" w:eastAsia="zh-CN"/>
                    </w:rPr>
                    <w:t>2</w:t>
                  </w:r>
                </w:p>
              </w:tc>
              <w:tc>
                <w:tcPr>
                  <w:tcW w:w="1050" w:type="dxa"/>
                  <w:tcBorders>
                    <w:tl2br w:val="nil"/>
                    <w:tr2bl w:val="nil"/>
                  </w:tcBorders>
                  <w:noWrap w:val="0"/>
                  <w:vAlign w:val="center"/>
                </w:tcPr>
                <w:p w14:paraId="3CC98EF0">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2.05 </w:t>
                  </w:r>
                </w:p>
              </w:tc>
              <w:tc>
                <w:tcPr>
                  <w:tcW w:w="975" w:type="dxa"/>
                  <w:tcBorders>
                    <w:tl2br w:val="nil"/>
                    <w:tr2bl w:val="nil"/>
                  </w:tcBorders>
                  <w:noWrap w:val="0"/>
                  <w:vAlign w:val="center"/>
                </w:tcPr>
                <w:p w14:paraId="279E3B8A">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0.05 </w:t>
                  </w:r>
                </w:p>
              </w:tc>
              <w:tc>
                <w:tcPr>
                  <w:tcW w:w="884" w:type="dxa"/>
                  <w:tcBorders>
                    <w:tl2br w:val="nil"/>
                    <w:tr2bl w:val="nil"/>
                  </w:tcBorders>
                  <w:noWrap w:val="0"/>
                  <w:vAlign w:val="center"/>
                </w:tcPr>
                <w:p w14:paraId="6E82C48C">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0.25 </w:t>
                  </w:r>
                </w:p>
              </w:tc>
              <w:tc>
                <w:tcPr>
                  <w:tcW w:w="1102" w:type="dxa"/>
                  <w:vMerge w:val="continue"/>
                  <w:tcBorders>
                    <w:tl2br w:val="nil"/>
                    <w:tr2bl w:val="nil"/>
                  </w:tcBorders>
                  <w:noWrap w:val="0"/>
                  <w:vAlign w:val="center"/>
                </w:tcPr>
                <w:p w14:paraId="1DB502B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674D2BD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775D6E4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0147AF5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6F9035A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1F3DB68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10A23D0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5987F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5BCF0B8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3BE3F2D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1F506A3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2A2499B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7E51FE8E">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HCl</w:t>
                  </w:r>
                </w:p>
              </w:tc>
              <w:tc>
                <w:tcPr>
                  <w:tcW w:w="1050" w:type="dxa"/>
                  <w:tcBorders>
                    <w:tl2br w:val="nil"/>
                    <w:tr2bl w:val="nil"/>
                  </w:tcBorders>
                  <w:noWrap w:val="0"/>
                  <w:vAlign w:val="center"/>
                </w:tcPr>
                <w:p w14:paraId="26C8A2CE">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2.27 </w:t>
                  </w:r>
                </w:p>
              </w:tc>
              <w:tc>
                <w:tcPr>
                  <w:tcW w:w="975" w:type="dxa"/>
                  <w:tcBorders>
                    <w:tl2br w:val="nil"/>
                    <w:tr2bl w:val="nil"/>
                  </w:tcBorders>
                  <w:noWrap w:val="0"/>
                  <w:vAlign w:val="center"/>
                </w:tcPr>
                <w:p w14:paraId="23CF286F">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0.05 </w:t>
                  </w:r>
                </w:p>
              </w:tc>
              <w:tc>
                <w:tcPr>
                  <w:tcW w:w="884" w:type="dxa"/>
                  <w:tcBorders>
                    <w:tl2br w:val="nil"/>
                    <w:tr2bl w:val="nil"/>
                  </w:tcBorders>
                  <w:noWrap w:val="0"/>
                  <w:vAlign w:val="center"/>
                </w:tcPr>
                <w:p w14:paraId="63BF67CD">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0.28 </w:t>
                  </w:r>
                </w:p>
              </w:tc>
              <w:tc>
                <w:tcPr>
                  <w:tcW w:w="1102" w:type="dxa"/>
                  <w:vMerge w:val="continue"/>
                  <w:tcBorders>
                    <w:tl2br w:val="nil"/>
                    <w:tr2bl w:val="nil"/>
                  </w:tcBorders>
                  <w:noWrap w:val="0"/>
                  <w:vAlign w:val="center"/>
                </w:tcPr>
                <w:p w14:paraId="13D47EC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549F09C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44F8297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4EC4E19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48E96C7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7CD6B71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2C4EBC5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53EB8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0" w:type="dxa"/>
                  <w:vMerge w:val="continue"/>
                  <w:tcBorders>
                    <w:tl2br w:val="nil"/>
                    <w:tr2bl w:val="nil"/>
                  </w:tcBorders>
                  <w:noWrap w:val="0"/>
                  <w:vAlign w:val="center"/>
                </w:tcPr>
                <w:p w14:paraId="5AF5404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711" w:type="dxa"/>
                  <w:vMerge w:val="continue"/>
                  <w:tcBorders>
                    <w:tl2br w:val="nil"/>
                    <w:tr2bl w:val="nil"/>
                  </w:tcBorders>
                  <w:noWrap w:val="0"/>
                  <w:vAlign w:val="center"/>
                </w:tcPr>
                <w:p w14:paraId="0B108A4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1827652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218B45F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0DC84AC2">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氟化物</w:t>
                  </w:r>
                </w:p>
              </w:tc>
              <w:tc>
                <w:tcPr>
                  <w:tcW w:w="1050" w:type="dxa"/>
                  <w:tcBorders>
                    <w:tl2br w:val="nil"/>
                    <w:tr2bl w:val="nil"/>
                  </w:tcBorders>
                  <w:noWrap w:val="0"/>
                  <w:vAlign w:val="center"/>
                </w:tcPr>
                <w:p w14:paraId="7F32DD4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0.50 </w:t>
                  </w:r>
                </w:p>
              </w:tc>
              <w:tc>
                <w:tcPr>
                  <w:tcW w:w="975" w:type="dxa"/>
                  <w:tcBorders>
                    <w:tl2br w:val="nil"/>
                    <w:tr2bl w:val="nil"/>
                  </w:tcBorders>
                  <w:noWrap w:val="0"/>
                  <w:vAlign w:val="center"/>
                </w:tcPr>
                <w:p w14:paraId="2632FA9A">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0.01 </w:t>
                  </w:r>
                </w:p>
              </w:tc>
              <w:tc>
                <w:tcPr>
                  <w:tcW w:w="884" w:type="dxa"/>
                  <w:tcBorders>
                    <w:tl2br w:val="nil"/>
                    <w:tr2bl w:val="nil"/>
                  </w:tcBorders>
                  <w:noWrap w:val="0"/>
                  <w:vAlign w:val="center"/>
                </w:tcPr>
                <w:p w14:paraId="20D79D24">
                  <w:pPr>
                    <w:keepNext w:val="0"/>
                    <w:keepLines w:val="0"/>
                    <w:widowControl/>
                    <w:suppressLineNumbers w:val="0"/>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0.06 </w:t>
                  </w:r>
                </w:p>
              </w:tc>
              <w:tc>
                <w:tcPr>
                  <w:tcW w:w="1102" w:type="dxa"/>
                  <w:vMerge w:val="continue"/>
                  <w:tcBorders>
                    <w:tl2br w:val="nil"/>
                    <w:tr2bl w:val="nil"/>
                  </w:tcBorders>
                  <w:noWrap w:val="0"/>
                  <w:vAlign w:val="center"/>
                </w:tcPr>
                <w:p w14:paraId="4629768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090652C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0%</w:t>
                  </w:r>
                </w:p>
              </w:tc>
              <w:tc>
                <w:tcPr>
                  <w:tcW w:w="884" w:type="dxa"/>
                  <w:tcBorders>
                    <w:tl2br w:val="nil"/>
                    <w:tr2bl w:val="nil"/>
                  </w:tcBorders>
                  <w:noWrap w:val="0"/>
                  <w:vAlign w:val="center"/>
                </w:tcPr>
                <w:p w14:paraId="2CC9EE0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954" w:type="dxa"/>
                  <w:tcBorders>
                    <w:tl2br w:val="nil"/>
                    <w:tr2bl w:val="nil"/>
                  </w:tcBorders>
                  <w:noWrap w:val="0"/>
                  <w:vAlign w:val="center"/>
                </w:tcPr>
                <w:p w14:paraId="44964B5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95" w:type="dxa"/>
                  <w:tcBorders>
                    <w:tl2br w:val="nil"/>
                    <w:tr2bl w:val="nil"/>
                  </w:tcBorders>
                  <w:noWrap w:val="0"/>
                  <w:vAlign w:val="center"/>
                </w:tcPr>
                <w:p w14:paraId="68AE262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852" w:type="dxa"/>
                  <w:tcBorders>
                    <w:tl2br w:val="nil"/>
                    <w:tr2bl w:val="nil"/>
                  </w:tcBorders>
                  <w:noWrap w:val="0"/>
                  <w:vAlign w:val="center"/>
                </w:tcPr>
                <w:p w14:paraId="517E6E8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4EF8A10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43B774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dxa"/>
                  <w:gridSpan w:val="2"/>
                  <w:vMerge w:val="restart"/>
                  <w:tcBorders>
                    <w:tl2br w:val="nil"/>
                    <w:tr2bl w:val="nil"/>
                  </w:tcBorders>
                  <w:noWrap w:val="0"/>
                  <w:vAlign w:val="center"/>
                </w:tcPr>
                <w:p w14:paraId="28EF73B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开炉状态下</w:t>
                  </w:r>
                </w:p>
              </w:tc>
              <w:tc>
                <w:tcPr>
                  <w:tcW w:w="413" w:type="dxa"/>
                  <w:vMerge w:val="continue"/>
                  <w:tcBorders>
                    <w:tl2br w:val="nil"/>
                    <w:tr2bl w:val="nil"/>
                  </w:tcBorders>
                  <w:noWrap w:val="0"/>
                  <w:vAlign w:val="center"/>
                </w:tcPr>
                <w:p w14:paraId="293FF8B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restart"/>
                  <w:tcBorders>
                    <w:tl2br w:val="nil"/>
                    <w:tr2bl w:val="nil"/>
                  </w:tcBorders>
                  <w:noWrap w:val="0"/>
                  <w:vAlign w:val="center"/>
                </w:tcPr>
                <w:p w14:paraId="67B611D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41700</w:t>
                  </w:r>
                </w:p>
              </w:tc>
              <w:tc>
                <w:tcPr>
                  <w:tcW w:w="900" w:type="dxa"/>
                  <w:tcBorders>
                    <w:tl2br w:val="nil"/>
                    <w:tr2bl w:val="nil"/>
                  </w:tcBorders>
                  <w:noWrap w:val="0"/>
                  <w:vAlign w:val="center"/>
                </w:tcPr>
                <w:p w14:paraId="7F65210A">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颗粒物</w:t>
                  </w:r>
                </w:p>
              </w:tc>
              <w:tc>
                <w:tcPr>
                  <w:tcW w:w="1050" w:type="dxa"/>
                  <w:tcBorders>
                    <w:tl2br w:val="nil"/>
                    <w:tr2bl w:val="nil"/>
                  </w:tcBorders>
                  <w:noWrap w:val="0"/>
                  <w:vAlign w:val="center"/>
                </w:tcPr>
                <w:p w14:paraId="15790E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2448.681 </w:t>
                  </w:r>
                </w:p>
              </w:tc>
              <w:tc>
                <w:tcPr>
                  <w:tcW w:w="975" w:type="dxa"/>
                  <w:tcBorders>
                    <w:tl2br w:val="nil"/>
                    <w:tr2bl w:val="nil"/>
                  </w:tcBorders>
                  <w:noWrap w:val="0"/>
                  <w:vAlign w:val="center"/>
                </w:tcPr>
                <w:p w14:paraId="216A35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102.110 </w:t>
                  </w:r>
                </w:p>
              </w:tc>
              <w:tc>
                <w:tcPr>
                  <w:tcW w:w="884" w:type="dxa"/>
                  <w:tcBorders>
                    <w:tl2br w:val="nil"/>
                    <w:tr2bl w:val="nil"/>
                  </w:tcBorders>
                  <w:noWrap w:val="0"/>
                  <w:vAlign w:val="center"/>
                </w:tcPr>
                <w:p w14:paraId="779870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48.620 </w:t>
                  </w:r>
                </w:p>
              </w:tc>
              <w:tc>
                <w:tcPr>
                  <w:tcW w:w="1102" w:type="dxa"/>
                  <w:vMerge w:val="restart"/>
                  <w:tcBorders>
                    <w:tl2br w:val="nil"/>
                    <w:tr2bl w:val="nil"/>
                  </w:tcBorders>
                  <w:noWrap w:val="0"/>
                  <w:vAlign w:val="center"/>
                </w:tcPr>
                <w:p w14:paraId="4A6C1BC2">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经“</w:t>
                  </w:r>
                  <w:r>
                    <w:rPr>
                      <w:rFonts w:hint="default" w:ascii="Times New Roman" w:hAnsi="Times New Roman" w:eastAsia="宋体" w:cs="Times New Roman"/>
                      <w:bCs/>
                      <w:color w:val="auto"/>
                      <w:sz w:val="22"/>
                      <w:szCs w:val="22"/>
                      <w:vertAlign w:val="baseline"/>
                      <w:lang w:val="en-US" w:eastAsia="zh-CN"/>
                    </w:rPr>
                    <w:t>旋风+布袋除尘</w:t>
                  </w:r>
                  <w:r>
                    <w:rPr>
                      <w:rFonts w:hint="default" w:ascii="Times New Roman" w:hAnsi="Times New Roman" w:eastAsia="宋体" w:cs="Times New Roman"/>
                      <w:bCs/>
                      <w:color w:val="auto"/>
                      <w:kern w:val="2"/>
                      <w:sz w:val="22"/>
                      <w:szCs w:val="22"/>
                      <w:vertAlign w:val="baseline"/>
                      <w:lang w:val="en-US" w:eastAsia="zh-CN" w:bidi="ar-SA"/>
                    </w:rPr>
                    <w:t>”处理后，由21m排气筒(DA002)排放</w:t>
                  </w:r>
                </w:p>
              </w:tc>
              <w:tc>
                <w:tcPr>
                  <w:tcW w:w="675" w:type="dxa"/>
                  <w:tcBorders>
                    <w:tl2br w:val="nil"/>
                    <w:tr2bl w:val="nil"/>
                  </w:tcBorders>
                  <w:noWrap w:val="0"/>
                  <w:vAlign w:val="center"/>
                </w:tcPr>
                <w:p w14:paraId="311CDA1C">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99%</w:t>
                  </w:r>
                </w:p>
              </w:tc>
              <w:tc>
                <w:tcPr>
                  <w:tcW w:w="884" w:type="dxa"/>
                  <w:tcBorders>
                    <w:tl2br w:val="nil"/>
                    <w:tr2bl w:val="nil"/>
                  </w:tcBorders>
                  <w:noWrap w:val="0"/>
                  <w:vAlign w:val="center"/>
                </w:tcPr>
                <w:p w14:paraId="137C11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24.487 </w:t>
                  </w:r>
                </w:p>
              </w:tc>
              <w:tc>
                <w:tcPr>
                  <w:tcW w:w="954" w:type="dxa"/>
                  <w:tcBorders>
                    <w:tl2br w:val="nil"/>
                    <w:tr2bl w:val="nil"/>
                  </w:tcBorders>
                  <w:noWrap w:val="0"/>
                  <w:vAlign w:val="center"/>
                </w:tcPr>
                <w:p w14:paraId="0486C6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1.021 </w:t>
                  </w:r>
                </w:p>
              </w:tc>
              <w:tc>
                <w:tcPr>
                  <w:tcW w:w="895" w:type="dxa"/>
                  <w:tcBorders>
                    <w:tl2br w:val="nil"/>
                    <w:tr2bl w:val="nil"/>
                  </w:tcBorders>
                  <w:noWrap w:val="0"/>
                  <w:vAlign w:val="center"/>
                </w:tcPr>
                <w:p w14:paraId="63B515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0.486 </w:t>
                  </w:r>
                </w:p>
              </w:tc>
              <w:tc>
                <w:tcPr>
                  <w:tcW w:w="852" w:type="dxa"/>
                  <w:tcBorders>
                    <w:tl2br w:val="nil"/>
                    <w:tr2bl w:val="nil"/>
                  </w:tcBorders>
                  <w:noWrap w:val="0"/>
                  <w:vAlign w:val="center"/>
                </w:tcPr>
                <w:p w14:paraId="0BC7C4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30</w:t>
                  </w:r>
                </w:p>
              </w:tc>
              <w:tc>
                <w:tcPr>
                  <w:tcW w:w="737" w:type="dxa"/>
                  <w:tcBorders>
                    <w:tl2br w:val="nil"/>
                    <w:tr2bl w:val="nil"/>
                  </w:tcBorders>
                  <w:noWrap w:val="0"/>
                  <w:vAlign w:val="center"/>
                </w:tcPr>
                <w:p w14:paraId="3538403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0275F9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dxa"/>
                  <w:gridSpan w:val="2"/>
                  <w:vMerge w:val="continue"/>
                  <w:tcBorders>
                    <w:tl2br w:val="nil"/>
                    <w:tr2bl w:val="nil"/>
                  </w:tcBorders>
                  <w:noWrap w:val="0"/>
                  <w:vAlign w:val="center"/>
                </w:tcPr>
                <w:p w14:paraId="209A64C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4D21893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347F1E8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148375C4">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NOx</w:t>
                  </w:r>
                </w:p>
              </w:tc>
              <w:tc>
                <w:tcPr>
                  <w:tcW w:w="1050" w:type="dxa"/>
                  <w:tcBorders>
                    <w:tl2br w:val="nil"/>
                    <w:tr2bl w:val="nil"/>
                  </w:tcBorders>
                  <w:noWrap w:val="0"/>
                  <w:vAlign w:val="center"/>
                </w:tcPr>
                <w:p w14:paraId="4E934F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35.492 </w:t>
                  </w:r>
                </w:p>
              </w:tc>
              <w:tc>
                <w:tcPr>
                  <w:tcW w:w="975" w:type="dxa"/>
                  <w:tcBorders>
                    <w:tl2br w:val="nil"/>
                    <w:tr2bl w:val="nil"/>
                  </w:tcBorders>
                  <w:noWrap w:val="0"/>
                  <w:vAlign w:val="center"/>
                </w:tcPr>
                <w:p w14:paraId="25FA63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1.480 </w:t>
                  </w:r>
                </w:p>
              </w:tc>
              <w:tc>
                <w:tcPr>
                  <w:tcW w:w="884" w:type="dxa"/>
                  <w:tcBorders>
                    <w:tl2br w:val="nil"/>
                    <w:tr2bl w:val="nil"/>
                  </w:tcBorders>
                  <w:noWrap w:val="0"/>
                  <w:vAlign w:val="center"/>
                </w:tcPr>
                <w:p w14:paraId="012128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1.530 </w:t>
                  </w:r>
                </w:p>
              </w:tc>
              <w:tc>
                <w:tcPr>
                  <w:tcW w:w="1102" w:type="dxa"/>
                  <w:vMerge w:val="continue"/>
                  <w:tcBorders>
                    <w:tl2br w:val="nil"/>
                    <w:tr2bl w:val="nil"/>
                  </w:tcBorders>
                  <w:noWrap w:val="0"/>
                  <w:vAlign w:val="center"/>
                </w:tcPr>
                <w:p w14:paraId="5532CB9C">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p>
              </w:tc>
              <w:tc>
                <w:tcPr>
                  <w:tcW w:w="675" w:type="dxa"/>
                  <w:tcBorders>
                    <w:tl2br w:val="nil"/>
                    <w:tr2bl w:val="nil"/>
                  </w:tcBorders>
                  <w:noWrap w:val="0"/>
                  <w:vAlign w:val="center"/>
                </w:tcPr>
                <w:p w14:paraId="1E99B528">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0%</w:t>
                  </w:r>
                </w:p>
              </w:tc>
              <w:tc>
                <w:tcPr>
                  <w:tcW w:w="884" w:type="dxa"/>
                  <w:tcBorders>
                    <w:tl2br w:val="nil"/>
                    <w:tr2bl w:val="nil"/>
                  </w:tcBorders>
                  <w:noWrap w:val="0"/>
                  <w:vAlign w:val="center"/>
                </w:tcPr>
                <w:p w14:paraId="6195DC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35.492 </w:t>
                  </w:r>
                </w:p>
              </w:tc>
              <w:tc>
                <w:tcPr>
                  <w:tcW w:w="954" w:type="dxa"/>
                  <w:tcBorders>
                    <w:tl2br w:val="nil"/>
                    <w:tr2bl w:val="nil"/>
                  </w:tcBorders>
                  <w:noWrap w:val="0"/>
                  <w:vAlign w:val="center"/>
                </w:tcPr>
                <w:p w14:paraId="2D29CE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1.480 </w:t>
                  </w:r>
                </w:p>
              </w:tc>
              <w:tc>
                <w:tcPr>
                  <w:tcW w:w="895" w:type="dxa"/>
                  <w:tcBorders>
                    <w:tl2br w:val="nil"/>
                    <w:tr2bl w:val="nil"/>
                  </w:tcBorders>
                  <w:noWrap w:val="0"/>
                  <w:vAlign w:val="center"/>
                </w:tcPr>
                <w:p w14:paraId="7B6CDF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1.530 </w:t>
                  </w:r>
                </w:p>
              </w:tc>
              <w:tc>
                <w:tcPr>
                  <w:tcW w:w="852" w:type="dxa"/>
                  <w:tcBorders>
                    <w:tl2br w:val="nil"/>
                    <w:tr2bl w:val="nil"/>
                  </w:tcBorders>
                  <w:noWrap w:val="0"/>
                  <w:vAlign w:val="center"/>
                </w:tcPr>
                <w:p w14:paraId="193BD8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737" w:type="dxa"/>
                  <w:tcBorders>
                    <w:tl2br w:val="nil"/>
                    <w:tr2bl w:val="nil"/>
                  </w:tcBorders>
                  <w:noWrap w:val="0"/>
                  <w:vAlign w:val="center"/>
                </w:tcPr>
                <w:p w14:paraId="6C05AC1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1678B0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dxa"/>
                  <w:gridSpan w:val="2"/>
                  <w:vMerge w:val="continue"/>
                  <w:tcBorders>
                    <w:tl2br w:val="nil"/>
                    <w:tr2bl w:val="nil"/>
                  </w:tcBorders>
                  <w:noWrap w:val="0"/>
                  <w:vAlign w:val="center"/>
                </w:tcPr>
                <w:p w14:paraId="129C41C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27373E0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56408E3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204F48EF">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SO</w:t>
                  </w:r>
                  <w:r>
                    <w:rPr>
                      <w:rFonts w:hint="default" w:ascii="Times New Roman" w:hAnsi="Times New Roman" w:eastAsia="宋体" w:cs="Times New Roman"/>
                      <w:bCs/>
                      <w:color w:val="auto"/>
                      <w:sz w:val="22"/>
                      <w:szCs w:val="22"/>
                      <w:vertAlign w:val="subscript"/>
                      <w:lang w:val="en-US" w:eastAsia="zh-CN"/>
                    </w:rPr>
                    <w:t>2</w:t>
                  </w:r>
                </w:p>
              </w:tc>
              <w:tc>
                <w:tcPr>
                  <w:tcW w:w="1050" w:type="dxa"/>
                  <w:tcBorders>
                    <w:tl2br w:val="nil"/>
                    <w:tr2bl w:val="nil"/>
                  </w:tcBorders>
                  <w:noWrap w:val="0"/>
                  <w:vAlign w:val="center"/>
                </w:tcPr>
                <w:p w14:paraId="458787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2.710 </w:t>
                  </w:r>
                </w:p>
              </w:tc>
              <w:tc>
                <w:tcPr>
                  <w:tcW w:w="975" w:type="dxa"/>
                  <w:tcBorders>
                    <w:tl2br w:val="nil"/>
                    <w:tr2bl w:val="nil"/>
                  </w:tcBorders>
                  <w:noWrap w:val="0"/>
                  <w:vAlign w:val="center"/>
                </w:tcPr>
                <w:p w14:paraId="7F9BDD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0.113 </w:t>
                  </w:r>
                </w:p>
              </w:tc>
              <w:tc>
                <w:tcPr>
                  <w:tcW w:w="884" w:type="dxa"/>
                  <w:tcBorders>
                    <w:tl2br w:val="nil"/>
                    <w:tr2bl w:val="nil"/>
                  </w:tcBorders>
                  <w:noWrap w:val="0"/>
                  <w:vAlign w:val="center"/>
                </w:tcPr>
                <w:p w14:paraId="782EA0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0.120 </w:t>
                  </w:r>
                </w:p>
              </w:tc>
              <w:tc>
                <w:tcPr>
                  <w:tcW w:w="1102" w:type="dxa"/>
                  <w:vMerge w:val="continue"/>
                  <w:tcBorders>
                    <w:tl2br w:val="nil"/>
                    <w:tr2bl w:val="nil"/>
                  </w:tcBorders>
                  <w:noWrap w:val="0"/>
                  <w:vAlign w:val="center"/>
                </w:tcPr>
                <w:p w14:paraId="0487FFB9">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p>
              </w:tc>
              <w:tc>
                <w:tcPr>
                  <w:tcW w:w="675" w:type="dxa"/>
                  <w:tcBorders>
                    <w:tl2br w:val="nil"/>
                    <w:tr2bl w:val="nil"/>
                  </w:tcBorders>
                  <w:noWrap w:val="0"/>
                  <w:vAlign w:val="center"/>
                </w:tcPr>
                <w:p w14:paraId="6FBCD012">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0%</w:t>
                  </w:r>
                </w:p>
              </w:tc>
              <w:tc>
                <w:tcPr>
                  <w:tcW w:w="884" w:type="dxa"/>
                  <w:tcBorders>
                    <w:tl2br w:val="nil"/>
                    <w:tr2bl w:val="nil"/>
                  </w:tcBorders>
                  <w:noWrap w:val="0"/>
                  <w:vAlign w:val="center"/>
                </w:tcPr>
                <w:p w14:paraId="53A732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2.710 </w:t>
                  </w:r>
                </w:p>
              </w:tc>
              <w:tc>
                <w:tcPr>
                  <w:tcW w:w="954" w:type="dxa"/>
                  <w:tcBorders>
                    <w:tl2br w:val="nil"/>
                    <w:tr2bl w:val="nil"/>
                  </w:tcBorders>
                  <w:noWrap w:val="0"/>
                  <w:vAlign w:val="center"/>
                </w:tcPr>
                <w:p w14:paraId="3A0EF2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0.113 </w:t>
                  </w:r>
                </w:p>
              </w:tc>
              <w:tc>
                <w:tcPr>
                  <w:tcW w:w="895" w:type="dxa"/>
                  <w:tcBorders>
                    <w:tl2br w:val="nil"/>
                    <w:tr2bl w:val="nil"/>
                  </w:tcBorders>
                  <w:noWrap w:val="0"/>
                  <w:vAlign w:val="center"/>
                </w:tcPr>
                <w:p w14:paraId="437E28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0.120 </w:t>
                  </w:r>
                </w:p>
              </w:tc>
              <w:tc>
                <w:tcPr>
                  <w:tcW w:w="852" w:type="dxa"/>
                  <w:tcBorders>
                    <w:tl2br w:val="nil"/>
                    <w:tr2bl w:val="nil"/>
                  </w:tcBorders>
                  <w:noWrap w:val="0"/>
                  <w:vAlign w:val="center"/>
                </w:tcPr>
                <w:p w14:paraId="2324A9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737" w:type="dxa"/>
                  <w:tcBorders>
                    <w:tl2br w:val="nil"/>
                    <w:tr2bl w:val="nil"/>
                  </w:tcBorders>
                  <w:noWrap w:val="0"/>
                  <w:vAlign w:val="center"/>
                </w:tcPr>
                <w:p w14:paraId="4E0230A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2D16D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dxa"/>
                  <w:gridSpan w:val="2"/>
                  <w:vMerge w:val="continue"/>
                  <w:tcBorders>
                    <w:tl2br w:val="nil"/>
                    <w:tr2bl w:val="nil"/>
                  </w:tcBorders>
                  <w:noWrap w:val="0"/>
                  <w:vAlign w:val="center"/>
                </w:tcPr>
                <w:p w14:paraId="3250C31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5F26728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654A55D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682DE54E">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HCl</w:t>
                  </w:r>
                </w:p>
              </w:tc>
              <w:tc>
                <w:tcPr>
                  <w:tcW w:w="1050" w:type="dxa"/>
                  <w:tcBorders>
                    <w:tl2br w:val="nil"/>
                    <w:tr2bl w:val="nil"/>
                  </w:tcBorders>
                  <w:noWrap w:val="0"/>
                  <w:vAlign w:val="center"/>
                </w:tcPr>
                <w:p w14:paraId="3B6958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2.974 </w:t>
                  </w:r>
                </w:p>
              </w:tc>
              <w:tc>
                <w:tcPr>
                  <w:tcW w:w="975" w:type="dxa"/>
                  <w:tcBorders>
                    <w:tl2br w:val="nil"/>
                    <w:tr2bl w:val="nil"/>
                  </w:tcBorders>
                  <w:noWrap w:val="0"/>
                  <w:vAlign w:val="center"/>
                </w:tcPr>
                <w:p w14:paraId="69016B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0.124 </w:t>
                  </w:r>
                </w:p>
              </w:tc>
              <w:tc>
                <w:tcPr>
                  <w:tcW w:w="884" w:type="dxa"/>
                  <w:tcBorders>
                    <w:tl2br w:val="nil"/>
                    <w:tr2bl w:val="nil"/>
                  </w:tcBorders>
                  <w:noWrap w:val="0"/>
                  <w:vAlign w:val="center"/>
                </w:tcPr>
                <w:p w14:paraId="58FD3B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0.120 </w:t>
                  </w:r>
                </w:p>
              </w:tc>
              <w:tc>
                <w:tcPr>
                  <w:tcW w:w="1102" w:type="dxa"/>
                  <w:vMerge w:val="continue"/>
                  <w:tcBorders>
                    <w:tl2br w:val="nil"/>
                    <w:tr2bl w:val="nil"/>
                  </w:tcBorders>
                  <w:noWrap w:val="0"/>
                  <w:vAlign w:val="center"/>
                </w:tcPr>
                <w:p w14:paraId="159EB097">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p>
              </w:tc>
              <w:tc>
                <w:tcPr>
                  <w:tcW w:w="675" w:type="dxa"/>
                  <w:tcBorders>
                    <w:tl2br w:val="nil"/>
                    <w:tr2bl w:val="nil"/>
                  </w:tcBorders>
                  <w:noWrap w:val="0"/>
                  <w:vAlign w:val="center"/>
                </w:tcPr>
                <w:p w14:paraId="65871A43">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0%</w:t>
                  </w:r>
                </w:p>
              </w:tc>
              <w:tc>
                <w:tcPr>
                  <w:tcW w:w="884" w:type="dxa"/>
                  <w:tcBorders>
                    <w:tl2br w:val="nil"/>
                    <w:tr2bl w:val="nil"/>
                  </w:tcBorders>
                  <w:noWrap w:val="0"/>
                  <w:vAlign w:val="center"/>
                </w:tcPr>
                <w:p w14:paraId="13F878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2.974 </w:t>
                  </w:r>
                </w:p>
              </w:tc>
              <w:tc>
                <w:tcPr>
                  <w:tcW w:w="954" w:type="dxa"/>
                  <w:tcBorders>
                    <w:tl2br w:val="nil"/>
                    <w:tr2bl w:val="nil"/>
                  </w:tcBorders>
                  <w:noWrap w:val="0"/>
                  <w:vAlign w:val="center"/>
                </w:tcPr>
                <w:p w14:paraId="57C16D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0.124 </w:t>
                  </w:r>
                </w:p>
              </w:tc>
              <w:tc>
                <w:tcPr>
                  <w:tcW w:w="895" w:type="dxa"/>
                  <w:tcBorders>
                    <w:tl2br w:val="nil"/>
                    <w:tr2bl w:val="nil"/>
                  </w:tcBorders>
                  <w:noWrap w:val="0"/>
                  <w:vAlign w:val="center"/>
                </w:tcPr>
                <w:p w14:paraId="6D0B12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0.120 </w:t>
                  </w:r>
                </w:p>
              </w:tc>
              <w:tc>
                <w:tcPr>
                  <w:tcW w:w="852" w:type="dxa"/>
                  <w:tcBorders>
                    <w:tl2br w:val="nil"/>
                    <w:tr2bl w:val="nil"/>
                  </w:tcBorders>
                  <w:noWrap w:val="0"/>
                  <w:vAlign w:val="center"/>
                </w:tcPr>
                <w:p w14:paraId="72E74C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737" w:type="dxa"/>
                  <w:tcBorders>
                    <w:tl2br w:val="nil"/>
                    <w:tr2bl w:val="nil"/>
                  </w:tcBorders>
                  <w:noWrap w:val="0"/>
                  <w:vAlign w:val="center"/>
                </w:tcPr>
                <w:p w14:paraId="4CA0526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0.53</w:t>
                  </w:r>
                </w:p>
              </w:tc>
            </w:tr>
            <w:tr w14:paraId="318B79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dxa"/>
                  <w:gridSpan w:val="2"/>
                  <w:vMerge w:val="continue"/>
                  <w:tcBorders>
                    <w:tl2br w:val="nil"/>
                    <w:tr2bl w:val="nil"/>
                  </w:tcBorders>
                  <w:noWrap w:val="0"/>
                  <w:vAlign w:val="center"/>
                </w:tcPr>
                <w:p w14:paraId="7AD41B6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21812A3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58D587F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900" w:type="dxa"/>
                  <w:tcBorders>
                    <w:tl2br w:val="nil"/>
                    <w:tr2bl w:val="nil"/>
                  </w:tcBorders>
                  <w:noWrap w:val="0"/>
                  <w:vAlign w:val="center"/>
                </w:tcPr>
                <w:p w14:paraId="4FBEE959">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氟化物</w:t>
                  </w:r>
                </w:p>
              </w:tc>
              <w:tc>
                <w:tcPr>
                  <w:tcW w:w="1050" w:type="dxa"/>
                  <w:tcBorders>
                    <w:tl2br w:val="nil"/>
                    <w:tr2bl w:val="nil"/>
                  </w:tcBorders>
                  <w:noWrap w:val="0"/>
                  <w:vAlign w:val="center"/>
                </w:tcPr>
                <w:p w14:paraId="0F69DE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0.624 </w:t>
                  </w:r>
                </w:p>
              </w:tc>
              <w:tc>
                <w:tcPr>
                  <w:tcW w:w="975" w:type="dxa"/>
                  <w:tcBorders>
                    <w:tl2br w:val="nil"/>
                    <w:tr2bl w:val="nil"/>
                  </w:tcBorders>
                  <w:noWrap w:val="0"/>
                  <w:vAlign w:val="center"/>
                </w:tcPr>
                <w:p w14:paraId="1288FB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0.026 </w:t>
                  </w:r>
                </w:p>
              </w:tc>
              <w:tc>
                <w:tcPr>
                  <w:tcW w:w="884" w:type="dxa"/>
                  <w:tcBorders>
                    <w:tl2br w:val="nil"/>
                    <w:tr2bl w:val="nil"/>
                  </w:tcBorders>
                  <w:noWrap w:val="0"/>
                  <w:vAlign w:val="center"/>
                </w:tcPr>
                <w:p w14:paraId="18FC4F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0.030 </w:t>
                  </w:r>
                </w:p>
              </w:tc>
              <w:tc>
                <w:tcPr>
                  <w:tcW w:w="1102" w:type="dxa"/>
                  <w:vMerge w:val="continue"/>
                  <w:tcBorders>
                    <w:tl2br w:val="nil"/>
                    <w:tr2bl w:val="nil"/>
                  </w:tcBorders>
                  <w:noWrap w:val="0"/>
                  <w:vAlign w:val="center"/>
                </w:tcPr>
                <w:p w14:paraId="453954E6">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p>
              </w:tc>
              <w:tc>
                <w:tcPr>
                  <w:tcW w:w="675" w:type="dxa"/>
                  <w:tcBorders>
                    <w:tl2br w:val="nil"/>
                    <w:tr2bl w:val="nil"/>
                  </w:tcBorders>
                  <w:noWrap w:val="0"/>
                  <w:vAlign w:val="center"/>
                </w:tcPr>
                <w:p w14:paraId="7E439B93">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0%</w:t>
                  </w:r>
                </w:p>
              </w:tc>
              <w:tc>
                <w:tcPr>
                  <w:tcW w:w="884" w:type="dxa"/>
                  <w:tcBorders>
                    <w:tl2br w:val="nil"/>
                    <w:tr2bl w:val="nil"/>
                  </w:tcBorders>
                  <w:noWrap w:val="0"/>
                  <w:vAlign w:val="center"/>
                </w:tcPr>
                <w:p w14:paraId="7EF157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0.624 </w:t>
                  </w:r>
                </w:p>
              </w:tc>
              <w:tc>
                <w:tcPr>
                  <w:tcW w:w="954" w:type="dxa"/>
                  <w:tcBorders>
                    <w:tl2br w:val="nil"/>
                    <w:tr2bl w:val="nil"/>
                  </w:tcBorders>
                  <w:noWrap w:val="0"/>
                  <w:vAlign w:val="center"/>
                </w:tcPr>
                <w:p w14:paraId="227C81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0.026 </w:t>
                  </w:r>
                </w:p>
              </w:tc>
              <w:tc>
                <w:tcPr>
                  <w:tcW w:w="895" w:type="dxa"/>
                  <w:tcBorders>
                    <w:tl2br w:val="nil"/>
                    <w:tr2bl w:val="nil"/>
                  </w:tcBorders>
                  <w:noWrap w:val="0"/>
                  <w:vAlign w:val="center"/>
                </w:tcPr>
                <w:p w14:paraId="70E72C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0.030 </w:t>
                  </w:r>
                </w:p>
              </w:tc>
              <w:tc>
                <w:tcPr>
                  <w:tcW w:w="852" w:type="dxa"/>
                  <w:tcBorders>
                    <w:tl2br w:val="nil"/>
                    <w:tr2bl w:val="nil"/>
                  </w:tcBorders>
                  <w:noWrap w:val="0"/>
                  <w:vAlign w:val="center"/>
                </w:tcPr>
                <w:p w14:paraId="5CF1B5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w:t>
                  </w:r>
                </w:p>
              </w:tc>
              <w:tc>
                <w:tcPr>
                  <w:tcW w:w="737" w:type="dxa"/>
                  <w:tcBorders>
                    <w:tl2br w:val="nil"/>
                    <w:tr2bl w:val="nil"/>
                  </w:tcBorders>
                  <w:noWrap w:val="0"/>
                  <w:vAlign w:val="center"/>
                </w:tcPr>
                <w:p w14:paraId="6E3BE9E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59062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dxa"/>
                  <w:gridSpan w:val="2"/>
                  <w:vMerge w:val="restart"/>
                  <w:tcBorders>
                    <w:tl2br w:val="nil"/>
                    <w:tr2bl w:val="nil"/>
                  </w:tcBorders>
                  <w:noWrap w:val="0"/>
                  <w:vAlign w:val="center"/>
                </w:tcPr>
                <w:p w14:paraId="40970AD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闭炉状态下</w:t>
                  </w:r>
                </w:p>
              </w:tc>
              <w:tc>
                <w:tcPr>
                  <w:tcW w:w="413" w:type="dxa"/>
                  <w:vMerge w:val="continue"/>
                  <w:tcBorders>
                    <w:tl2br w:val="nil"/>
                    <w:tr2bl w:val="nil"/>
                  </w:tcBorders>
                  <w:noWrap w:val="0"/>
                  <w:vAlign w:val="center"/>
                </w:tcPr>
                <w:p w14:paraId="4BE1B24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restart"/>
                  <w:tcBorders>
                    <w:tl2br w:val="nil"/>
                    <w:tr2bl w:val="nil"/>
                  </w:tcBorders>
                  <w:noWrap w:val="0"/>
                  <w:vAlign w:val="center"/>
                </w:tcPr>
                <w:p w14:paraId="71CECE1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eastAsia" w:ascii="Times New Roman" w:hAnsi="Times New Roman" w:eastAsia="宋体" w:cs="Times New Roman"/>
                      <w:bCs/>
                      <w:color w:val="auto"/>
                      <w:sz w:val="22"/>
                      <w:szCs w:val="22"/>
                      <w:vertAlign w:val="baseline"/>
                      <w:lang w:val="en-US" w:eastAsia="zh-CN"/>
                    </w:rPr>
                    <w:t>82000</w:t>
                  </w:r>
                </w:p>
              </w:tc>
              <w:tc>
                <w:tcPr>
                  <w:tcW w:w="900" w:type="dxa"/>
                  <w:tcBorders>
                    <w:tl2br w:val="nil"/>
                    <w:tr2bl w:val="nil"/>
                  </w:tcBorders>
                  <w:noWrap w:val="0"/>
                  <w:vAlign w:val="center"/>
                </w:tcPr>
                <w:p w14:paraId="6427BD7B">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颗粒物</w:t>
                  </w:r>
                </w:p>
              </w:tc>
              <w:tc>
                <w:tcPr>
                  <w:tcW w:w="1050" w:type="dxa"/>
                  <w:tcBorders>
                    <w:tl2br w:val="nil"/>
                    <w:tr2bl w:val="nil"/>
                  </w:tcBorders>
                  <w:noWrap w:val="0"/>
                  <w:vAlign w:val="center"/>
                </w:tcPr>
                <w:p w14:paraId="588B45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830.244 </w:t>
                  </w:r>
                </w:p>
              </w:tc>
              <w:tc>
                <w:tcPr>
                  <w:tcW w:w="975" w:type="dxa"/>
                  <w:tcBorders>
                    <w:tl2br w:val="nil"/>
                    <w:tr2bl w:val="nil"/>
                  </w:tcBorders>
                  <w:noWrap w:val="0"/>
                  <w:vAlign w:val="center"/>
                </w:tcPr>
                <w:p w14:paraId="7EB0AC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68.080 </w:t>
                  </w:r>
                </w:p>
              </w:tc>
              <w:tc>
                <w:tcPr>
                  <w:tcW w:w="884" w:type="dxa"/>
                  <w:tcBorders>
                    <w:tl2br w:val="nil"/>
                    <w:tr2bl w:val="nil"/>
                  </w:tcBorders>
                  <w:noWrap w:val="0"/>
                  <w:vAlign w:val="center"/>
                </w:tcPr>
                <w:p w14:paraId="48759D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306.160 </w:t>
                  </w:r>
                </w:p>
              </w:tc>
              <w:tc>
                <w:tcPr>
                  <w:tcW w:w="1102" w:type="dxa"/>
                  <w:vMerge w:val="continue"/>
                  <w:tcBorders>
                    <w:tl2br w:val="nil"/>
                    <w:tr2bl w:val="nil"/>
                  </w:tcBorders>
                  <w:noWrap w:val="0"/>
                  <w:vAlign w:val="center"/>
                </w:tcPr>
                <w:p w14:paraId="68E385DB">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p>
              </w:tc>
              <w:tc>
                <w:tcPr>
                  <w:tcW w:w="675" w:type="dxa"/>
                  <w:tcBorders>
                    <w:tl2br w:val="nil"/>
                    <w:tr2bl w:val="nil"/>
                  </w:tcBorders>
                  <w:noWrap w:val="0"/>
                  <w:vAlign w:val="center"/>
                </w:tcPr>
                <w:p w14:paraId="363C3BCD">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99%</w:t>
                  </w:r>
                </w:p>
              </w:tc>
              <w:tc>
                <w:tcPr>
                  <w:tcW w:w="884" w:type="dxa"/>
                  <w:tcBorders>
                    <w:tl2br w:val="nil"/>
                    <w:tr2bl w:val="nil"/>
                  </w:tcBorders>
                  <w:noWrap w:val="0"/>
                  <w:vAlign w:val="center"/>
                </w:tcPr>
                <w:p w14:paraId="6B766C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8.302 </w:t>
                  </w:r>
                </w:p>
              </w:tc>
              <w:tc>
                <w:tcPr>
                  <w:tcW w:w="954" w:type="dxa"/>
                  <w:tcBorders>
                    <w:tl2br w:val="nil"/>
                    <w:tr2bl w:val="nil"/>
                  </w:tcBorders>
                  <w:noWrap w:val="0"/>
                  <w:vAlign w:val="center"/>
                </w:tcPr>
                <w:p w14:paraId="1F66A6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0.681 </w:t>
                  </w:r>
                </w:p>
              </w:tc>
              <w:tc>
                <w:tcPr>
                  <w:tcW w:w="895" w:type="dxa"/>
                  <w:tcBorders>
                    <w:tl2br w:val="nil"/>
                    <w:tr2bl w:val="nil"/>
                  </w:tcBorders>
                  <w:noWrap w:val="0"/>
                  <w:vAlign w:val="center"/>
                </w:tcPr>
                <w:p w14:paraId="283804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3.062 </w:t>
                  </w:r>
                </w:p>
              </w:tc>
              <w:tc>
                <w:tcPr>
                  <w:tcW w:w="852" w:type="dxa"/>
                  <w:tcBorders>
                    <w:tl2br w:val="nil"/>
                    <w:tr2bl w:val="nil"/>
                  </w:tcBorders>
                  <w:noWrap w:val="0"/>
                  <w:vAlign w:val="center"/>
                </w:tcPr>
                <w:p w14:paraId="49F5DB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30</w:t>
                  </w:r>
                </w:p>
              </w:tc>
              <w:tc>
                <w:tcPr>
                  <w:tcW w:w="737" w:type="dxa"/>
                  <w:tcBorders>
                    <w:tl2br w:val="nil"/>
                    <w:tr2bl w:val="nil"/>
                  </w:tcBorders>
                  <w:noWrap w:val="0"/>
                  <w:vAlign w:val="center"/>
                </w:tcPr>
                <w:p w14:paraId="62B6176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w:t>
                  </w:r>
                </w:p>
              </w:tc>
            </w:tr>
            <w:tr w14:paraId="4EF18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dxa"/>
                  <w:gridSpan w:val="2"/>
                  <w:vMerge w:val="continue"/>
                  <w:tcBorders>
                    <w:tl2br w:val="nil"/>
                    <w:tr2bl w:val="nil"/>
                  </w:tcBorders>
                  <w:noWrap w:val="0"/>
                  <w:vAlign w:val="center"/>
                </w:tcPr>
                <w:p w14:paraId="7CCA73C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42EDEE0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20759BF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p>
              </w:tc>
              <w:tc>
                <w:tcPr>
                  <w:tcW w:w="900" w:type="dxa"/>
                  <w:tcBorders>
                    <w:tl2br w:val="nil"/>
                    <w:tr2bl w:val="nil"/>
                  </w:tcBorders>
                  <w:noWrap w:val="0"/>
                  <w:vAlign w:val="center"/>
                </w:tcPr>
                <w:p w14:paraId="4AB50523">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NOx</w:t>
                  </w:r>
                </w:p>
              </w:tc>
              <w:tc>
                <w:tcPr>
                  <w:tcW w:w="1050" w:type="dxa"/>
                  <w:tcBorders>
                    <w:tl2br w:val="nil"/>
                    <w:tr2bl w:val="nil"/>
                  </w:tcBorders>
                  <w:noWrap w:val="0"/>
                  <w:vAlign w:val="center"/>
                </w:tcPr>
                <w:p w14:paraId="0F0D43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26.098 </w:t>
                  </w:r>
                </w:p>
              </w:tc>
              <w:tc>
                <w:tcPr>
                  <w:tcW w:w="975" w:type="dxa"/>
                  <w:tcBorders>
                    <w:tl2br w:val="nil"/>
                    <w:tr2bl w:val="nil"/>
                  </w:tcBorders>
                  <w:noWrap w:val="0"/>
                  <w:vAlign w:val="center"/>
                </w:tcPr>
                <w:p w14:paraId="6CA316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2.140 </w:t>
                  </w:r>
                </w:p>
              </w:tc>
              <w:tc>
                <w:tcPr>
                  <w:tcW w:w="884" w:type="dxa"/>
                  <w:tcBorders>
                    <w:tl2br w:val="nil"/>
                    <w:tr2bl w:val="nil"/>
                  </w:tcBorders>
                  <w:noWrap w:val="0"/>
                  <w:vAlign w:val="center"/>
                </w:tcPr>
                <w:p w14:paraId="16F050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9.640 </w:t>
                  </w:r>
                </w:p>
              </w:tc>
              <w:tc>
                <w:tcPr>
                  <w:tcW w:w="1102" w:type="dxa"/>
                  <w:vMerge w:val="continue"/>
                  <w:tcBorders>
                    <w:tl2br w:val="nil"/>
                    <w:tr2bl w:val="nil"/>
                  </w:tcBorders>
                  <w:noWrap w:val="0"/>
                  <w:vAlign w:val="center"/>
                </w:tcPr>
                <w:p w14:paraId="3F90742A">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p>
              </w:tc>
              <w:tc>
                <w:tcPr>
                  <w:tcW w:w="675" w:type="dxa"/>
                  <w:tcBorders>
                    <w:tl2br w:val="nil"/>
                    <w:tr2bl w:val="nil"/>
                  </w:tcBorders>
                  <w:noWrap w:val="0"/>
                  <w:vAlign w:val="center"/>
                </w:tcPr>
                <w:p w14:paraId="4A3B30E2">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0%</w:t>
                  </w:r>
                </w:p>
              </w:tc>
              <w:tc>
                <w:tcPr>
                  <w:tcW w:w="884" w:type="dxa"/>
                  <w:tcBorders>
                    <w:tl2br w:val="nil"/>
                    <w:tr2bl w:val="nil"/>
                  </w:tcBorders>
                  <w:noWrap w:val="0"/>
                  <w:vAlign w:val="center"/>
                </w:tcPr>
                <w:p w14:paraId="02BDAD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26.098 </w:t>
                  </w:r>
                </w:p>
              </w:tc>
              <w:tc>
                <w:tcPr>
                  <w:tcW w:w="954" w:type="dxa"/>
                  <w:tcBorders>
                    <w:tl2br w:val="nil"/>
                    <w:tr2bl w:val="nil"/>
                  </w:tcBorders>
                  <w:noWrap w:val="0"/>
                  <w:vAlign w:val="center"/>
                </w:tcPr>
                <w:p w14:paraId="222BF9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2.140 </w:t>
                  </w:r>
                </w:p>
              </w:tc>
              <w:tc>
                <w:tcPr>
                  <w:tcW w:w="895" w:type="dxa"/>
                  <w:tcBorders>
                    <w:tl2br w:val="nil"/>
                    <w:tr2bl w:val="nil"/>
                  </w:tcBorders>
                  <w:noWrap w:val="0"/>
                  <w:vAlign w:val="center"/>
                </w:tcPr>
                <w:p w14:paraId="37446F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9.640 </w:t>
                  </w:r>
                </w:p>
              </w:tc>
              <w:tc>
                <w:tcPr>
                  <w:tcW w:w="852" w:type="dxa"/>
                  <w:tcBorders>
                    <w:tl2br w:val="nil"/>
                    <w:tr2bl w:val="nil"/>
                  </w:tcBorders>
                  <w:noWrap w:val="0"/>
                  <w:vAlign w:val="center"/>
                </w:tcPr>
                <w:p w14:paraId="517867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300</w:t>
                  </w:r>
                </w:p>
              </w:tc>
              <w:tc>
                <w:tcPr>
                  <w:tcW w:w="737" w:type="dxa"/>
                  <w:tcBorders>
                    <w:tl2br w:val="nil"/>
                    <w:tr2bl w:val="nil"/>
                  </w:tcBorders>
                  <w:noWrap w:val="0"/>
                  <w:vAlign w:val="center"/>
                </w:tcPr>
                <w:p w14:paraId="424DDCE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w:t>
                  </w:r>
                </w:p>
              </w:tc>
            </w:tr>
            <w:tr w14:paraId="31B97B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dxa"/>
                  <w:gridSpan w:val="2"/>
                  <w:vMerge w:val="continue"/>
                  <w:tcBorders>
                    <w:tl2br w:val="nil"/>
                    <w:tr2bl w:val="nil"/>
                  </w:tcBorders>
                  <w:noWrap w:val="0"/>
                  <w:vAlign w:val="center"/>
                </w:tcPr>
                <w:p w14:paraId="513524F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58AB23E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2708B0C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p>
              </w:tc>
              <w:tc>
                <w:tcPr>
                  <w:tcW w:w="900" w:type="dxa"/>
                  <w:tcBorders>
                    <w:tl2br w:val="nil"/>
                    <w:tr2bl w:val="nil"/>
                  </w:tcBorders>
                  <w:noWrap w:val="0"/>
                  <w:vAlign w:val="center"/>
                </w:tcPr>
                <w:p w14:paraId="67D6D901">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SO</w:t>
                  </w:r>
                  <w:r>
                    <w:rPr>
                      <w:rFonts w:hint="default" w:ascii="Times New Roman" w:hAnsi="Times New Roman" w:eastAsia="宋体" w:cs="Times New Roman"/>
                      <w:bCs/>
                      <w:color w:val="auto"/>
                      <w:sz w:val="22"/>
                      <w:szCs w:val="22"/>
                      <w:vertAlign w:val="subscript"/>
                      <w:lang w:val="en-US" w:eastAsia="zh-CN"/>
                    </w:rPr>
                    <w:t>2</w:t>
                  </w:r>
                </w:p>
              </w:tc>
              <w:tc>
                <w:tcPr>
                  <w:tcW w:w="1050" w:type="dxa"/>
                  <w:tcBorders>
                    <w:tl2br w:val="nil"/>
                    <w:tr2bl w:val="nil"/>
                  </w:tcBorders>
                  <w:noWrap w:val="0"/>
                  <w:vAlign w:val="center"/>
                </w:tcPr>
                <w:p w14:paraId="693A09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2.049 </w:t>
                  </w:r>
                </w:p>
              </w:tc>
              <w:tc>
                <w:tcPr>
                  <w:tcW w:w="975" w:type="dxa"/>
                  <w:tcBorders>
                    <w:tl2br w:val="nil"/>
                    <w:tr2bl w:val="nil"/>
                  </w:tcBorders>
                  <w:noWrap w:val="0"/>
                  <w:vAlign w:val="center"/>
                </w:tcPr>
                <w:p w14:paraId="1F38CB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0.168 </w:t>
                  </w:r>
                </w:p>
              </w:tc>
              <w:tc>
                <w:tcPr>
                  <w:tcW w:w="884" w:type="dxa"/>
                  <w:tcBorders>
                    <w:tl2br w:val="nil"/>
                    <w:tr2bl w:val="nil"/>
                  </w:tcBorders>
                  <w:noWrap w:val="0"/>
                  <w:vAlign w:val="center"/>
                </w:tcPr>
                <w:p w14:paraId="51F578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0.730 </w:t>
                  </w:r>
                </w:p>
              </w:tc>
              <w:tc>
                <w:tcPr>
                  <w:tcW w:w="1102" w:type="dxa"/>
                  <w:vMerge w:val="continue"/>
                  <w:tcBorders>
                    <w:tl2br w:val="nil"/>
                    <w:tr2bl w:val="nil"/>
                  </w:tcBorders>
                  <w:noWrap w:val="0"/>
                  <w:vAlign w:val="center"/>
                </w:tcPr>
                <w:p w14:paraId="47B84374">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p>
              </w:tc>
              <w:tc>
                <w:tcPr>
                  <w:tcW w:w="675" w:type="dxa"/>
                  <w:tcBorders>
                    <w:tl2br w:val="nil"/>
                    <w:tr2bl w:val="nil"/>
                  </w:tcBorders>
                  <w:noWrap w:val="0"/>
                  <w:vAlign w:val="center"/>
                </w:tcPr>
                <w:p w14:paraId="70669FBC">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0%</w:t>
                  </w:r>
                </w:p>
              </w:tc>
              <w:tc>
                <w:tcPr>
                  <w:tcW w:w="884" w:type="dxa"/>
                  <w:tcBorders>
                    <w:tl2br w:val="nil"/>
                    <w:tr2bl w:val="nil"/>
                  </w:tcBorders>
                  <w:noWrap w:val="0"/>
                  <w:vAlign w:val="center"/>
                </w:tcPr>
                <w:p w14:paraId="19E8B5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2.049 </w:t>
                  </w:r>
                </w:p>
              </w:tc>
              <w:tc>
                <w:tcPr>
                  <w:tcW w:w="954" w:type="dxa"/>
                  <w:tcBorders>
                    <w:tl2br w:val="nil"/>
                    <w:tr2bl w:val="nil"/>
                  </w:tcBorders>
                  <w:noWrap w:val="0"/>
                  <w:vAlign w:val="center"/>
                </w:tcPr>
                <w:p w14:paraId="1BC025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0.168 </w:t>
                  </w:r>
                </w:p>
              </w:tc>
              <w:tc>
                <w:tcPr>
                  <w:tcW w:w="895" w:type="dxa"/>
                  <w:tcBorders>
                    <w:tl2br w:val="nil"/>
                    <w:tr2bl w:val="nil"/>
                  </w:tcBorders>
                  <w:noWrap w:val="0"/>
                  <w:vAlign w:val="center"/>
                </w:tcPr>
                <w:p w14:paraId="027A85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0.730 </w:t>
                  </w:r>
                </w:p>
              </w:tc>
              <w:tc>
                <w:tcPr>
                  <w:tcW w:w="852" w:type="dxa"/>
                  <w:tcBorders>
                    <w:tl2br w:val="nil"/>
                    <w:tr2bl w:val="nil"/>
                  </w:tcBorders>
                  <w:noWrap w:val="0"/>
                  <w:vAlign w:val="center"/>
                </w:tcPr>
                <w:p w14:paraId="0AB3F7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737" w:type="dxa"/>
                  <w:tcBorders>
                    <w:tl2br w:val="nil"/>
                    <w:tr2bl w:val="nil"/>
                  </w:tcBorders>
                  <w:noWrap w:val="0"/>
                  <w:vAlign w:val="center"/>
                </w:tcPr>
                <w:p w14:paraId="746FA00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w:t>
                  </w:r>
                </w:p>
              </w:tc>
            </w:tr>
            <w:tr w14:paraId="79B2AF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dxa"/>
                  <w:gridSpan w:val="2"/>
                  <w:vMerge w:val="continue"/>
                  <w:tcBorders>
                    <w:tl2br w:val="nil"/>
                    <w:tr2bl w:val="nil"/>
                  </w:tcBorders>
                  <w:noWrap w:val="0"/>
                  <w:vAlign w:val="center"/>
                </w:tcPr>
                <w:p w14:paraId="172D548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2AF1560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1AC0AA3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p>
              </w:tc>
              <w:tc>
                <w:tcPr>
                  <w:tcW w:w="900" w:type="dxa"/>
                  <w:tcBorders>
                    <w:tl2br w:val="nil"/>
                    <w:tr2bl w:val="nil"/>
                  </w:tcBorders>
                  <w:noWrap w:val="0"/>
                  <w:vAlign w:val="center"/>
                </w:tcPr>
                <w:p w14:paraId="4C5F92DF">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HCl</w:t>
                  </w:r>
                </w:p>
              </w:tc>
              <w:tc>
                <w:tcPr>
                  <w:tcW w:w="1050" w:type="dxa"/>
                  <w:tcBorders>
                    <w:tl2br w:val="nil"/>
                    <w:tr2bl w:val="nil"/>
                  </w:tcBorders>
                  <w:noWrap w:val="0"/>
                  <w:vAlign w:val="center"/>
                </w:tcPr>
                <w:p w14:paraId="0AEB32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2.195 </w:t>
                  </w:r>
                </w:p>
              </w:tc>
              <w:tc>
                <w:tcPr>
                  <w:tcW w:w="975" w:type="dxa"/>
                  <w:tcBorders>
                    <w:tl2br w:val="nil"/>
                    <w:tr2bl w:val="nil"/>
                  </w:tcBorders>
                  <w:noWrap w:val="0"/>
                  <w:vAlign w:val="center"/>
                </w:tcPr>
                <w:p w14:paraId="4E9E83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0.180 </w:t>
                  </w:r>
                </w:p>
              </w:tc>
              <w:tc>
                <w:tcPr>
                  <w:tcW w:w="884" w:type="dxa"/>
                  <w:tcBorders>
                    <w:tl2br w:val="nil"/>
                    <w:tr2bl w:val="nil"/>
                  </w:tcBorders>
                  <w:noWrap w:val="0"/>
                  <w:vAlign w:val="center"/>
                </w:tcPr>
                <w:p w14:paraId="149EE8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0.800 </w:t>
                  </w:r>
                </w:p>
              </w:tc>
              <w:tc>
                <w:tcPr>
                  <w:tcW w:w="1102" w:type="dxa"/>
                  <w:vMerge w:val="continue"/>
                  <w:tcBorders>
                    <w:tl2br w:val="nil"/>
                    <w:tr2bl w:val="nil"/>
                  </w:tcBorders>
                  <w:noWrap w:val="0"/>
                  <w:vAlign w:val="center"/>
                </w:tcPr>
                <w:p w14:paraId="50247EB5">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p>
              </w:tc>
              <w:tc>
                <w:tcPr>
                  <w:tcW w:w="675" w:type="dxa"/>
                  <w:tcBorders>
                    <w:tl2br w:val="nil"/>
                    <w:tr2bl w:val="nil"/>
                  </w:tcBorders>
                  <w:noWrap w:val="0"/>
                  <w:vAlign w:val="center"/>
                </w:tcPr>
                <w:p w14:paraId="75DF3297">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0%</w:t>
                  </w:r>
                </w:p>
              </w:tc>
              <w:tc>
                <w:tcPr>
                  <w:tcW w:w="884" w:type="dxa"/>
                  <w:tcBorders>
                    <w:tl2br w:val="nil"/>
                    <w:tr2bl w:val="nil"/>
                  </w:tcBorders>
                  <w:noWrap w:val="0"/>
                  <w:vAlign w:val="center"/>
                </w:tcPr>
                <w:p w14:paraId="653A1F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2.195 </w:t>
                  </w:r>
                </w:p>
              </w:tc>
              <w:tc>
                <w:tcPr>
                  <w:tcW w:w="954" w:type="dxa"/>
                  <w:tcBorders>
                    <w:tl2br w:val="nil"/>
                    <w:tr2bl w:val="nil"/>
                  </w:tcBorders>
                  <w:noWrap w:val="0"/>
                  <w:vAlign w:val="center"/>
                </w:tcPr>
                <w:p w14:paraId="3A4BCA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0.180 </w:t>
                  </w:r>
                </w:p>
              </w:tc>
              <w:tc>
                <w:tcPr>
                  <w:tcW w:w="895" w:type="dxa"/>
                  <w:tcBorders>
                    <w:tl2br w:val="nil"/>
                    <w:tr2bl w:val="nil"/>
                  </w:tcBorders>
                  <w:noWrap w:val="0"/>
                  <w:vAlign w:val="center"/>
                </w:tcPr>
                <w:p w14:paraId="2814B2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0.800 </w:t>
                  </w:r>
                </w:p>
              </w:tc>
              <w:tc>
                <w:tcPr>
                  <w:tcW w:w="852" w:type="dxa"/>
                  <w:tcBorders>
                    <w:tl2br w:val="nil"/>
                    <w:tr2bl w:val="nil"/>
                  </w:tcBorders>
                  <w:noWrap w:val="0"/>
                  <w:vAlign w:val="center"/>
                </w:tcPr>
                <w:p w14:paraId="73DCE2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100</w:t>
                  </w:r>
                </w:p>
              </w:tc>
              <w:tc>
                <w:tcPr>
                  <w:tcW w:w="737" w:type="dxa"/>
                  <w:tcBorders>
                    <w:tl2br w:val="nil"/>
                    <w:tr2bl w:val="nil"/>
                  </w:tcBorders>
                  <w:noWrap w:val="0"/>
                  <w:vAlign w:val="center"/>
                </w:tcPr>
                <w:p w14:paraId="251DA2D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0.53</w:t>
                  </w:r>
                </w:p>
              </w:tc>
            </w:tr>
            <w:tr w14:paraId="3B28E3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dxa"/>
                  <w:gridSpan w:val="2"/>
                  <w:vMerge w:val="continue"/>
                  <w:tcBorders>
                    <w:tl2br w:val="nil"/>
                    <w:tr2bl w:val="nil"/>
                  </w:tcBorders>
                  <w:noWrap w:val="0"/>
                  <w:vAlign w:val="center"/>
                </w:tcPr>
                <w:p w14:paraId="296A696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413" w:type="dxa"/>
                  <w:vMerge w:val="continue"/>
                  <w:tcBorders>
                    <w:tl2br w:val="nil"/>
                    <w:tr2bl w:val="nil"/>
                  </w:tcBorders>
                  <w:noWrap w:val="0"/>
                  <w:vAlign w:val="center"/>
                </w:tcPr>
                <w:p w14:paraId="51D16F4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546" w:type="dxa"/>
                  <w:vMerge w:val="continue"/>
                  <w:tcBorders>
                    <w:tl2br w:val="nil"/>
                    <w:tr2bl w:val="nil"/>
                  </w:tcBorders>
                  <w:noWrap w:val="0"/>
                  <w:vAlign w:val="center"/>
                </w:tcPr>
                <w:p w14:paraId="1906476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p>
              </w:tc>
              <w:tc>
                <w:tcPr>
                  <w:tcW w:w="900" w:type="dxa"/>
                  <w:tcBorders>
                    <w:tl2br w:val="nil"/>
                    <w:tr2bl w:val="nil"/>
                  </w:tcBorders>
                  <w:noWrap w:val="0"/>
                  <w:vAlign w:val="center"/>
                </w:tcPr>
                <w:p w14:paraId="397B217E">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氟化物</w:t>
                  </w:r>
                </w:p>
              </w:tc>
              <w:tc>
                <w:tcPr>
                  <w:tcW w:w="1050" w:type="dxa"/>
                  <w:tcBorders>
                    <w:tl2br w:val="nil"/>
                    <w:tr2bl w:val="nil"/>
                  </w:tcBorders>
                  <w:noWrap w:val="0"/>
                  <w:vAlign w:val="center"/>
                </w:tcPr>
                <w:p w14:paraId="20D036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0.463 </w:t>
                  </w:r>
                </w:p>
              </w:tc>
              <w:tc>
                <w:tcPr>
                  <w:tcW w:w="975" w:type="dxa"/>
                  <w:tcBorders>
                    <w:tl2br w:val="nil"/>
                    <w:tr2bl w:val="nil"/>
                  </w:tcBorders>
                  <w:noWrap w:val="0"/>
                  <w:vAlign w:val="center"/>
                </w:tcPr>
                <w:p w14:paraId="78ABE2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0.038 </w:t>
                  </w:r>
                </w:p>
              </w:tc>
              <w:tc>
                <w:tcPr>
                  <w:tcW w:w="884" w:type="dxa"/>
                  <w:tcBorders>
                    <w:tl2br w:val="nil"/>
                    <w:tr2bl w:val="nil"/>
                  </w:tcBorders>
                  <w:noWrap w:val="0"/>
                  <w:vAlign w:val="center"/>
                </w:tcPr>
                <w:p w14:paraId="1C3786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0.180 </w:t>
                  </w:r>
                </w:p>
              </w:tc>
              <w:tc>
                <w:tcPr>
                  <w:tcW w:w="1102" w:type="dxa"/>
                  <w:vMerge w:val="continue"/>
                  <w:tcBorders>
                    <w:tl2br w:val="nil"/>
                    <w:tr2bl w:val="nil"/>
                  </w:tcBorders>
                  <w:noWrap w:val="0"/>
                  <w:vAlign w:val="center"/>
                </w:tcPr>
                <w:p w14:paraId="376F121E">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p>
              </w:tc>
              <w:tc>
                <w:tcPr>
                  <w:tcW w:w="675" w:type="dxa"/>
                  <w:tcBorders>
                    <w:tl2br w:val="nil"/>
                    <w:tr2bl w:val="nil"/>
                  </w:tcBorders>
                  <w:noWrap w:val="0"/>
                  <w:vAlign w:val="center"/>
                </w:tcPr>
                <w:p w14:paraId="19663D9E">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0%</w:t>
                  </w:r>
                </w:p>
              </w:tc>
              <w:tc>
                <w:tcPr>
                  <w:tcW w:w="884" w:type="dxa"/>
                  <w:tcBorders>
                    <w:tl2br w:val="nil"/>
                    <w:tr2bl w:val="nil"/>
                  </w:tcBorders>
                  <w:noWrap w:val="0"/>
                  <w:vAlign w:val="center"/>
                </w:tcPr>
                <w:p w14:paraId="7832B1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0.463 </w:t>
                  </w:r>
                </w:p>
              </w:tc>
              <w:tc>
                <w:tcPr>
                  <w:tcW w:w="954" w:type="dxa"/>
                  <w:tcBorders>
                    <w:tl2br w:val="nil"/>
                    <w:tr2bl w:val="nil"/>
                  </w:tcBorders>
                  <w:noWrap w:val="0"/>
                  <w:vAlign w:val="center"/>
                </w:tcPr>
                <w:p w14:paraId="365B95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0.038 </w:t>
                  </w:r>
                </w:p>
              </w:tc>
              <w:tc>
                <w:tcPr>
                  <w:tcW w:w="895" w:type="dxa"/>
                  <w:tcBorders>
                    <w:tl2br w:val="nil"/>
                    <w:tr2bl w:val="nil"/>
                  </w:tcBorders>
                  <w:noWrap w:val="0"/>
                  <w:vAlign w:val="center"/>
                </w:tcPr>
                <w:p w14:paraId="561C42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0.180 </w:t>
                  </w:r>
                </w:p>
              </w:tc>
              <w:tc>
                <w:tcPr>
                  <w:tcW w:w="852" w:type="dxa"/>
                  <w:tcBorders>
                    <w:tl2br w:val="nil"/>
                    <w:tr2bl w:val="nil"/>
                  </w:tcBorders>
                  <w:noWrap w:val="0"/>
                  <w:vAlign w:val="center"/>
                </w:tcPr>
                <w:p w14:paraId="02FF55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w:t>
                  </w:r>
                </w:p>
              </w:tc>
              <w:tc>
                <w:tcPr>
                  <w:tcW w:w="737" w:type="dxa"/>
                  <w:tcBorders>
                    <w:tl2br w:val="nil"/>
                    <w:tr2bl w:val="nil"/>
                  </w:tcBorders>
                  <w:noWrap w:val="0"/>
                  <w:vAlign w:val="center"/>
                </w:tcPr>
                <w:p w14:paraId="751EE8B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vertAlign w:val="baseline"/>
                      <w:lang w:val="en-US" w:eastAsia="zh-CN"/>
                    </w:rPr>
                    <w:t>/</w:t>
                  </w:r>
                </w:p>
              </w:tc>
            </w:tr>
            <w:tr w14:paraId="0625D1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90" w:type="dxa"/>
                  <w:gridSpan w:val="4"/>
                  <w:vMerge w:val="restart"/>
                  <w:tcBorders>
                    <w:tl2br w:val="nil"/>
                    <w:tr2bl w:val="nil"/>
                  </w:tcBorders>
                  <w:noWrap w:val="0"/>
                  <w:vAlign w:val="center"/>
                </w:tcPr>
                <w:p w14:paraId="0CBFC76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r>
                    <w:rPr>
                      <w:rFonts w:hint="default" w:ascii="Times New Roman" w:hAnsi="Times New Roman" w:eastAsia="宋体" w:cs="Times New Roman"/>
                      <w:b w:val="0"/>
                      <w:bCs/>
                      <w:color w:val="auto"/>
                      <w:sz w:val="22"/>
                      <w:szCs w:val="22"/>
                      <w:vertAlign w:val="baseline"/>
                      <w:lang w:val="en-US" w:eastAsia="zh-CN"/>
                    </w:rPr>
                    <w:t>有组织合计</w:t>
                  </w:r>
                </w:p>
              </w:tc>
              <w:tc>
                <w:tcPr>
                  <w:tcW w:w="900" w:type="dxa"/>
                  <w:tcBorders>
                    <w:tl2br w:val="nil"/>
                    <w:tr2bl w:val="nil"/>
                  </w:tcBorders>
                  <w:noWrap w:val="0"/>
                  <w:vAlign w:val="center"/>
                </w:tcPr>
                <w:p w14:paraId="400AB2E0">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颗粒物</w:t>
                  </w:r>
                </w:p>
              </w:tc>
              <w:tc>
                <w:tcPr>
                  <w:tcW w:w="1050" w:type="dxa"/>
                  <w:tcBorders>
                    <w:tl2br w:val="nil"/>
                    <w:tr2bl w:val="nil"/>
                  </w:tcBorders>
                  <w:noWrap w:val="0"/>
                  <w:vAlign w:val="center"/>
                </w:tcPr>
                <w:p w14:paraId="2A1EDB5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w:t>
                  </w:r>
                </w:p>
              </w:tc>
              <w:tc>
                <w:tcPr>
                  <w:tcW w:w="975" w:type="dxa"/>
                  <w:tcBorders>
                    <w:tl2br w:val="nil"/>
                    <w:tr2bl w:val="nil"/>
                  </w:tcBorders>
                  <w:noWrap w:val="0"/>
                  <w:vAlign w:val="center"/>
                </w:tcPr>
                <w:p w14:paraId="239756A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884" w:type="dxa"/>
                  <w:tcBorders>
                    <w:tl2br w:val="nil"/>
                    <w:tr2bl w:val="nil"/>
                  </w:tcBorders>
                  <w:noWrap w:val="0"/>
                  <w:vAlign w:val="center"/>
                </w:tcPr>
                <w:p w14:paraId="31E6B5C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1102" w:type="dxa"/>
                  <w:vMerge w:val="restart"/>
                  <w:tcBorders>
                    <w:tl2br w:val="nil"/>
                    <w:tr2bl w:val="nil"/>
                  </w:tcBorders>
                  <w:noWrap w:val="0"/>
                  <w:vAlign w:val="center"/>
                </w:tcPr>
                <w:p w14:paraId="06F35A73">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w:t>
                  </w:r>
                </w:p>
              </w:tc>
              <w:tc>
                <w:tcPr>
                  <w:tcW w:w="675" w:type="dxa"/>
                  <w:tcBorders>
                    <w:tl2br w:val="nil"/>
                    <w:tr2bl w:val="nil"/>
                  </w:tcBorders>
                  <w:noWrap w:val="0"/>
                  <w:vAlign w:val="center"/>
                </w:tcPr>
                <w:p w14:paraId="2E6D748E">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99%</w:t>
                  </w:r>
                </w:p>
              </w:tc>
              <w:tc>
                <w:tcPr>
                  <w:tcW w:w="884" w:type="dxa"/>
                  <w:tcBorders>
                    <w:tl2br w:val="nil"/>
                    <w:tr2bl w:val="nil"/>
                  </w:tcBorders>
                  <w:noWrap w:val="0"/>
                  <w:vAlign w:val="center"/>
                </w:tcPr>
                <w:p w14:paraId="112BA9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24.49 </w:t>
                  </w:r>
                </w:p>
              </w:tc>
              <w:tc>
                <w:tcPr>
                  <w:tcW w:w="954" w:type="dxa"/>
                  <w:tcBorders>
                    <w:tl2br w:val="nil"/>
                    <w:tr2bl w:val="nil"/>
                  </w:tcBorders>
                  <w:noWrap w:val="0"/>
                  <w:vAlign w:val="center"/>
                </w:tcPr>
                <w:p w14:paraId="3AF922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1.02 </w:t>
                  </w:r>
                </w:p>
              </w:tc>
              <w:tc>
                <w:tcPr>
                  <w:tcW w:w="895" w:type="dxa"/>
                  <w:tcBorders>
                    <w:tl2br w:val="nil"/>
                    <w:tr2bl w:val="nil"/>
                  </w:tcBorders>
                  <w:noWrap w:val="0"/>
                  <w:vAlign w:val="center"/>
                </w:tcPr>
                <w:p w14:paraId="0F8DAC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3.55 </w:t>
                  </w:r>
                </w:p>
              </w:tc>
              <w:tc>
                <w:tcPr>
                  <w:tcW w:w="852" w:type="dxa"/>
                  <w:tcBorders>
                    <w:tl2br w:val="nil"/>
                    <w:tr2bl w:val="nil"/>
                  </w:tcBorders>
                  <w:noWrap w:val="0"/>
                  <w:vAlign w:val="center"/>
                </w:tcPr>
                <w:p w14:paraId="1D4769E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vertAlign w:val="baseline"/>
                      <w:lang w:val="en-US" w:eastAsia="zh-CN"/>
                    </w:rPr>
                    <w:t>30</w:t>
                  </w:r>
                </w:p>
              </w:tc>
              <w:tc>
                <w:tcPr>
                  <w:tcW w:w="737" w:type="dxa"/>
                  <w:tcBorders>
                    <w:tl2br w:val="nil"/>
                    <w:tr2bl w:val="nil"/>
                  </w:tcBorders>
                  <w:noWrap w:val="0"/>
                  <w:vAlign w:val="center"/>
                </w:tcPr>
                <w:p w14:paraId="589D0BA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3784B8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90" w:type="dxa"/>
                  <w:gridSpan w:val="4"/>
                  <w:vMerge w:val="continue"/>
                  <w:tcBorders>
                    <w:tl2br w:val="nil"/>
                    <w:tr2bl w:val="nil"/>
                  </w:tcBorders>
                  <w:noWrap w:val="0"/>
                  <w:vAlign w:val="center"/>
                </w:tcPr>
                <w:p w14:paraId="4E92F31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p>
              </w:tc>
              <w:tc>
                <w:tcPr>
                  <w:tcW w:w="900" w:type="dxa"/>
                  <w:tcBorders>
                    <w:tl2br w:val="nil"/>
                    <w:tr2bl w:val="nil"/>
                  </w:tcBorders>
                  <w:noWrap w:val="0"/>
                  <w:vAlign w:val="center"/>
                </w:tcPr>
                <w:p w14:paraId="45CD541C">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NOx</w:t>
                  </w:r>
                </w:p>
              </w:tc>
              <w:tc>
                <w:tcPr>
                  <w:tcW w:w="1050" w:type="dxa"/>
                  <w:tcBorders>
                    <w:tl2br w:val="nil"/>
                    <w:tr2bl w:val="nil"/>
                  </w:tcBorders>
                  <w:noWrap w:val="0"/>
                  <w:vAlign w:val="center"/>
                </w:tcPr>
                <w:p w14:paraId="4C595C4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w:t>
                  </w:r>
                </w:p>
              </w:tc>
              <w:tc>
                <w:tcPr>
                  <w:tcW w:w="975" w:type="dxa"/>
                  <w:tcBorders>
                    <w:tl2br w:val="nil"/>
                    <w:tr2bl w:val="nil"/>
                  </w:tcBorders>
                  <w:noWrap w:val="0"/>
                  <w:vAlign w:val="center"/>
                </w:tcPr>
                <w:p w14:paraId="06CBEDD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884" w:type="dxa"/>
                  <w:tcBorders>
                    <w:tl2br w:val="nil"/>
                    <w:tr2bl w:val="nil"/>
                  </w:tcBorders>
                  <w:noWrap w:val="0"/>
                  <w:vAlign w:val="center"/>
                </w:tcPr>
                <w:p w14:paraId="094A5C0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1102" w:type="dxa"/>
                  <w:vMerge w:val="continue"/>
                  <w:tcBorders>
                    <w:tl2br w:val="nil"/>
                    <w:tr2bl w:val="nil"/>
                  </w:tcBorders>
                  <w:noWrap w:val="0"/>
                  <w:vAlign w:val="center"/>
                </w:tcPr>
                <w:p w14:paraId="066A1757">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p>
              </w:tc>
              <w:tc>
                <w:tcPr>
                  <w:tcW w:w="675" w:type="dxa"/>
                  <w:tcBorders>
                    <w:tl2br w:val="nil"/>
                    <w:tr2bl w:val="nil"/>
                  </w:tcBorders>
                  <w:noWrap w:val="0"/>
                  <w:vAlign w:val="center"/>
                </w:tcPr>
                <w:p w14:paraId="4AC91558">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0%</w:t>
                  </w:r>
                </w:p>
              </w:tc>
              <w:tc>
                <w:tcPr>
                  <w:tcW w:w="884" w:type="dxa"/>
                  <w:tcBorders>
                    <w:tl2br w:val="nil"/>
                    <w:tr2bl w:val="nil"/>
                  </w:tcBorders>
                  <w:noWrap w:val="0"/>
                  <w:vAlign w:val="center"/>
                </w:tcPr>
                <w:p w14:paraId="500DDA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35.49 </w:t>
                  </w:r>
                </w:p>
              </w:tc>
              <w:tc>
                <w:tcPr>
                  <w:tcW w:w="954" w:type="dxa"/>
                  <w:tcBorders>
                    <w:tl2br w:val="nil"/>
                    <w:tr2bl w:val="nil"/>
                  </w:tcBorders>
                  <w:noWrap w:val="0"/>
                  <w:vAlign w:val="center"/>
                </w:tcPr>
                <w:p w14:paraId="2CA10B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2.14 </w:t>
                  </w:r>
                </w:p>
              </w:tc>
              <w:tc>
                <w:tcPr>
                  <w:tcW w:w="895" w:type="dxa"/>
                  <w:tcBorders>
                    <w:tl2br w:val="nil"/>
                    <w:tr2bl w:val="nil"/>
                  </w:tcBorders>
                  <w:noWrap w:val="0"/>
                  <w:vAlign w:val="center"/>
                </w:tcPr>
                <w:p w14:paraId="0E34EF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11.17 </w:t>
                  </w:r>
                </w:p>
              </w:tc>
              <w:tc>
                <w:tcPr>
                  <w:tcW w:w="852" w:type="dxa"/>
                  <w:tcBorders>
                    <w:tl2br w:val="nil"/>
                    <w:tr2bl w:val="nil"/>
                  </w:tcBorders>
                  <w:noWrap w:val="0"/>
                  <w:vAlign w:val="center"/>
                </w:tcPr>
                <w:p w14:paraId="323ED0D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vertAlign w:val="baseline"/>
                      <w:lang w:val="en-US" w:eastAsia="zh-CN"/>
                    </w:rPr>
                    <w:t>300</w:t>
                  </w:r>
                </w:p>
              </w:tc>
              <w:tc>
                <w:tcPr>
                  <w:tcW w:w="737" w:type="dxa"/>
                  <w:tcBorders>
                    <w:tl2br w:val="nil"/>
                    <w:tr2bl w:val="nil"/>
                  </w:tcBorders>
                  <w:noWrap w:val="0"/>
                  <w:vAlign w:val="center"/>
                </w:tcPr>
                <w:p w14:paraId="5638BDA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3F051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90" w:type="dxa"/>
                  <w:gridSpan w:val="4"/>
                  <w:vMerge w:val="continue"/>
                  <w:tcBorders>
                    <w:tl2br w:val="nil"/>
                    <w:tr2bl w:val="nil"/>
                  </w:tcBorders>
                  <w:noWrap w:val="0"/>
                  <w:vAlign w:val="center"/>
                </w:tcPr>
                <w:p w14:paraId="67BDAAF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p>
              </w:tc>
              <w:tc>
                <w:tcPr>
                  <w:tcW w:w="900" w:type="dxa"/>
                  <w:tcBorders>
                    <w:tl2br w:val="nil"/>
                    <w:tr2bl w:val="nil"/>
                  </w:tcBorders>
                  <w:noWrap w:val="0"/>
                  <w:vAlign w:val="center"/>
                </w:tcPr>
                <w:p w14:paraId="3E062A95">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SO</w:t>
                  </w:r>
                  <w:r>
                    <w:rPr>
                      <w:rFonts w:hint="default" w:ascii="Times New Roman" w:hAnsi="Times New Roman" w:eastAsia="宋体" w:cs="Times New Roman"/>
                      <w:bCs/>
                      <w:color w:val="auto"/>
                      <w:sz w:val="22"/>
                      <w:szCs w:val="22"/>
                      <w:vertAlign w:val="subscript"/>
                      <w:lang w:val="en-US" w:eastAsia="zh-CN"/>
                    </w:rPr>
                    <w:t>2</w:t>
                  </w:r>
                </w:p>
              </w:tc>
              <w:tc>
                <w:tcPr>
                  <w:tcW w:w="1050" w:type="dxa"/>
                  <w:tcBorders>
                    <w:tl2br w:val="nil"/>
                    <w:tr2bl w:val="nil"/>
                  </w:tcBorders>
                  <w:noWrap w:val="0"/>
                  <w:vAlign w:val="center"/>
                </w:tcPr>
                <w:p w14:paraId="2105228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w:t>
                  </w:r>
                </w:p>
              </w:tc>
              <w:tc>
                <w:tcPr>
                  <w:tcW w:w="975" w:type="dxa"/>
                  <w:tcBorders>
                    <w:tl2br w:val="nil"/>
                    <w:tr2bl w:val="nil"/>
                  </w:tcBorders>
                  <w:noWrap w:val="0"/>
                  <w:vAlign w:val="center"/>
                </w:tcPr>
                <w:p w14:paraId="2B0932E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884" w:type="dxa"/>
                  <w:tcBorders>
                    <w:tl2br w:val="nil"/>
                    <w:tr2bl w:val="nil"/>
                  </w:tcBorders>
                  <w:noWrap w:val="0"/>
                  <w:vAlign w:val="center"/>
                </w:tcPr>
                <w:p w14:paraId="2BF292C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1102" w:type="dxa"/>
                  <w:vMerge w:val="continue"/>
                  <w:tcBorders>
                    <w:tl2br w:val="nil"/>
                    <w:tr2bl w:val="nil"/>
                  </w:tcBorders>
                  <w:noWrap w:val="0"/>
                  <w:vAlign w:val="center"/>
                </w:tcPr>
                <w:p w14:paraId="17C9B451">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p>
              </w:tc>
              <w:tc>
                <w:tcPr>
                  <w:tcW w:w="675" w:type="dxa"/>
                  <w:tcBorders>
                    <w:tl2br w:val="nil"/>
                    <w:tr2bl w:val="nil"/>
                  </w:tcBorders>
                  <w:noWrap w:val="0"/>
                  <w:vAlign w:val="center"/>
                </w:tcPr>
                <w:p w14:paraId="7C04C391">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0%</w:t>
                  </w:r>
                </w:p>
              </w:tc>
              <w:tc>
                <w:tcPr>
                  <w:tcW w:w="884" w:type="dxa"/>
                  <w:tcBorders>
                    <w:tl2br w:val="nil"/>
                    <w:tr2bl w:val="nil"/>
                  </w:tcBorders>
                  <w:noWrap w:val="0"/>
                  <w:vAlign w:val="center"/>
                </w:tcPr>
                <w:p w14:paraId="1468D6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2.71 </w:t>
                  </w:r>
                </w:p>
              </w:tc>
              <w:tc>
                <w:tcPr>
                  <w:tcW w:w="954" w:type="dxa"/>
                  <w:tcBorders>
                    <w:tl2br w:val="nil"/>
                    <w:tr2bl w:val="nil"/>
                  </w:tcBorders>
                  <w:noWrap w:val="0"/>
                  <w:vAlign w:val="center"/>
                </w:tcPr>
                <w:p w14:paraId="2364AB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0.17 </w:t>
                  </w:r>
                </w:p>
              </w:tc>
              <w:tc>
                <w:tcPr>
                  <w:tcW w:w="895" w:type="dxa"/>
                  <w:tcBorders>
                    <w:tl2br w:val="nil"/>
                    <w:tr2bl w:val="nil"/>
                  </w:tcBorders>
                  <w:noWrap w:val="0"/>
                  <w:vAlign w:val="center"/>
                </w:tcPr>
                <w:p w14:paraId="647312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0.85 </w:t>
                  </w:r>
                </w:p>
              </w:tc>
              <w:tc>
                <w:tcPr>
                  <w:tcW w:w="852" w:type="dxa"/>
                  <w:tcBorders>
                    <w:tl2br w:val="nil"/>
                    <w:tr2bl w:val="nil"/>
                  </w:tcBorders>
                  <w:noWrap w:val="0"/>
                  <w:vAlign w:val="center"/>
                </w:tcPr>
                <w:p w14:paraId="64E8531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vertAlign w:val="baseline"/>
                      <w:lang w:val="en-US" w:eastAsia="zh-CN"/>
                    </w:rPr>
                    <w:t>100</w:t>
                  </w:r>
                </w:p>
              </w:tc>
              <w:tc>
                <w:tcPr>
                  <w:tcW w:w="737" w:type="dxa"/>
                  <w:tcBorders>
                    <w:tl2br w:val="nil"/>
                    <w:tr2bl w:val="nil"/>
                  </w:tcBorders>
                  <w:noWrap w:val="0"/>
                  <w:vAlign w:val="center"/>
                </w:tcPr>
                <w:p w14:paraId="19AD984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2101F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90" w:type="dxa"/>
                  <w:gridSpan w:val="4"/>
                  <w:vMerge w:val="continue"/>
                  <w:tcBorders>
                    <w:tl2br w:val="nil"/>
                    <w:tr2bl w:val="nil"/>
                  </w:tcBorders>
                  <w:noWrap w:val="0"/>
                  <w:vAlign w:val="center"/>
                </w:tcPr>
                <w:p w14:paraId="003E5B5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p>
              </w:tc>
              <w:tc>
                <w:tcPr>
                  <w:tcW w:w="900" w:type="dxa"/>
                  <w:tcBorders>
                    <w:tl2br w:val="nil"/>
                    <w:tr2bl w:val="nil"/>
                  </w:tcBorders>
                  <w:noWrap w:val="0"/>
                  <w:vAlign w:val="center"/>
                </w:tcPr>
                <w:p w14:paraId="61B19059">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lang w:val="en-US" w:eastAsia="zh-CN" w:bidi="ar-SA"/>
                    </w:rPr>
                  </w:pPr>
                  <w:r>
                    <w:rPr>
                      <w:rFonts w:hint="default" w:ascii="Times New Roman" w:hAnsi="Times New Roman" w:eastAsia="宋体" w:cs="Times New Roman"/>
                      <w:bCs/>
                      <w:color w:val="auto"/>
                      <w:sz w:val="22"/>
                      <w:szCs w:val="22"/>
                      <w:lang w:val="en-US" w:eastAsia="zh-CN"/>
                    </w:rPr>
                    <w:t>HCl</w:t>
                  </w:r>
                </w:p>
              </w:tc>
              <w:tc>
                <w:tcPr>
                  <w:tcW w:w="1050" w:type="dxa"/>
                  <w:tcBorders>
                    <w:tl2br w:val="nil"/>
                    <w:tr2bl w:val="nil"/>
                  </w:tcBorders>
                  <w:noWrap w:val="0"/>
                  <w:vAlign w:val="center"/>
                </w:tcPr>
                <w:p w14:paraId="3CB0427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w:t>
                  </w:r>
                </w:p>
              </w:tc>
              <w:tc>
                <w:tcPr>
                  <w:tcW w:w="975" w:type="dxa"/>
                  <w:tcBorders>
                    <w:tl2br w:val="nil"/>
                    <w:tr2bl w:val="nil"/>
                  </w:tcBorders>
                  <w:noWrap w:val="0"/>
                  <w:vAlign w:val="center"/>
                </w:tcPr>
                <w:p w14:paraId="20D66B2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884" w:type="dxa"/>
                  <w:tcBorders>
                    <w:tl2br w:val="nil"/>
                    <w:tr2bl w:val="nil"/>
                  </w:tcBorders>
                  <w:noWrap w:val="0"/>
                  <w:vAlign w:val="center"/>
                </w:tcPr>
                <w:p w14:paraId="5E030F2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1102" w:type="dxa"/>
                  <w:vMerge w:val="continue"/>
                  <w:tcBorders>
                    <w:tl2br w:val="nil"/>
                    <w:tr2bl w:val="nil"/>
                  </w:tcBorders>
                  <w:noWrap w:val="0"/>
                  <w:vAlign w:val="center"/>
                </w:tcPr>
                <w:p w14:paraId="4F16CBE7">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p>
              </w:tc>
              <w:tc>
                <w:tcPr>
                  <w:tcW w:w="675" w:type="dxa"/>
                  <w:tcBorders>
                    <w:tl2br w:val="nil"/>
                    <w:tr2bl w:val="nil"/>
                  </w:tcBorders>
                  <w:noWrap w:val="0"/>
                  <w:vAlign w:val="center"/>
                </w:tcPr>
                <w:p w14:paraId="0AD97235">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0%</w:t>
                  </w:r>
                </w:p>
              </w:tc>
              <w:tc>
                <w:tcPr>
                  <w:tcW w:w="884" w:type="dxa"/>
                  <w:tcBorders>
                    <w:tl2br w:val="nil"/>
                    <w:tr2bl w:val="nil"/>
                  </w:tcBorders>
                  <w:noWrap w:val="0"/>
                  <w:vAlign w:val="center"/>
                </w:tcPr>
                <w:p w14:paraId="08414D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2.97 </w:t>
                  </w:r>
                </w:p>
              </w:tc>
              <w:tc>
                <w:tcPr>
                  <w:tcW w:w="954" w:type="dxa"/>
                  <w:tcBorders>
                    <w:tl2br w:val="nil"/>
                    <w:tr2bl w:val="nil"/>
                  </w:tcBorders>
                  <w:noWrap w:val="0"/>
                  <w:vAlign w:val="center"/>
                </w:tcPr>
                <w:p w14:paraId="1868E5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0.180 </w:t>
                  </w:r>
                </w:p>
              </w:tc>
              <w:tc>
                <w:tcPr>
                  <w:tcW w:w="895" w:type="dxa"/>
                  <w:tcBorders>
                    <w:tl2br w:val="nil"/>
                    <w:tr2bl w:val="nil"/>
                  </w:tcBorders>
                  <w:noWrap w:val="0"/>
                  <w:vAlign w:val="center"/>
                </w:tcPr>
                <w:p w14:paraId="106884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0.92 </w:t>
                  </w:r>
                </w:p>
              </w:tc>
              <w:tc>
                <w:tcPr>
                  <w:tcW w:w="852" w:type="dxa"/>
                  <w:tcBorders>
                    <w:tl2br w:val="nil"/>
                    <w:tr2bl w:val="nil"/>
                  </w:tcBorders>
                  <w:noWrap w:val="0"/>
                  <w:vAlign w:val="center"/>
                </w:tcPr>
                <w:p w14:paraId="699A68A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vertAlign w:val="baseline"/>
                      <w:lang w:val="en-US" w:eastAsia="zh-CN"/>
                    </w:rPr>
                    <w:t>100</w:t>
                  </w:r>
                </w:p>
              </w:tc>
              <w:tc>
                <w:tcPr>
                  <w:tcW w:w="737" w:type="dxa"/>
                  <w:tcBorders>
                    <w:tl2br w:val="nil"/>
                    <w:tr2bl w:val="nil"/>
                  </w:tcBorders>
                  <w:noWrap w:val="0"/>
                  <w:vAlign w:val="center"/>
                </w:tcPr>
                <w:p w14:paraId="3D88F50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0.53</w:t>
                  </w:r>
                </w:p>
              </w:tc>
            </w:tr>
            <w:tr w14:paraId="55959F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90" w:type="dxa"/>
                  <w:gridSpan w:val="4"/>
                  <w:vMerge w:val="continue"/>
                  <w:tcBorders>
                    <w:tl2br w:val="nil"/>
                    <w:tr2bl w:val="nil"/>
                  </w:tcBorders>
                  <w:noWrap w:val="0"/>
                  <w:vAlign w:val="center"/>
                </w:tcPr>
                <w:p w14:paraId="4176338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p>
              </w:tc>
              <w:tc>
                <w:tcPr>
                  <w:tcW w:w="900" w:type="dxa"/>
                  <w:tcBorders>
                    <w:tl2br w:val="nil"/>
                    <w:tr2bl w:val="nil"/>
                  </w:tcBorders>
                  <w:noWrap w:val="0"/>
                  <w:vAlign w:val="center"/>
                </w:tcPr>
                <w:p w14:paraId="0A3EEEA3">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lang w:val="en-US" w:eastAsia="zh-CN" w:bidi="ar-SA"/>
                    </w:rPr>
                  </w:pPr>
                  <w:r>
                    <w:rPr>
                      <w:rFonts w:hint="default" w:ascii="Times New Roman" w:hAnsi="Times New Roman" w:eastAsia="宋体" w:cs="Times New Roman"/>
                      <w:bCs/>
                      <w:color w:val="auto"/>
                      <w:sz w:val="22"/>
                      <w:szCs w:val="22"/>
                      <w:lang w:val="en-US" w:eastAsia="zh-CN"/>
                    </w:rPr>
                    <w:t>氟化物</w:t>
                  </w:r>
                </w:p>
              </w:tc>
              <w:tc>
                <w:tcPr>
                  <w:tcW w:w="1050" w:type="dxa"/>
                  <w:tcBorders>
                    <w:tl2br w:val="nil"/>
                    <w:tr2bl w:val="nil"/>
                  </w:tcBorders>
                  <w:noWrap w:val="0"/>
                  <w:vAlign w:val="center"/>
                </w:tcPr>
                <w:p w14:paraId="7E070FA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w:t>
                  </w:r>
                </w:p>
              </w:tc>
              <w:tc>
                <w:tcPr>
                  <w:tcW w:w="975" w:type="dxa"/>
                  <w:tcBorders>
                    <w:tl2br w:val="nil"/>
                    <w:tr2bl w:val="nil"/>
                  </w:tcBorders>
                  <w:noWrap w:val="0"/>
                  <w:vAlign w:val="center"/>
                </w:tcPr>
                <w:p w14:paraId="727EB55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884" w:type="dxa"/>
                  <w:tcBorders>
                    <w:tl2br w:val="nil"/>
                    <w:tr2bl w:val="nil"/>
                  </w:tcBorders>
                  <w:noWrap w:val="0"/>
                  <w:vAlign w:val="center"/>
                </w:tcPr>
                <w:p w14:paraId="7B2AAAC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1102" w:type="dxa"/>
                  <w:vMerge w:val="continue"/>
                  <w:tcBorders>
                    <w:tl2br w:val="nil"/>
                    <w:tr2bl w:val="nil"/>
                  </w:tcBorders>
                  <w:noWrap w:val="0"/>
                  <w:vAlign w:val="center"/>
                </w:tcPr>
                <w:p w14:paraId="492847C3">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p>
              </w:tc>
              <w:tc>
                <w:tcPr>
                  <w:tcW w:w="675" w:type="dxa"/>
                  <w:tcBorders>
                    <w:tl2br w:val="nil"/>
                    <w:tr2bl w:val="nil"/>
                  </w:tcBorders>
                  <w:noWrap w:val="0"/>
                  <w:vAlign w:val="center"/>
                </w:tcPr>
                <w:p w14:paraId="13D6A676">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0%</w:t>
                  </w:r>
                </w:p>
              </w:tc>
              <w:tc>
                <w:tcPr>
                  <w:tcW w:w="884" w:type="dxa"/>
                  <w:tcBorders>
                    <w:tl2br w:val="nil"/>
                    <w:tr2bl w:val="nil"/>
                  </w:tcBorders>
                  <w:noWrap w:val="0"/>
                  <w:vAlign w:val="center"/>
                </w:tcPr>
                <w:p w14:paraId="46FB7A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0.62 </w:t>
                  </w:r>
                </w:p>
              </w:tc>
              <w:tc>
                <w:tcPr>
                  <w:tcW w:w="954" w:type="dxa"/>
                  <w:tcBorders>
                    <w:tl2br w:val="nil"/>
                    <w:tr2bl w:val="nil"/>
                  </w:tcBorders>
                  <w:noWrap w:val="0"/>
                  <w:vAlign w:val="center"/>
                </w:tcPr>
                <w:p w14:paraId="6BBFE6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0.04 </w:t>
                  </w:r>
                </w:p>
              </w:tc>
              <w:tc>
                <w:tcPr>
                  <w:tcW w:w="895" w:type="dxa"/>
                  <w:tcBorders>
                    <w:tl2br w:val="nil"/>
                    <w:tr2bl w:val="nil"/>
                  </w:tcBorders>
                  <w:noWrap w:val="0"/>
                  <w:vAlign w:val="center"/>
                </w:tcPr>
                <w:p w14:paraId="721553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0.21 </w:t>
                  </w:r>
                </w:p>
              </w:tc>
              <w:tc>
                <w:tcPr>
                  <w:tcW w:w="852" w:type="dxa"/>
                  <w:tcBorders>
                    <w:tl2br w:val="nil"/>
                    <w:tr2bl w:val="nil"/>
                  </w:tcBorders>
                  <w:noWrap w:val="0"/>
                  <w:vAlign w:val="center"/>
                </w:tcPr>
                <w:p w14:paraId="13F96D0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vertAlign w:val="baseline"/>
                      <w:lang w:val="en-US" w:eastAsia="zh-CN"/>
                    </w:rPr>
                    <w:t>6</w:t>
                  </w:r>
                </w:p>
              </w:tc>
              <w:tc>
                <w:tcPr>
                  <w:tcW w:w="737" w:type="dxa"/>
                  <w:tcBorders>
                    <w:tl2br w:val="nil"/>
                    <w:tr2bl w:val="nil"/>
                  </w:tcBorders>
                  <w:noWrap w:val="0"/>
                  <w:vAlign w:val="center"/>
                </w:tcPr>
                <w:p w14:paraId="10523D8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0F173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90" w:type="dxa"/>
                  <w:gridSpan w:val="4"/>
                  <w:vMerge w:val="restart"/>
                  <w:tcBorders>
                    <w:tl2br w:val="nil"/>
                    <w:tr2bl w:val="nil"/>
                  </w:tcBorders>
                  <w:noWrap w:val="0"/>
                  <w:vAlign w:val="center"/>
                </w:tcPr>
                <w:p w14:paraId="2454861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r>
                    <w:rPr>
                      <w:rFonts w:hint="default" w:ascii="Times New Roman" w:hAnsi="Times New Roman" w:eastAsia="宋体" w:cs="Times New Roman"/>
                      <w:b w:val="0"/>
                      <w:bCs/>
                      <w:color w:val="auto"/>
                      <w:sz w:val="22"/>
                      <w:szCs w:val="22"/>
                      <w:vertAlign w:val="baseline"/>
                      <w:lang w:val="en-US" w:eastAsia="zh-CN"/>
                    </w:rPr>
                    <w:t>无组织合计</w:t>
                  </w:r>
                </w:p>
              </w:tc>
              <w:tc>
                <w:tcPr>
                  <w:tcW w:w="900" w:type="dxa"/>
                  <w:tcBorders>
                    <w:tl2br w:val="nil"/>
                    <w:tr2bl w:val="nil"/>
                  </w:tcBorders>
                  <w:noWrap w:val="0"/>
                  <w:vAlign w:val="center"/>
                </w:tcPr>
                <w:p w14:paraId="6C01C38C">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颗粒物</w:t>
                  </w:r>
                </w:p>
              </w:tc>
              <w:tc>
                <w:tcPr>
                  <w:tcW w:w="1050" w:type="dxa"/>
                  <w:tcBorders>
                    <w:tl2br w:val="nil"/>
                    <w:tr2bl w:val="nil"/>
                  </w:tcBorders>
                  <w:noWrap w:val="0"/>
                  <w:vAlign w:val="center"/>
                </w:tcPr>
                <w:p w14:paraId="15442FE2">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w:t>
                  </w:r>
                </w:p>
              </w:tc>
              <w:tc>
                <w:tcPr>
                  <w:tcW w:w="975" w:type="dxa"/>
                  <w:tcBorders>
                    <w:tl2br w:val="nil"/>
                    <w:tr2bl w:val="nil"/>
                  </w:tcBorders>
                  <w:noWrap w:val="0"/>
                  <w:vAlign w:val="center"/>
                </w:tcPr>
                <w:p w14:paraId="33DAE1A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884" w:type="dxa"/>
                  <w:tcBorders>
                    <w:tl2br w:val="nil"/>
                    <w:tr2bl w:val="nil"/>
                  </w:tcBorders>
                  <w:noWrap w:val="0"/>
                  <w:vAlign w:val="center"/>
                </w:tcPr>
                <w:p w14:paraId="288D965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1102" w:type="dxa"/>
                  <w:vMerge w:val="restart"/>
                  <w:tcBorders>
                    <w:tl2br w:val="nil"/>
                    <w:tr2bl w:val="nil"/>
                  </w:tcBorders>
                  <w:noWrap w:val="0"/>
                  <w:vAlign w:val="center"/>
                </w:tcPr>
                <w:p w14:paraId="533DABA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加强厂区通风</w:t>
                  </w:r>
                </w:p>
              </w:tc>
              <w:tc>
                <w:tcPr>
                  <w:tcW w:w="675" w:type="dxa"/>
                  <w:tcBorders>
                    <w:tl2br w:val="nil"/>
                    <w:tr2bl w:val="nil"/>
                  </w:tcBorders>
                  <w:noWrap w:val="0"/>
                  <w:vAlign w:val="center"/>
                </w:tcPr>
                <w:p w14:paraId="62D911A5">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884" w:type="dxa"/>
                  <w:tcBorders>
                    <w:tl2br w:val="nil"/>
                    <w:tr2bl w:val="nil"/>
                  </w:tcBorders>
                  <w:noWrap w:val="0"/>
                  <w:vAlign w:val="center"/>
                </w:tcPr>
                <w:p w14:paraId="751249B7">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w:t>
                  </w:r>
                </w:p>
              </w:tc>
              <w:tc>
                <w:tcPr>
                  <w:tcW w:w="954" w:type="dxa"/>
                  <w:tcBorders>
                    <w:tl2br w:val="nil"/>
                    <w:tr2bl w:val="nil"/>
                  </w:tcBorders>
                  <w:noWrap w:val="0"/>
                  <w:vAlign w:val="center"/>
                </w:tcPr>
                <w:p w14:paraId="6EE5391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895" w:type="dxa"/>
                  <w:tcBorders>
                    <w:tl2br w:val="nil"/>
                    <w:tr2bl w:val="nil"/>
                  </w:tcBorders>
                  <w:noWrap w:val="0"/>
                  <w:vAlign w:val="center"/>
                </w:tcPr>
                <w:p w14:paraId="32C3145A">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5.4</w:t>
                  </w:r>
                </w:p>
              </w:tc>
              <w:tc>
                <w:tcPr>
                  <w:tcW w:w="852" w:type="dxa"/>
                  <w:tcBorders>
                    <w:tl2br w:val="nil"/>
                    <w:tr2bl w:val="nil"/>
                  </w:tcBorders>
                  <w:noWrap w:val="0"/>
                  <w:vAlign w:val="center"/>
                </w:tcPr>
                <w:p w14:paraId="1900410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5D2329A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144546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90" w:type="dxa"/>
                  <w:gridSpan w:val="4"/>
                  <w:vMerge w:val="continue"/>
                  <w:tcBorders>
                    <w:tl2br w:val="nil"/>
                    <w:tr2bl w:val="nil"/>
                  </w:tcBorders>
                  <w:noWrap w:val="0"/>
                  <w:vAlign w:val="center"/>
                </w:tcPr>
                <w:p w14:paraId="2603C00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p>
              </w:tc>
              <w:tc>
                <w:tcPr>
                  <w:tcW w:w="900" w:type="dxa"/>
                  <w:tcBorders>
                    <w:tl2br w:val="nil"/>
                    <w:tr2bl w:val="nil"/>
                  </w:tcBorders>
                  <w:noWrap w:val="0"/>
                  <w:vAlign w:val="center"/>
                </w:tcPr>
                <w:p w14:paraId="355EE11F">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NOx</w:t>
                  </w:r>
                </w:p>
              </w:tc>
              <w:tc>
                <w:tcPr>
                  <w:tcW w:w="1050" w:type="dxa"/>
                  <w:tcBorders>
                    <w:tl2br w:val="nil"/>
                    <w:tr2bl w:val="nil"/>
                  </w:tcBorders>
                  <w:noWrap w:val="0"/>
                  <w:vAlign w:val="center"/>
                </w:tcPr>
                <w:p w14:paraId="48C4B7FE">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w:t>
                  </w:r>
                </w:p>
              </w:tc>
              <w:tc>
                <w:tcPr>
                  <w:tcW w:w="975" w:type="dxa"/>
                  <w:tcBorders>
                    <w:tl2br w:val="nil"/>
                    <w:tr2bl w:val="nil"/>
                  </w:tcBorders>
                  <w:noWrap w:val="0"/>
                  <w:vAlign w:val="center"/>
                </w:tcPr>
                <w:p w14:paraId="1B8B91A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884" w:type="dxa"/>
                  <w:tcBorders>
                    <w:tl2br w:val="nil"/>
                    <w:tr2bl w:val="nil"/>
                  </w:tcBorders>
                  <w:noWrap w:val="0"/>
                  <w:vAlign w:val="center"/>
                </w:tcPr>
                <w:p w14:paraId="611CF3F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1102" w:type="dxa"/>
                  <w:vMerge w:val="continue"/>
                  <w:tcBorders>
                    <w:tl2br w:val="nil"/>
                    <w:tr2bl w:val="nil"/>
                  </w:tcBorders>
                  <w:noWrap w:val="0"/>
                  <w:vAlign w:val="center"/>
                </w:tcPr>
                <w:p w14:paraId="5FC3951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68CD463A">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884" w:type="dxa"/>
                  <w:tcBorders>
                    <w:tl2br w:val="nil"/>
                    <w:tr2bl w:val="nil"/>
                  </w:tcBorders>
                  <w:noWrap w:val="0"/>
                  <w:vAlign w:val="center"/>
                </w:tcPr>
                <w:p w14:paraId="20C1E3BF">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w:t>
                  </w:r>
                </w:p>
              </w:tc>
              <w:tc>
                <w:tcPr>
                  <w:tcW w:w="954" w:type="dxa"/>
                  <w:tcBorders>
                    <w:tl2br w:val="nil"/>
                    <w:tr2bl w:val="nil"/>
                  </w:tcBorders>
                  <w:noWrap w:val="0"/>
                  <w:vAlign w:val="center"/>
                </w:tcPr>
                <w:p w14:paraId="375BA2E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895" w:type="dxa"/>
                  <w:tcBorders>
                    <w:tl2br w:val="nil"/>
                    <w:tr2bl w:val="nil"/>
                  </w:tcBorders>
                  <w:noWrap w:val="0"/>
                  <w:vAlign w:val="center"/>
                </w:tcPr>
                <w:p w14:paraId="6DC63D77">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0.170 </w:t>
                  </w:r>
                </w:p>
              </w:tc>
              <w:tc>
                <w:tcPr>
                  <w:tcW w:w="852" w:type="dxa"/>
                  <w:tcBorders>
                    <w:tl2br w:val="nil"/>
                    <w:tr2bl w:val="nil"/>
                  </w:tcBorders>
                  <w:noWrap w:val="0"/>
                  <w:vAlign w:val="center"/>
                </w:tcPr>
                <w:p w14:paraId="3DD7F33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4D431F3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769EC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90" w:type="dxa"/>
                  <w:gridSpan w:val="4"/>
                  <w:vMerge w:val="continue"/>
                  <w:tcBorders>
                    <w:tl2br w:val="nil"/>
                    <w:tr2bl w:val="nil"/>
                  </w:tcBorders>
                  <w:noWrap w:val="0"/>
                  <w:vAlign w:val="center"/>
                </w:tcPr>
                <w:p w14:paraId="584F2D7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p>
              </w:tc>
              <w:tc>
                <w:tcPr>
                  <w:tcW w:w="900" w:type="dxa"/>
                  <w:tcBorders>
                    <w:tl2br w:val="nil"/>
                    <w:tr2bl w:val="nil"/>
                  </w:tcBorders>
                  <w:noWrap w:val="0"/>
                  <w:vAlign w:val="center"/>
                </w:tcPr>
                <w:p w14:paraId="1E7CBE0B">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SO</w:t>
                  </w:r>
                  <w:r>
                    <w:rPr>
                      <w:rFonts w:hint="default" w:ascii="Times New Roman" w:hAnsi="Times New Roman" w:eastAsia="宋体" w:cs="Times New Roman"/>
                      <w:bCs/>
                      <w:color w:val="auto"/>
                      <w:sz w:val="22"/>
                      <w:szCs w:val="22"/>
                      <w:vertAlign w:val="subscript"/>
                      <w:lang w:val="en-US" w:eastAsia="zh-CN"/>
                    </w:rPr>
                    <w:t>2</w:t>
                  </w:r>
                </w:p>
              </w:tc>
              <w:tc>
                <w:tcPr>
                  <w:tcW w:w="1050" w:type="dxa"/>
                  <w:tcBorders>
                    <w:tl2br w:val="nil"/>
                    <w:tr2bl w:val="nil"/>
                  </w:tcBorders>
                  <w:noWrap w:val="0"/>
                  <w:vAlign w:val="center"/>
                </w:tcPr>
                <w:p w14:paraId="398DE312">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w:t>
                  </w:r>
                </w:p>
              </w:tc>
              <w:tc>
                <w:tcPr>
                  <w:tcW w:w="975" w:type="dxa"/>
                  <w:tcBorders>
                    <w:tl2br w:val="nil"/>
                    <w:tr2bl w:val="nil"/>
                  </w:tcBorders>
                  <w:noWrap w:val="0"/>
                  <w:vAlign w:val="center"/>
                </w:tcPr>
                <w:p w14:paraId="331D16D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884" w:type="dxa"/>
                  <w:tcBorders>
                    <w:tl2br w:val="nil"/>
                    <w:tr2bl w:val="nil"/>
                  </w:tcBorders>
                  <w:noWrap w:val="0"/>
                  <w:vAlign w:val="center"/>
                </w:tcPr>
                <w:p w14:paraId="7E0C45F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1102" w:type="dxa"/>
                  <w:vMerge w:val="continue"/>
                  <w:tcBorders>
                    <w:tl2br w:val="nil"/>
                    <w:tr2bl w:val="nil"/>
                  </w:tcBorders>
                  <w:noWrap w:val="0"/>
                  <w:vAlign w:val="center"/>
                </w:tcPr>
                <w:p w14:paraId="1A978FA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464E0204">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884" w:type="dxa"/>
                  <w:tcBorders>
                    <w:tl2br w:val="nil"/>
                    <w:tr2bl w:val="nil"/>
                  </w:tcBorders>
                  <w:noWrap w:val="0"/>
                  <w:vAlign w:val="center"/>
                </w:tcPr>
                <w:p w14:paraId="265A912C">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w:t>
                  </w:r>
                </w:p>
              </w:tc>
              <w:tc>
                <w:tcPr>
                  <w:tcW w:w="954" w:type="dxa"/>
                  <w:tcBorders>
                    <w:tl2br w:val="nil"/>
                    <w:tr2bl w:val="nil"/>
                  </w:tcBorders>
                  <w:noWrap w:val="0"/>
                  <w:vAlign w:val="center"/>
                </w:tcPr>
                <w:p w14:paraId="4182E86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895" w:type="dxa"/>
                  <w:tcBorders>
                    <w:tl2br w:val="nil"/>
                    <w:tr2bl w:val="nil"/>
                  </w:tcBorders>
                  <w:noWrap w:val="0"/>
                  <w:vAlign w:val="center"/>
                </w:tcPr>
                <w:p w14:paraId="6448FDB3">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0.01</w:t>
                  </w:r>
                  <w:r>
                    <w:rPr>
                      <w:rFonts w:hint="eastAsia" w:ascii="Times New Roman" w:hAnsi="Times New Roman" w:eastAsia="宋体" w:cs="Times New Roman"/>
                      <w:i w:val="0"/>
                      <w:iCs w:val="0"/>
                      <w:color w:val="auto"/>
                      <w:kern w:val="0"/>
                      <w:sz w:val="22"/>
                      <w:szCs w:val="22"/>
                      <w:u w:val="none"/>
                      <w:lang w:val="en-US" w:eastAsia="zh-CN" w:bidi="ar"/>
                    </w:rPr>
                    <w:t>3</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852" w:type="dxa"/>
                  <w:tcBorders>
                    <w:tl2br w:val="nil"/>
                    <w:tr2bl w:val="nil"/>
                  </w:tcBorders>
                  <w:noWrap w:val="0"/>
                  <w:vAlign w:val="center"/>
                </w:tcPr>
                <w:p w14:paraId="7A11969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534BA4E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1DB245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90" w:type="dxa"/>
                  <w:gridSpan w:val="4"/>
                  <w:vMerge w:val="continue"/>
                  <w:tcBorders>
                    <w:tl2br w:val="nil"/>
                    <w:tr2bl w:val="nil"/>
                  </w:tcBorders>
                  <w:noWrap w:val="0"/>
                  <w:vAlign w:val="center"/>
                </w:tcPr>
                <w:p w14:paraId="6FBC8DE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p>
              </w:tc>
              <w:tc>
                <w:tcPr>
                  <w:tcW w:w="900" w:type="dxa"/>
                  <w:tcBorders>
                    <w:tl2br w:val="nil"/>
                    <w:tr2bl w:val="nil"/>
                  </w:tcBorders>
                  <w:noWrap w:val="0"/>
                  <w:vAlign w:val="center"/>
                </w:tcPr>
                <w:p w14:paraId="6C64D0C6">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lang w:val="en-US" w:eastAsia="zh-CN" w:bidi="ar-SA"/>
                    </w:rPr>
                  </w:pPr>
                  <w:r>
                    <w:rPr>
                      <w:rFonts w:hint="default" w:ascii="Times New Roman" w:hAnsi="Times New Roman" w:eastAsia="宋体" w:cs="Times New Roman"/>
                      <w:bCs/>
                      <w:color w:val="auto"/>
                      <w:sz w:val="22"/>
                      <w:szCs w:val="22"/>
                      <w:lang w:val="en-US" w:eastAsia="zh-CN"/>
                    </w:rPr>
                    <w:t>HCl</w:t>
                  </w:r>
                </w:p>
              </w:tc>
              <w:tc>
                <w:tcPr>
                  <w:tcW w:w="1050" w:type="dxa"/>
                  <w:tcBorders>
                    <w:tl2br w:val="nil"/>
                    <w:tr2bl w:val="nil"/>
                  </w:tcBorders>
                  <w:noWrap w:val="0"/>
                  <w:vAlign w:val="center"/>
                </w:tcPr>
                <w:p w14:paraId="07E58F37">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w:t>
                  </w:r>
                </w:p>
              </w:tc>
              <w:tc>
                <w:tcPr>
                  <w:tcW w:w="975" w:type="dxa"/>
                  <w:tcBorders>
                    <w:tl2br w:val="nil"/>
                    <w:tr2bl w:val="nil"/>
                  </w:tcBorders>
                  <w:noWrap w:val="0"/>
                  <w:vAlign w:val="center"/>
                </w:tcPr>
                <w:p w14:paraId="2D07544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884" w:type="dxa"/>
                  <w:tcBorders>
                    <w:tl2br w:val="nil"/>
                    <w:tr2bl w:val="nil"/>
                  </w:tcBorders>
                  <w:noWrap w:val="0"/>
                  <w:vAlign w:val="center"/>
                </w:tcPr>
                <w:p w14:paraId="6170026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1102" w:type="dxa"/>
                  <w:vMerge w:val="continue"/>
                  <w:tcBorders>
                    <w:tl2br w:val="nil"/>
                    <w:tr2bl w:val="nil"/>
                  </w:tcBorders>
                  <w:noWrap w:val="0"/>
                  <w:vAlign w:val="center"/>
                </w:tcPr>
                <w:p w14:paraId="10775A6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4F6F5EDC">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884" w:type="dxa"/>
                  <w:tcBorders>
                    <w:tl2br w:val="nil"/>
                    <w:tr2bl w:val="nil"/>
                  </w:tcBorders>
                  <w:noWrap w:val="0"/>
                  <w:vAlign w:val="center"/>
                </w:tcPr>
                <w:p w14:paraId="6448FD87">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w:t>
                  </w:r>
                </w:p>
              </w:tc>
              <w:tc>
                <w:tcPr>
                  <w:tcW w:w="954" w:type="dxa"/>
                  <w:tcBorders>
                    <w:tl2br w:val="nil"/>
                    <w:tr2bl w:val="nil"/>
                  </w:tcBorders>
                  <w:noWrap w:val="0"/>
                  <w:vAlign w:val="center"/>
                </w:tcPr>
                <w:p w14:paraId="5A61E8B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895" w:type="dxa"/>
                  <w:tcBorders>
                    <w:tl2br w:val="nil"/>
                    <w:tr2bl w:val="nil"/>
                  </w:tcBorders>
                  <w:noWrap w:val="0"/>
                  <w:vAlign w:val="center"/>
                </w:tcPr>
                <w:p w14:paraId="16B61366">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0.0143 </w:t>
                  </w:r>
                </w:p>
              </w:tc>
              <w:tc>
                <w:tcPr>
                  <w:tcW w:w="852" w:type="dxa"/>
                  <w:tcBorders>
                    <w:tl2br w:val="nil"/>
                    <w:tr2bl w:val="nil"/>
                  </w:tcBorders>
                  <w:noWrap w:val="0"/>
                  <w:vAlign w:val="center"/>
                </w:tcPr>
                <w:p w14:paraId="66A25B0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448D5D7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r w14:paraId="20F190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90" w:type="dxa"/>
                  <w:gridSpan w:val="4"/>
                  <w:vMerge w:val="continue"/>
                  <w:tcBorders>
                    <w:tl2br w:val="nil"/>
                    <w:tr2bl w:val="nil"/>
                  </w:tcBorders>
                  <w:noWrap w:val="0"/>
                  <w:vAlign w:val="center"/>
                </w:tcPr>
                <w:p w14:paraId="4676D16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p>
              </w:tc>
              <w:tc>
                <w:tcPr>
                  <w:tcW w:w="900" w:type="dxa"/>
                  <w:tcBorders>
                    <w:tl2br w:val="nil"/>
                    <w:tr2bl w:val="nil"/>
                  </w:tcBorders>
                  <w:noWrap w:val="0"/>
                  <w:vAlign w:val="center"/>
                </w:tcPr>
                <w:p w14:paraId="342202DF">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lang w:val="en-US" w:eastAsia="zh-CN" w:bidi="ar-SA"/>
                    </w:rPr>
                  </w:pPr>
                  <w:r>
                    <w:rPr>
                      <w:rFonts w:hint="default" w:ascii="Times New Roman" w:hAnsi="Times New Roman" w:eastAsia="宋体" w:cs="Times New Roman"/>
                      <w:bCs/>
                      <w:color w:val="auto"/>
                      <w:sz w:val="22"/>
                      <w:szCs w:val="22"/>
                      <w:lang w:val="en-US" w:eastAsia="zh-CN"/>
                    </w:rPr>
                    <w:t>氟化物</w:t>
                  </w:r>
                </w:p>
              </w:tc>
              <w:tc>
                <w:tcPr>
                  <w:tcW w:w="1050" w:type="dxa"/>
                  <w:tcBorders>
                    <w:tl2br w:val="nil"/>
                    <w:tr2bl w:val="nil"/>
                  </w:tcBorders>
                  <w:noWrap w:val="0"/>
                  <w:vAlign w:val="center"/>
                </w:tcPr>
                <w:p w14:paraId="2640F23A">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w:t>
                  </w:r>
                </w:p>
              </w:tc>
              <w:tc>
                <w:tcPr>
                  <w:tcW w:w="975" w:type="dxa"/>
                  <w:tcBorders>
                    <w:tl2br w:val="nil"/>
                    <w:tr2bl w:val="nil"/>
                  </w:tcBorders>
                  <w:noWrap w:val="0"/>
                  <w:vAlign w:val="center"/>
                </w:tcPr>
                <w:p w14:paraId="0141E9C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884" w:type="dxa"/>
                  <w:tcBorders>
                    <w:tl2br w:val="nil"/>
                    <w:tr2bl w:val="nil"/>
                  </w:tcBorders>
                  <w:noWrap w:val="0"/>
                  <w:vAlign w:val="center"/>
                </w:tcPr>
                <w:p w14:paraId="6B208B3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1102" w:type="dxa"/>
                  <w:vMerge w:val="continue"/>
                  <w:tcBorders>
                    <w:tl2br w:val="nil"/>
                    <w:tr2bl w:val="nil"/>
                  </w:tcBorders>
                  <w:noWrap w:val="0"/>
                  <w:vAlign w:val="center"/>
                </w:tcPr>
                <w:p w14:paraId="034254F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p>
              </w:tc>
              <w:tc>
                <w:tcPr>
                  <w:tcW w:w="675" w:type="dxa"/>
                  <w:tcBorders>
                    <w:tl2br w:val="nil"/>
                    <w:tr2bl w:val="nil"/>
                  </w:tcBorders>
                  <w:noWrap w:val="0"/>
                  <w:vAlign w:val="center"/>
                </w:tcPr>
                <w:p w14:paraId="5D780784">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884" w:type="dxa"/>
                  <w:tcBorders>
                    <w:tl2br w:val="nil"/>
                    <w:tr2bl w:val="nil"/>
                  </w:tcBorders>
                  <w:noWrap w:val="0"/>
                  <w:vAlign w:val="center"/>
                </w:tcPr>
                <w:p w14:paraId="785A8C97">
                  <w:pPr>
                    <w:keepNext w:val="0"/>
                    <w:keepLines w:val="0"/>
                    <w:pageBreakBefore w:val="0"/>
                    <w:kinsoku/>
                    <w:wordWrap/>
                    <w:overflowPunct/>
                    <w:topLinePunct w:val="0"/>
                    <w:autoSpaceDE w:val="0"/>
                    <w:autoSpaceDN w:val="0"/>
                    <w:bidi w:val="0"/>
                    <w:snapToGrid/>
                    <w:jc w:val="center"/>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kern w:val="2"/>
                      <w:sz w:val="22"/>
                      <w:szCs w:val="22"/>
                      <w:vertAlign w:val="baseline"/>
                      <w:lang w:val="en-US" w:eastAsia="zh-CN" w:bidi="ar-SA"/>
                    </w:rPr>
                    <w:t>/</w:t>
                  </w:r>
                </w:p>
              </w:tc>
              <w:tc>
                <w:tcPr>
                  <w:tcW w:w="954" w:type="dxa"/>
                  <w:tcBorders>
                    <w:tl2br w:val="nil"/>
                    <w:tr2bl w:val="nil"/>
                  </w:tcBorders>
                  <w:noWrap w:val="0"/>
                  <w:vAlign w:val="center"/>
                </w:tcPr>
                <w:p w14:paraId="76EB635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kern w:val="2"/>
                      <w:sz w:val="22"/>
                      <w:szCs w:val="22"/>
                      <w:vertAlign w:val="baseline"/>
                      <w:lang w:val="en-US" w:eastAsia="zh-CN" w:bidi="ar-SA"/>
                    </w:rPr>
                    <w:t>/</w:t>
                  </w:r>
                </w:p>
              </w:tc>
              <w:tc>
                <w:tcPr>
                  <w:tcW w:w="895" w:type="dxa"/>
                  <w:tcBorders>
                    <w:tl2br w:val="nil"/>
                    <w:tr2bl w:val="nil"/>
                  </w:tcBorders>
                  <w:noWrap w:val="0"/>
                  <w:vAlign w:val="center"/>
                </w:tcPr>
                <w:p w14:paraId="6B50D87C">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0.003</w:t>
                  </w:r>
                </w:p>
              </w:tc>
              <w:tc>
                <w:tcPr>
                  <w:tcW w:w="852" w:type="dxa"/>
                  <w:tcBorders>
                    <w:tl2br w:val="nil"/>
                    <w:tr2bl w:val="nil"/>
                  </w:tcBorders>
                  <w:noWrap w:val="0"/>
                  <w:vAlign w:val="center"/>
                </w:tcPr>
                <w:p w14:paraId="6917E12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c>
                <w:tcPr>
                  <w:tcW w:w="737" w:type="dxa"/>
                  <w:tcBorders>
                    <w:tl2br w:val="nil"/>
                    <w:tr2bl w:val="nil"/>
                  </w:tcBorders>
                  <w:noWrap w:val="0"/>
                  <w:vAlign w:val="center"/>
                </w:tcPr>
                <w:p w14:paraId="1D5EDC2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w:t>
                  </w:r>
                </w:p>
              </w:tc>
            </w:tr>
          </w:tbl>
          <w:p w14:paraId="787D04C4">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注：①炉门打开扒渣时，烟尘产生速率按闭炉平均速率的约1.5倍计；</w:t>
            </w:r>
          </w:p>
          <w:p w14:paraId="76C28645">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①按加料、扒渣、取样分析时段（开炉状态下）与熔炼其他时段（闭炉状态下）分别统计污染物产排情况；</w:t>
            </w:r>
          </w:p>
          <w:p w14:paraId="03FE5D08">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Times New Roman" w:hAnsi="Times New Roman" w:eastAsia="宋体"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③2台25t炉交替生产，理论情况下不会同时出现开炉或闭炉的生产状态，但实际生产中，可能会出现生产时序打乱，2台25t炉同时开炉，闭炉的情况，因此，本次评价浓度及速率取开炉与闭炉状态下的最大值（最不利情况下）；</w:t>
            </w:r>
          </w:p>
          <w:p w14:paraId="7C575FD9">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hint="default" w:ascii="Times New Roman" w:hAnsi="Times New Roman" w:cs="Times New Roman"/>
                <w:bCs/>
                <w:color w:val="auto"/>
                <w:sz w:val="22"/>
                <w:szCs w:val="22"/>
                <w:vertAlign w:val="baseline"/>
                <w:lang w:val="en-US" w:eastAsia="zh-CN"/>
              </w:rPr>
            </w:pPr>
            <w:r>
              <w:rPr>
                <w:rFonts w:hint="default" w:ascii="Times New Roman" w:hAnsi="Times New Roman" w:eastAsia="宋体" w:cs="Times New Roman"/>
                <w:bCs/>
                <w:color w:val="auto"/>
                <w:sz w:val="22"/>
                <w:szCs w:val="22"/>
                <w:vertAlign w:val="baseline"/>
                <w:lang w:val="en-US" w:eastAsia="zh-CN"/>
              </w:rPr>
              <w:t>④污染物排放量按加和统计</w:t>
            </w:r>
            <w:r>
              <w:rPr>
                <w:rFonts w:hint="eastAsia" w:ascii="Times New Roman" w:hAnsi="Times New Roman" w:eastAsia="宋体" w:cs="Times New Roman"/>
                <w:bCs/>
                <w:color w:val="auto"/>
                <w:sz w:val="22"/>
                <w:szCs w:val="22"/>
                <w:vertAlign w:val="baseline"/>
                <w:lang w:val="en-US" w:eastAsia="zh-CN"/>
              </w:rPr>
              <w:t>。</w:t>
            </w:r>
          </w:p>
        </w:tc>
      </w:tr>
    </w:tbl>
    <w:p w14:paraId="19EEA916">
      <w:pPr>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8255"/>
      </w:tblGrid>
      <w:tr w14:paraId="02A5C0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tcBorders>
              <w:tl2br w:val="nil"/>
              <w:tr2bl w:val="nil"/>
            </w:tcBorders>
            <w:noWrap w:val="0"/>
            <w:vAlign w:val="center"/>
          </w:tcPr>
          <w:p w14:paraId="0AE9818E">
            <w:pPr>
              <w:pStyle w:val="20"/>
              <w:adjustRightInd w:val="0"/>
              <w:snapToGrid w:val="0"/>
              <w:spacing w:before="0" w:beforeAutospacing="0" w:after="0" w:afterAutospacing="0"/>
              <w:jc w:val="center"/>
              <w:rPr>
                <w:rFonts w:hint="eastAsia" w:ascii="Times New Roman" w:hAnsi="Times New Roman" w:eastAsia="宋体" w:cs="Times New Roman"/>
                <w:color w:val="auto"/>
                <w:kern w:val="2"/>
                <w:sz w:val="26"/>
                <w:szCs w:val="26"/>
                <w:lang w:eastAsia="zh-CN"/>
              </w:rPr>
            </w:pPr>
            <w:r>
              <w:rPr>
                <w:rFonts w:hint="eastAsia" w:ascii="Times New Roman" w:hAnsi="Times New Roman" w:eastAsia="宋体" w:cs="Times New Roman"/>
                <w:color w:val="auto"/>
                <w:kern w:val="2"/>
                <w:sz w:val="26"/>
                <w:szCs w:val="26"/>
                <w:lang w:val="en-US" w:eastAsia="zh-CN"/>
              </w:rPr>
              <w:t>运营期</w:t>
            </w:r>
            <w:r>
              <w:rPr>
                <w:rFonts w:hint="eastAsia" w:ascii="Times New Roman" w:hAnsi="Times New Roman" w:eastAsia="宋体" w:cs="Times New Roman"/>
                <w:color w:val="auto"/>
                <w:kern w:val="2"/>
                <w:sz w:val="26"/>
                <w:szCs w:val="26"/>
                <w:lang w:eastAsia="zh-CN"/>
              </w:rPr>
              <w:t>环</w:t>
            </w:r>
          </w:p>
          <w:p w14:paraId="1B6DC07C">
            <w:pPr>
              <w:pStyle w:val="20"/>
              <w:adjustRightInd w:val="0"/>
              <w:snapToGrid w:val="0"/>
              <w:spacing w:before="0" w:beforeAutospacing="0" w:after="0" w:afterAutospacing="0"/>
              <w:jc w:val="center"/>
              <w:rPr>
                <w:rFonts w:hint="eastAsia" w:ascii="Times New Roman" w:hAnsi="Times New Roman" w:eastAsia="宋体" w:cs="Times New Roman"/>
                <w:color w:val="auto"/>
                <w:kern w:val="2"/>
                <w:sz w:val="26"/>
                <w:szCs w:val="26"/>
                <w:lang w:eastAsia="zh-CN"/>
              </w:rPr>
            </w:pPr>
            <w:r>
              <w:rPr>
                <w:rFonts w:hint="eastAsia" w:ascii="Times New Roman" w:hAnsi="Times New Roman" w:eastAsia="宋体" w:cs="Times New Roman"/>
                <w:color w:val="auto"/>
                <w:kern w:val="2"/>
                <w:sz w:val="26"/>
                <w:szCs w:val="26"/>
                <w:lang w:eastAsia="zh-CN"/>
              </w:rPr>
              <w:t>境保</w:t>
            </w:r>
          </w:p>
          <w:p w14:paraId="65214D3B">
            <w:pPr>
              <w:pStyle w:val="20"/>
              <w:adjustRightInd w:val="0"/>
              <w:snapToGrid w:val="0"/>
              <w:spacing w:before="0" w:beforeAutospacing="0" w:after="0" w:afterAutospacing="0"/>
              <w:jc w:val="center"/>
              <w:rPr>
                <w:rFonts w:hint="eastAsia" w:ascii="Times New Roman" w:hAnsi="Times New Roman" w:eastAsia="宋体" w:cs="Times New Roman"/>
                <w:color w:val="auto"/>
                <w:kern w:val="2"/>
                <w:sz w:val="26"/>
                <w:szCs w:val="26"/>
                <w:lang w:eastAsia="zh-CN"/>
              </w:rPr>
            </w:pPr>
            <w:r>
              <w:rPr>
                <w:rFonts w:hint="eastAsia" w:ascii="Times New Roman" w:hAnsi="Times New Roman" w:eastAsia="宋体" w:cs="Times New Roman"/>
                <w:color w:val="auto"/>
                <w:kern w:val="2"/>
                <w:sz w:val="26"/>
                <w:szCs w:val="26"/>
                <w:lang w:eastAsia="zh-CN"/>
              </w:rPr>
              <w:t>护措</w:t>
            </w:r>
          </w:p>
          <w:p w14:paraId="10E757E8">
            <w:pPr>
              <w:pStyle w:val="20"/>
              <w:adjustRightInd w:val="0"/>
              <w:snapToGrid w:val="0"/>
              <w:spacing w:before="0" w:beforeAutospacing="0" w:after="0" w:afterAutospacing="0"/>
              <w:jc w:val="center"/>
              <w:rPr>
                <w:rFonts w:hint="eastAsia" w:ascii="Times New Roman" w:hAnsi="Times New Roman" w:eastAsia="宋体" w:cs="Times New Roman"/>
                <w:color w:val="auto"/>
                <w:kern w:val="0"/>
                <w:sz w:val="26"/>
                <w:szCs w:val="26"/>
                <w:lang w:eastAsia="zh-CN"/>
              </w:rPr>
            </w:pPr>
            <w:r>
              <w:rPr>
                <w:rFonts w:hint="eastAsia" w:ascii="Times New Roman" w:hAnsi="Times New Roman" w:eastAsia="宋体" w:cs="Times New Roman"/>
                <w:color w:val="auto"/>
                <w:kern w:val="2"/>
                <w:sz w:val="26"/>
                <w:szCs w:val="26"/>
                <w:lang w:eastAsia="zh-CN"/>
              </w:rPr>
              <w:t>施</w:t>
            </w:r>
          </w:p>
        </w:tc>
        <w:tc>
          <w:tcPr>
            <w:tcW w:w="8255" w:type="dxa"/>
            <w:tcBorders>
              <w:tl2br w:val="nil"/>
              <w:tr2bl w:val="nil"/>
            </w:tcBorders>
            <w:noWrap w:val="0"/>
            <w:vAlign w:val="top"/>
          </w:tcPr>
          <w:p w14:paraId="79D5DA94">
            <w:pPr>
              <w:keepNext w:val="0"/>
              <w:keepLines w:val="0"/>
              <w:pageBreakBefore w:val="0"/>
              <w:widowControl w:val="0"/>
              <w:kinsoku/>
              <w:wordWrap/>
              <w:overflowPunct/>
              <w:topLinePunct w:val="0"/>
              <w:bidi w:val="0"/>
              <w:snapToGrid/>
              <w:spacing w:line="460" w:lineRule="exact"/>
              <w:ind w:firstLine="520" w:firstLineChars="200"/>
              <w:textAlignment w:val="auto"/>
              <w:rPr>
                <w:rFonts w:hint="default" w:ascii="Times New Roman" w:hAnsi="Times New Roman" w:eastAsia="宋体" w:cs="Times New Roman"/>
                <w:color w:val="auto"/>
                <w:kern w:val="0"/>
                <w:sz w:val="26"/>
                <w:szCs w:val="26"/>
                <w:vertAlign w:val="subscript"/>
                <w:lang w:val="en-US" w:eastAsia="zh-CN"/>
              </w:rPr>
            </w:pPr>
            <w:r>
              <w:rPr>
                <w:rFonts w:hint="eastAsia" w:ascii="Times New Roman" w:hAnsi="Times New Roman" w:eastAsia="宋体" w:cs="Times New Roman"/>
                <w:color w:val="auto"/>
                <w:kern w:val="0"/>
                <w:sz w:val="26"/>
                <w:szCs w:val="26"/>
                <w:lang w:val="en-US" w:eastAsia="zh-CN"/>
              </w:rPr>
              <w:t>（2）烤包废气G</w:t>
            </w:r>
            <w:r>
              <w:rPr>
                <w:rFonts w:hint="eastAsia" w:ascii="Times New Roman" w:hAnsi="Times New Roman" w:eastAsia="宋体" w:cs="Times New Roman"/>
                <w:color w:val="auto"/>
                <w:kern w:val="0"/>
                <w:sz w:val="26"/>
                <w:szCs w:val="26"/>
                <w:vertAlign w:val="baseline"/>
                <w:lang w:val="en-US" w:eastAsia="zh-CN"/>
              </w:rPr>
              <w:t>3</w:t>
            </w:r>
          </w:p>
          <w:p w14:paraId="198142D7">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烤包是将铝液包置于烤包器上，通入天然气燃烧器燃烧，待到铝液包达到规定温度时，通过叉车将铝液包运至熔炼炉进行生产。</w:t>
            </w:r>
          </w:p>
          <w:p w14:paraId="4E4001F9">
            <w:pPr>
              <w:keepNext w:val="0"/>
              <w:keepLines w:val="0"/>
              <w:pageBreakBefore w:val="0"/>
              <w:widowControl w:val="0"/>
              <w:kinsoku/>
              <w:wordWrap/>
              <w:overflowPunct/>
              <w:topLinePunct w:val="0"/>
              <w:bidi w:val="0"/>
              <w:snapToGrid/>
              <w:spacing w:line="460" w:lineRule="exact"/>
              <w:ind w:firstLine="520" w:firstLineChars="200"/>
              <w:textAlignment w:val="auto"/>
              <w:rPr>
                <w:rFonts w:hint="default"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根据建设单位提供的资料，外购铝液送到厂区后，需在厂区继续加热，采用天然气加热，天然气耗量约3m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/t-原料，本项目年使用铝液约53500t/a，则天然气消耗量约160500m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/a。</w:t>
            </w:r>
          </w:p>
          <w:p w14:paraId="105FCBCD">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参考《排放源统计调查产排污核算方法和系数手册》中“4430 工业锅炉（热力生产和供应行业）产排污系数表-燃气工业锅炉”：NOx 产污系数为：15.87kg/万Nm</w:t>
            </w:r>
            <w:r>
              <w:rPr>
                <w:rFonts w:hint="eastAsia" w:ascii="Times New Roman" w:hAnsi="Times New Roman" w:eastAsia="宋体" w:cs="Times New Roman"/>
                <w:color w:val="auto"/>
                <w:kern w:val="0"/>
                <w:sz w:val="26"/>
                <w:szCs w:val="26"/>
                <w:vertAlign w:val="subscript"/>
                <w:lang w:val="en-US" w:eastAsia="zh-CN"/>
              </w:rPr>
              <w:t>3</w:t>
            </w:r>
            <w:r>
              <w:rPr>
                <w:rFonts w:hint="eastAsia" w:ascii="Times New Roman" w:hAnsi="Times New Roman" w:eastAsia="宋体" w:cs="Times New Roman"/>
                <w:color w:val="auto"/>
                <w:kern w:val="0"/>
                <w:sz w:val="26"/>
                <w:szCs w:val="26"/>
                <w:lang w:val="en-US" w:eastAsia="zh-CN"/>
              </w:rPr>
              <w:t xml:space="preserve"> 天然气（低氮燃烧-国内一般）、SO</w:t>
            </w:r>
            <w:r>
              <w:rPr>
                <w:rFonts w:hint="eastAsia" w:ascii="Times New Roman" w:hAnsi="Times New Roman" w:eastAsia="宋体" w:cs="Times New Roman"/>
                <w:color w:val="auto"/>
                <w:kern w:val="0"/>
                <w:sz w:val="26"/>
                <w:szCs w:val="26"/>
                <w:vertAlign w:val="subscript"/>
                <w:lang w:val="en-US" w:eastAsia="zh-CN"/>
              </w:rPr>
              <w:t>2</w:t>
            </w:r>
            <w:r>
              <w:rPr>
                <w:rFonts w:hint="eastAsia" w:ascii="Times New Roman" w:hAnsi="Times New Roman" w:eastAsia="宋体" w:cs="Times New Roman"/>
                <w:color w:val="auto"/>
                <w:kern w:val="0"/>
                <w:sz w:val="26"/>
                <w:szCs w:val="26"/>
                <w:lang w:val="en-US" w:eastAsia="zh-CN"/>
              </w:rPr>
              <w:t>产污系数为：0.02S（S=100）kg/万Nm</w:t>
            </w:r>
            <w:r>
              <w:rPr>
                <w:rFonts w:hint="eastAsia" w:ascii="Times New Roman" w:hAnsi="Times New Roman" w:eastAsia="宋体" w:cs="Times New Roman"/>
                <w:color w:val="auto"/>
                <w:kern w:val="0"/>
                <w:sz w:val="26"/>
                <w:szCs w:val="26"/>
                <w:vertAlign w:val="superscript"/>
                <w:lang w:val="en-US" w:eastAsia="zh-CN"/>
              </w:rPr>
              <w:t xml:space="preserve">3 </w:t>
            </w:r>
            <w:r>
              <w:rPr>
                <w:rFonts w:hint="eastAsia" w:ascii="Times New Roman" w:hAnsi="Times New Roman" w:eastAsia="宋体" w:cs="Times New Roman"/>
                <w:color w:val="auto"/>
                <w:kern w:val="0"/>
                <w:sz w:val="26"/>
                <w:szCs w:val="26"/>
                <w:lang w:val="en-US" w:eastAsia="zh-CN"/>
              </w:rPr>
              <w:t>天然气；参照《排污许可证申请与核发技术规范 锅炉》表F.3燃气工业锅炉的废气产排污系数，烟尘产污系数为：2.86kg/万Nm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 xml:space="preserve"> 天然气，即烤包废气NOx 产生量为0.25t/a，SO</w:t>
            </w:r>
            <w:r>
              <w:rPr>
                <w:rFonts w:hint="eastAsia" w:ascii="Times New Roman" w:hAnsi="Times New Roman" w:eastAsia="宋体" w:cs="Times New Roman"/>
                <w:color w:val="auto"/>
                <w:kern w:val="0"/>
                <w:sz w:val="26"/>
                <w:szCs w:val="26"/>
                <w:vertAlign w:val="subscript"/>
                <w:lang w:val="en-US" w:eastAsia="zh-CN"/>
              </w:rPr>
              <w:t>2</w:t>
            </w:r>
            <w:r>
              <w:rPr>
                <w:rFonts w:hint="eastAsia" w:ascii="Times New Roman" w:hAnsi="Times New Roman" w:eastAsia="宋体" w:cs="Times New Roman"/>
                <w:color w:val="auto"/>
                <w:kern w:val="0"/>
                <w:sz w:val="26"/>
                <w:szCs w:val="26"/>
                <w:lang w:val="en-US" w:eastAsia="zh-CN"/>
              </w:rPr>
              <w:t>产生量为0.032t/a，颗粒物产生量为0.046t/a。</w:t>
            </w:r>
          </w:p>
          <w:p w14:paraId="79ED78A4">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烤包废气污染物产生量较少，另因烘包尺寸和位置受限，且转移过程中使用叉车，无法控制密闭空间内，因此烤包废气通过车间无组织排放。</w:t>
            </w:r>
          </w:p>
          <w:p w14:paraId="47C9E469">
            <w:pPr>
              <w:keepNext w:val="0"/>
              <w:keepLines w:val="0"/>
              <w:pageBreakBefore w:val="0"/>
              <w:widowControl w:val="0"/>
              <w:kinsoku/>
              <w:wordWrap/>
              <w:overflowPunct/>
              <w:topLinePunct w:val="0"/>
              <w:bidi w:val="0"/>
              <w:snapToGrid/>
              <w:spacing w:line="460" w:lineRule="exact"/>
              <w:ind w:firstLine="520" w:firstLineChars="200"/>
              <w:textAlignment w:val="auto"/>
              <w:rPr>
                <w:rFonts w:hint="default"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（3）均质废气G</w:t>
            </w:r>
            <w:r>
              <w:rPr>
                <w:rFonts w:hint="eastAsia" w:ascii="Times New Roman" w:hAnsi="Times New Roman" w:eastAsia="宋体" w:cs="Times New Roman"/>
                <w:color w:val="auto"/>
                <w:kern w:val="0"/>
                <w:sz w:val="26"/>
                <w:szCs w:val="26"/>
                <w:vertAlign w:val="baseline"/>
                <w:lang w:val="en-US" w:eastAsia="zh-CN"/>
              </w:rPr>
              <w:t>4</w:t>
            </w:r>
          </w:p>
          <w:p w14:paraId="36CCBEAE">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本项目均质废气主要为天然气燃烧提供加热的燃烧废气，主要污染因子为颗粒物、SO</w:t>
            </w:r>
            <w:r>
              <w:rPr>
                <w:rFonts w:hint="eastAsia" w:ascii="Times New Roman" w:hAnsi="Times New Roman" w:eastAsia="宋体" w:cs="Times New Roman"/>
                <w:color w:val="auto"/>
                <w:kern w:val="0"/>
                <w:sz w:val="26"/>
                <w:szCs w:val="26"/>
                <w:vertAlign w:val="subscript"/>
                <w:lang w:val="en-US" w:eastAsia="zh-CN"/>
              </w:rPr>
              <w:t>2</w:t>
            </w:r>
            <w:r>
              <w:rPr>
                <w:rFonts w:hint="eastAsia" w:ascii="Times New Roman" w:hAnsi="Times New Roman" w:eastAsia="宋体" w:cs="Times New Roman"/>
                <w:color w:val="auto"/>
                <w:kern w:val="0"/>
                <w:sz w:val="26"/>
                <w:szCs w:val="26"/>
                <w:lang w:val="en-US" w:eastAsia="zh-CN"/>
              </w:rPr>
              <w:t xml:space="preserve">、氮氧化物。根据《排污许可证申请与核发技术规范 工业炉窑》（HJ1121-2020），采用“绩效法”核算，核算方法如下： </w:t>
            </w:r>
          </w:p>
          <w:p w14:paraId="56665BCD">
            <w:pPr>
              <w:keepNext w:val="0"/>
              <w:keepLines w:val="0"/>
              <w:pageBreakBefore w:val="0"/>
              <w:widowControl w:val="0"/>
              <w:kinsoku/>
              <w:wordWrap/>
              <w:overflowPunct/>
              <w:topLinePunct w:val="0"/>
              <w:bidi w:val="0"/>
              <w:snapToGrid/>
              <w:spacing w:line="460" w:lineRule="exact"/>
              <w:jc w:val="center"/>
              <w:textAlignment w:val="auto"/>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Mi=R×G×10</w:t>
            </w:r>
          </w:p>
          <w:p w14:paraId="351651E5">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 xml:space="preserve">式中： </w:t>
            </w:r>
          </w:p>
          <w:p w14:paraId="19AECB84">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 xml:space="preserve">Mi—第i个排放口污染物年许可排放量，t； </w:t>
            </w:r>
          </w:p>
          <w:p w14:paraId="58BF9A8F">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R—第i个排放口对应工业炉窑前三年实际产量最大值（若不足一年或前三年实际产量最大值超过设计产能，则以设计产能为准）或前三年实际燃料消耗量最大值（若不足一年或前三年实际燃料消耗量最大值超过设计消耗量，则以设计消耗量为准），万t或万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，本项目均质炉设计天然气消耗量为162万m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/a（30m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/t产品，均质量54000t/a）；</w:t>
            </w:r>
          </w:p>
          <w:p w14:paraId="41097AF8">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G—绩效值，kg/t产品，kg/t燃料或kg/m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燃料，天然气低位热值约为35.54MJ/m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，根据HJ1121-2020表6计算，颗粒物绩效值为0.1698g/m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 xml:space="preserve"> 燃料，SO</w:t>
            </w:r>
            <w:r>
              <w:rPr>
                <w:rFonts w:hint="eastAsia" w:ascii="Times New Roman" w:hAnsi="Times New Roman" w:eastAsia="宋体" w:cs="Times New Roman"/>
                <w:color w:val="auto"/>
                <w:kern w:val="0"/>
                <w:sz w:val="26"/>
                <w:szCs w:val="26"/>
                <w:vertAlign w:val="subscript"/>
                <w:lang w:val="en-US" w:eastAsia="zh-CN"/>
              </w:rPr>
              <w:t>2</w:t>
            </w:r>
            <w:r>
              <w:rPr>
                <w:rFonts w:hint="eastAsia" w:ascii="Times New Roman" w:hAnsi="Times New Roman" w:eastAsia="宋体" w:cs="Times New Roman"/>
                <w:color w:val="auto"/>
                <w:kern w:val="0"/>
                <w:sz w:val="26"/>
                <w:szCs w:val="26"/>
                <w:lang w:val="en-US" w:eastAsia="zh-CN"/>
              </w:rPr>
              <w:t>绩效值为0.1698g/m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燃料，NOx绩效值为2.5495g/m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 xml:space="preserve">燃料。 </w:t>
            </w:r>
          </w:p>
          <w:p w14:paraId="1F05639E">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根据《环境保护实用数据手册》，1立方米天然气燃烧产生的理论烟气量10.5m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，本项目年天然气使用为162万m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，则烟气产生量为1701万m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，年工作时间约7080h，即2402m</w:t>
            </w:r>
            <w:r>
              <w:rPr>
                <w:rFonts w:hint="eastAsia" w:ascii="Times New Roman" w:hAnsi="Times New Roman" w:eastAsia="宋体" w:cs="Times New Roman"/>
                <w:color w:val="auto"/>
                <w:kern w:val="0"/>
                <w:sz w:val="26"/>
                <w:szCs w:val="26"/>
                <w:vertAlign w:val="superscript"/>
                <w:lang w:val="en-US" w:eastAsia="zh-CN"/>
              </w:rPr>
              <w:t>3</w:t>
            </w:r>
            <w:r>
              <w:rPr>
                <w:rFonts w:hint="eastAsia" w:ascii="Times New Roman" w:hAnsi="Times New Roman" w:eastAsia="宋体" w:cs="Times New Roman"/>
                <w:color w:val="auto"/>
                <w:kern w:val="0"/>
                <w:sz w:val="26"/>
                <w:szCs w:val="26"/>
                <w:lang w:val="en-US" w:eastAsia="zh-CN"/>
              </w:rPr>
              <w:t>/h。</w:t>
            </w:r>
          </w:p>
          <w:p w14:paraId="75903645">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Times New Roman" w:hAnsi="Times New Roman" w:eastAsia="宋体" w:cs="Times New Roman"/>
                <w:color w:val="auto"/>
                <w:kern w:val="0"/>
                <w:sz w:val="26"/>
                <w:szCs w:val="26"/>
                <w:lang w:eastAsia="zh-CN"/>
              </w:rPr>
            </w:pPr>
            <w:r>
              <w:rPr>
                <w:rFonts w:hint="eastAsia" w:ascii="Times New Roman" w:hAnsi="Times New Roman" w:eastAsia="宋体" w:cs="Times New Roman"/>
                <w:color w:val="auto"/>
                <w:kern w:val="0"/>
                <w:sz w:val="26"/>
                <w:szCs w:val="26"/>
                <w:lang w:val="en-US" w:eastAsia="zh-CN"/>
              </w:rPr>
              <w:t>本项目均质炉为密闭箱体，由箱体上方管道直接引出烟气，废气收集效率按100%计，本项目均质</w:t>
            </w:r>
            <w:r>
              <w:rPr>
                <w:rFonts w:hint="eastAsia" w:ascii="Times New Roman" w:hAnsi="Times New Roman" w:eastAsia="宋体" w:cs="Times New Roman"/>
                <w:color w:val="auto"/>
                <w:kern w:val="0"/>
                <w:sz w:val="26"/>
                <w:szCs w:val="26"/>
                <w:lang w:eastAsia="zh-CN"/>
              </w:rPr>
              <w:t>废气污染物产生情况如下表所示。</w:t>
            </w:r>
          </w:p>
        </w:tc>
      </w:tr>
    </w:tbl>
    <w:p w14:paraId="113DE79D">
      <w:pPr>
        <w:rPr>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
      <w:tblGrid>
        <w:gridCol w:w="740"/>
        <w:gridCol w:w="12488"/>
      </w:tblGrid>
      <w:tr w14:paraId="1B74E8BF">
        <w:tblPrEx>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CellMar>
            <w:top w:w="0" w:type="dxa"/>
            <w:left w:w="108" w:type="dxa"/>
            <w:bottom w:w="0" w:type="dxa"/>
            <w:right w:w="108" w:type="dxa"/>
          </w:tblCellMar>
        </w:tblPrEx>
        <w:tc>
          <w:tcPr>
            <w:tcW w:w="740" w:type="dxa"/>
            <w:tcBorders>
              <w:tl2br w:val="nil"/>
              <w:tr2bl w:val="nil"/>
            </w:tcBorders>
            <w:noWrap w:val="0"/>
            <w:vAlign w:val="center"/>
          </w:tcPr>
          <w:p w14:paraId="07A2496E">
            <w:pPr>
              <w:pStyle w:val="20"/>
              <w:adjustRightInd w:val="0"/>
              <w:snapToGrid w:val="0"/>
              <w:spacing w:before="0" w:beforeAutospacing="0" w:after="0" w:afterAutospacing="0"/>
              <w:jc w:val="center"/>
              <w:rPr>
                <w:rFonts w:hint="eastAsia" w:ascii="Times New Roman" w:hAnsi="Times New Roman" w:eastAsia="宋体" w:cs="Times New Roman"/>
                <w:color w:val="auto"/>
                <w:kern w:val="2"/>
                <w:sz w:val="26"/>
                <w:szCs w:val="26"/>
                <w:lang w:val="en-US" w:eastAsia="zh-CN"/>
              </w:rPr>
            </w:pPr>
            <w:r>
              <w:rPr>
                <w:rFonts w:hint="eastAsia" w:ascii="Times New Roman" w:hAnsi="Times New Roman" w:eastAsia="宋体" w:cs="Times New Roman"/>
                <w:color w:val="auto"/>
                <w:kern w:val="2"/>
                <w:sz w:val="26"/>
                <w:szCs w:val="26"/>
                <w:lang w:val="en-US" w:eastAsia="zh-CN"/>
              </w:rPr>
              <w:t>运营期环</w:t>
            </w:r>
          </w:p>
          <w:p w14:paraId="291102F0">
            <w:pPr>
              <w:pStyle w:val="20"/>
              <w:adjustRightInd w:val="0"/>
              <w:snapToGrid w:val="0"/>
              <w:spacing w:before="0" w:beforeAutospacing="0" w:after="0" w:afterAutospacing="0"/>
              <w:jc w:val="center"/>
              <w:rPr>
                <w:rFonts w:hint="eastAsia" w:ascii="Times New Roman" w:hAnsi="Times New Roman" w:eastAsia="宋体" w:cs="Times New Roman"/>
                <w:color w:val="auto"/>
                <w:kern w:val="2"/>
                <w:sz w:val="26"/>
                <w:szCs w:val="26"/>
                <w:lang w:val="en-US" w:eastAsia="zh-CN"/>
              </w:rPr>
            </w:pPr>
            <w:r>
              <w:rPr>
                <w:rFonts w:hint="eastAsia" w:ascii="Times New Roman" w:hAnsi="Times New Roman" w:eastAsia="宋体" w:cs="Times New Roman"/>
                <w:color w:val="auto"/>
                <w:kern w:val="2"/>
                <w:sz w:val="26"/>
                <w:szCs w:val="26"/>
                <w:lang w:val="en-US" w:eastAsia="zh-CN"/>
              </w:rPr>
              <w:t>境保</w:t>
            </w:r>
          </w:p>
          <w:p w14:paraId="550AAC4F">
            <w:pPr>
              <w:pStyle w:val="20"/>
              <w:adjustRightInd w:val="0"/>
              <w:snapToGrid w:val="0"/>
              <w:spacing w:before="0" w:beforeAutospacing="0" w:after="0" w:afterAutospacing="0"/>
              <w:jc w:val="center"/>
              <w:rPr>
                <w:rFonts w:hint="eastAsia" w:ascii="Times New Roman" w:hAnsi="Times New Roman" w:eastAsia="宋体" w:cs="Times New Roman"/>
                <w:color w:val="auto"/>
                <w:kern w:val="2"/>
                <w:sz w:val="26"/>
                <w:szCs w:val="26"/>
                <w:lang w:val="en-US" w:eastAsia="zh-CN"/>
              </w:rPr>
            </w:pPr>
            <w:r>
              <w:rPr>
                <w:rFonts w:hint="eastAsia" w:ascii="Times New Roman" w:hAnsi="Times New Roman" w:eastAsia="宋体" w:cs="Times New Roman"/>
                <w:color w:val="auto"/>
                <w:kern w:val="2"/>
                <w:sz w:val="26"/>
                <w:szCs w:val="26"/>
                <w:lang w:val="en-US" w:eastAsia="zh-CN"/>
              </w:rPr>
              <w:t>护措</w:t>
            </w:r>
          </w:p>
          <w:p w14:paraId="039DECA4">
            <w:pPr>
              <w:pStyle w:val="20"/>
              <w:adjustRightInd w:val="0"/>
              <w:snapToGrid w:val="0"/>
              <w:spacing w:before="0" w:beforeAutospacing="0" w:after="0" w:afterAutospacing="0"/>
              <w:jc w:val="center"/>
              <w:rPr>
                <w:rFonts w:hint="eastAsia" w:ascii="Times New Roman" w:hAnsi="Times New Roman" w:eastAsia="宋体" w:cs="Times New Roman"/>
                <w:b/>
                <w:bCs w:val="0"/>
                <w:color w:val="auto"/>
                <w:sz w:val="26"/>
                <w:szCs w:val="26"/>
                <w:vertAlign w:val="baseline"/>
                <w:lang w:val="en-US" w:eastAsia="zh-CN"/>
              </w:rPr>
            </w:pPr>
            <w:r>
              <w:rPr>
                <w:rFonts w:hint="eastAsia" w:ascii="Times New Roman" w:hAnsi="Times New Roman" w:eastAsia="宋体" w:cs="Times New Roman"/>
                <w:color w:val="auto"/>
                <w:kern w:val="2"/>
                <w:sz w:val="26"/>
                <w:szCs w:val="26"/>
                <w:lang w:val="en-US" w:eastAsia="zh-CN"/>
              </w:rPr>
              <w:t>施</w:t>
            </w:r>
          </w:p>
        </w:tc>
        <w:tc>
          <w:tcPr>
            <w:tcW w:w="12488" w:type="dxa"/>
            <w:tcBorders>
              <w:tl2br w:val="nil"/>
              <w:tr2bl w:val="nil"/>
            </w:tcBorders>
            <w:noWrap w:val="0"/>
            <w:vAlign w:val="top"/>
          </w:tcPr>
          <w:p w14:paraId="53394B63">
            <w:pPr>
              <w:autoSpaceDE w:val="0"/>
              <w:autoSpaceDN w:val="0"/>
              <w:adjustRightInd w:val="0"/>
              <w:spacing w:line="460" w:lineRule="exact"/>
              <w:jc w:val="center"/>
              <w:rPr>
                <w:rFonts w:hint="eastAsia" w:ascii="Times New Roman" w:hAnsi="Times New Roman" w:eastAsia="宋体" w:cs="Times New Roman"/>
                <w:b/>
                <w:bCs w:val="0"/>
                <w:color w:val="auto"/>
                <w:sz w:val="26"/>
                <w:szCs w:val="26"/>
                <w:vertAlign w:val="baseline"/>
                <w:lang w:val="en-US" w:eastAsia="zh-CN"/>
              </w:rPr>
            </w:pPr>
            <w:r>
              <w:rPr>
                <w:rFonts w:hint="eastAsia" w:ascii="Times New Roman" w:hAnsi="Times New Roman" w:eastAsia="宋体" w:cs="Times New Roman"/>
                <w:b/>
                <w:bCs w:val="0"/>
                <w:color w:val="auto"/>
                <w:sz w:val="26"/>
                <w:szCs w:val="26"/>
                <w:vertAlign w:val="baseline"/>
                <w:lang w:val="en-US" w:eastAsia="zh-CN"/>
              </w:rPr>
              <w:t>表4.2-6  本项目均质废气产生及排放情况表</w:t>
            </w:r>
          </w:p>
          <w:tbl>
            <w:tblPr>
              <w:tblStyle w:val="26"/>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5"/>
              <w:gridCol w:w="588"/>
              <w:gridCol w:w="830"/>
              <w:gridCol w:w="905"/>
              <w:gridCol w:w="856"/>
              <w:gridCol w:w="829"/>
              <w:gridCol w:w="842"/>
              <w:gridCol w:w="1083"/>
              <w:gridCol w:w="778"/>
              <w:gridCol w:w="957"/>
              <w:gridCol w:w="981"/>
              <w:gridCol w:w="1053"/>
              <w:gridCol w:w="935"/>
              <w:gridCol w:w="753"/>
            </w:tblGrid>
            <w:tr w14:paraId="6ED9B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69" w:type="dxa"/>
                  <w:vMerge w:val="restart"/>
                  <w:tcBorders>
                    <w:tl2br w:val="nil"/>
                    <w:tr2bl w:val="nil"/>
                  </w:tcBorders>
                  <w:noWrap w:val="0"/>
                  <w:vAlign w:val="center"/>
                </w:tcPr>
                <w:p w14:paraId="3B71BCD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废气类别</w:t>
                  </w:r>
                </w:p>
              </w:tc>
              <w:tc>
                <w:tcPr>
                  <w:tcW w:w="568" w:type="dxa"/>
                  <w:vMerge w:val="restart"/>
                  <w:tcBorders>
                    <w:tl2br w:val="nil"/>
                    <w:tr2bl w:val="nil"/>
                  </w:tcBorders>
                  <w:noWrap w:val="0"/>
                  <w:vAlign w:val="center"/>
                </w:tcPr>
                <w:p w14:paraId="5BFA2E0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排气筒</w:t>
                  </w:r>
                </w:p>
              </w:tc>
              <w:tc>
                <w:tcPr>
                  <w:tcW w:w="802" w:type="dxa"/>
                  <w:vMerge w:val="restart"/>
                  <w:tcBorders>
                    <w:tl2br w:val="nil"/>
                    <w:tr2bl w:val="nil"/>
                  </w:tcBorders>
                  <w:noWrap w:val="0"/>
                  <w:vAlign w:val="center"/>
                </w:tcPr>
                <w:p w14:paraId="53D39E3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废气产生量m</w:t>
                  </w:r>
                  <w:r>
                    <w:rPr>
                      <w:rFonts w:hint="default" w:ascii="Times New Roman" w:hAnsi="Times New Roman" w:eastAsia="宋体" w:cs="Times New Roman"/>
                      <w:bCs/>
                      <w:color w:val="auto"/>
                      <w:sz w:val="22"/>
                      <w:szCs w:val="22"/>
                      <w:highlight w:val="none"/>
                      <w:vertAlign w:val="superscript"/>
                      <w:lang w:val="en-US" w:eastAsia="zh-CN"/>
                    </w:rPr>
                    <w:t>3</w:t>
                  </w:r>
                  <w:r>
                    <w:rPr>
                      <w:rFonts w:hint="default" w:ascii="Times New Roman" w:hAnsi="Times New Roman" w:eastAsia="宋体" w:cs="Times New Roman"/>
                      <w:bCs/>
                      <w:color w:val="auto"/>
                      <w:sz w:val="22"/>
                      <w:szCs w:val="22"/>
                      <w:highlight w:val="none"/>
                      <w:vertAlign w:val="baseline"/>
                      <w:lang w:val="en-US" w:eastAsia="zh-CN"/>
                    </w:rPr>
                    <w:t>/h</w:t>
                  </w:r>
                </w:p>
              </w:tc>
              <w:tc>
                <w:tcPr>
                  <w:tcW w:w="875" w:type="dxa"/>
                  <w:vMerge w:val="restart"/>
                  <w:tcBorders>
                    <w:tl2br w:val="nil"/>
                    <w:tr2bl w:val="nil"/>
                  </w:tcBorders>
                  <w:noWrap w:val="0"/>
                  <w:vAlign w:val="center"/>
                </w:tcPr>
                <w:p w14:paraId="5210FA8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污染</w:t>
                  </w:r>
                </w:p>
                <w:p w14:paraId="62AB0B4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因子</w:t>
                  </w:r>
                </w:p>
              </w:tc>
              <w:tc>
                <w:tcPr>
                  <w:tcW w:w="2442" w:type="dxa"/>
                  <w:gridSpan w:val="3"/>
                  <w:tcBorders>
                    <w:tl2br w:val="nil"/>
                    <w:tr2bl w:val="nil"/>
                  </w:tcBorders>
                  <w:noWrap w:val="0"/>
                  <w:vAlign w:val="center"/>
                </w:tcPr>
                <w:p w14:paraId="26EA050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产生情况</w:t>
                  </w:r>
                </w:p>
              </w:tc>
              <w:tc>
                <w:tcPr>
                  <w:tcW w:w="1799" w:type="dxa"/>
                  <w:gridSpan w:val="2"/>
                  <w:tcBorders>
                    <w:tl2br w:val="nil"/>
                    <w:tr2bl w:val="nil"/>
                  </w:tcBorders>
                  <w:noWrap w:val="0"/>
                  <w:vAlign w:val="center"/>
                </w:tcPr>
                <w:p w14:paraId="7C651D6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治理情况</w:t>
                  </w:r>
                </w:p>
              </w:tc>
              <w:tc>
                <w:tcPr>
                  <w:tcW w:w="2891" w:type="dxa"/>
                  <w:gridSpan w:val="3"/>
                  <w:tcBorders>
                    <w:tl2br w:val="nil"/>
                    <w:tr2bl w:val="nil"/>
                  </w:tcBorders>
                  <w:noWrap w:val="0"/>
                  <w:vAlign w:val="center"/>
                </w:tcPr>
                <w:p w14:paraId="14A0E7F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排放情况</w:t>
                  </w:r>
                </w:p>
              </w:tc>
              <w:tc>
                <w:tcPr>
                  <w:tcW w:w="1630" w:type="dxa"/>
                  <w:gridSpan w:val="2"/>
                  <w:tcBorders>
                    <w:tl2br w:val="nil"/>
                    <w:tr2bl w:val="nil"/>
                  </w:tcBorders>
                  <w:noWrap w:val="0"/>
                  <w:vAlign w:val="center"/>
                </w:tcPr>
                <w:p w14:paraId="219E79B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排放标准</w:t>
                  </w:r>
                </w:p>
              </w:tc>
            </w:tr>
            <w:tr w14:paraId="644A72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69" w:type="dxa"/>
                  <w:vMerge w:val="continue"/>
                  <w:tcBorders>
                    <w:tl2br w:val="nil"/>
                    <w:tr2bl w:val="nil"/>
                  </w:tcBorders>
                  <w:noWrap w:val="0"/>
                  <w:vAlign w:val="center"/>
                </w:tcPr>
                <w:p w14:paraId="4453DE2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568" w:type="dxa"/>
                  <w:vMerge w:val="continue"/>
                  <w:tcBorders>
                    <w:tl2br w:val="nil"/>
                    <w:tr2bl w:val="nil"/>
                  </w:tcBorders>
                  <w:noWrap w:val="0"/>
                  <w:vAlign w:val="center"/>
                </w:tcPr>
                <w:p w14:paraId="70EACC0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802" w:type="dxa"/>
                  <w:vMerge w:val="continue"/>
                  <w:tcBorders>
                    <w:tl2br w:val="nil"/>
                    <w:tr2bl w:val="nil"/>
                  </w:tcBorders>
                  <w:noWrap w:val="0"/>
                  <w:vAlign w:val="center"/>
                </w:tcPr>
                <w:p w14:paraId="08D841D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875" w:type="dxa"/>
                  <w:vMerge w:val="continue"/>
                  <w:tcBorders>
                    <w:tl2br w:val="nil"/>
                    <w:tr2bl w:val="nil"/>
                  </w:tcBorders>
                  <w:noWrap w:val="0"/>
                  <w:vAlign w:val="center"/>
                </w:tcPr>
                <w:p w14:paraId="1D093C9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827" w:type="dxa"/>
                  <w:tcBorders>
                    <w:tl2br w:val="nil"/>
                    <w:tr2bl w:val="nil"/>
                  </w:tcBorders>
                  <w:noWrap w:val="0"/>
                  <w:vAlign w:val="center"/>
                </w:tcPr>
                <w:p w14:paraId="226B73C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产生浓度mg/m</w:t>
                  </w:r>
                  <w:r>
                    <w:rPr>
                      <w:rFonts w:hint="default" w:ascii="Times New Roman" w:hAnsi="Times New Roman" w:eastAsia="宋体" w:cs="Times New Roman"/>
                      <w:bCs/>
                      <w:color w:val="auto"/>
                      <w:sz w:val="22"/>
                      <w:szCs w:val="22"/>
                      <w:highlight w:val="none"/>
                      <w:vertAlign w:val="superscript"/>
                      <w:lang w:val="en-US" w:eastAsia="zh-CN"/>
                    </w:rPr>
                    <w:t>3</w:t>
                  </w:r>
                </w:p>
              </w:tc>
              <w:tc>
                <w:tcPr>
                  <w:tcW w:w="801" w:type="dxa"/>
                  <w:tcBorders>
                    <w:tl2br w:val="nil"/>
                    <w:tr2bl w:val="nil"/>
                  </w:tcBorders>
                  <w:noWrap w:val="0"/>
                  <w:vAlign w:val="center"/>
                </w:tcPr>
                <w:p w14:paraId="1F29EFE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产生速率kg/h</w:t>
                  </w:r>
                </w:p>
              </w:tc>
              <w:tc>
                <w:tcPr>
                  <w:tcW w:w="814" w:type="dxa"/>
                  <w:tcBorders>
                    <w:tl2br w:val="nil"/>
                    <w:tr2bl w:val="nil"/>
                  </w:tcBorders>
                  <w:noWrap w:val="0"/>
                  <w:vAlign w:val="center"/>
                </w:tcPr>
                <w:p w14:paraId="6FC9F1B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产生量t/a</w:t>
                  </w:r>
                </w:p>
              </w:tc>
              <w:tc>
                <w:tcPr>
                  <w:tcW w:w="1047" w:type="dxa"/>
                  <w:tcBorders>
                    <w:tl2br w:val="nil"/>
                    <w:tr2bl w:val="nil"/>
                  </w:tcBorders>
                  <w:noWrap w:val="0"/>
                  <w:vAlign w:val="center"/>
                </w:tcPr>
                <w:p w14:paraId="2F76AD8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治理</w:t>
                  </w:r>
                </w:p>
                <w:p w14:paraId="7B784BE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措施</w:t>
                  </w:r>
                </w:p>
              </w:tc>
              <w:tc>
                <w:tcPr>
                  <w:tcW w:w="752" w:type="dxa"/>
                  <w:tcBorders>
                    <w:tl2br w:val="nil"/>
                    <w:tr2bl w:val="nil"/>
                  </w:tcBorders>
                  <w:noWrap w:val="0"/>
                  <w:vAlign w:val="center"/>
                </w:tcPr>
                <w:p w14:paraId="3A96D89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治理效率%</w:t>
                  </w:r>
                </w:p>
              </w:tc>
              <w:tc>
                <w:tcPr>
                  <w:tcW w:w="925" w:type="dxa"/>
                  <w:tcBorders>
                    <w:tl2br w:val="nil"/>
                    <w:tr2bl w:val="nil"/>
                  </w:tcBorders>
                  <w:noWrap w:val="0"/>
                  <w:vAlign w:val="center"/>
                </w:tcPr>
                <w:p w14:paraId="78E2936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排放浓度mg/m</w:t>
                  </w:r>
                  <w:r>
                    <w:rPr>
                      <w:rFonts w:hint="default" w:ascii="Times New Roman" w:hAnsi="Times New Roman" w:eastAsia="宋体" w:cs="Times New Roman"/>
                      <w:bCs/>
                      <w:color w:val="auto"/>
                      <w:sz w:val="22"/>
                      <w:szCs w:val="22"/>
                      <w:highlight w:val="none"/>
                      <w:vertAlign w:val="superscript"/>
                      <w:lang w:val="en-US" w:eastAsia="zh-CN"/>
                    </w:rPr>
                    <w:t>3</w:t>
                  </w:r>
                </w:p>
              </w:tc>
              <w:tc>
                <w:tcPr>
                  <w:tcW w:w="948" w:type="dxa"/>
                  <w:tcBorders>
                    <w:tl2br w:val="nil"/>
                    <w:tr2bl w:val="nil"/>
                  </w:tcBorders>
                  <w:noWrap w:val="0"/>
                  <w:vAlign w:val="center"/>
                </w:tcPr>
                <w:p w14:paraId="53BFF2E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排放速率kg/h</w:t>
                  </w:r>
                </w:p>
              </w:tc>
              <w:tc>
                <w:tcPr>
                  <w:tcW w:w="1018" w:type="dxa"/>
                  <w:tcBorders>
                    <w:tl2br w:val="nil"/>
                    <w:tr2bl w:val="nil"/>
                  </w:tcBorders>
                  <w:noWrap w:val="0"/>
                  <w:vAlign w:val="center"/>
                </w:tcPr>
                <w:p w14:paraId="3E29BF3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排放量t/a</w:t>
                  </w:r>
                </w:p>
              </w:tc>
              <w:tc>
                <w:tcPr>
                  <w:tcW w:w="903" w:type="dxa"/>
                  <w:tcBorders>
                    <w:tl2br w:val="nil"/>
                    <w:tr2bl w:val="nil"/>
                  </w:tcBorders>
                  <w:noWrap w:val="0"/>
                  <w:vAlign w:val="center"/>
                </w:tcPr>
                <w:p w14:paraId="29024BE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排放浓度mg/m</w:t>
                  </w:r>
                  <w:r>
                    <w:rPr>
                      <w:rFonts w:hint="default" w:ascii="Times New Roman" w:hAnsi="Times New Roman" w:eastAsia="宋体" w:cs="Times New Roman"/>
                      <w:bCs/>
                      <w:color w:val="auto"/>
                      <w:sz w:val="22"/>
                      <w:szCs w:val="22"/>
                      <w:highlight w:val="none"/>
                      <w:vertAlign w:val="superscript"/>
                      <w:lang w:val="en-US" w:eastAsia="zh-CN"/>
                    </w:rPr>
                    <w:t>3</w:t>
                  </w:r>
                </w:p>
              </w:tc>
              <w:tc>
                <w:tcPr>
                  <w:tcW w:w="727" w:type="dxa"/>
                  <w:tcBorders>
                    <w:tl2br w:val="nil"/>
                    <w:tr2bl w:val="nil"/>
                  </w:tcBorders>
                  <w:noWrap w:val="0"/>
                  <w:vAlign w:val="center"/>
                </w:tcPr>
                <w:p w14:paraId="3974515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排放速率kg/h</w:t>
                  </w:r>
                </w:p>
              </w:tc>
            </w:tr>
            <w:tr w14:paraId="720AD4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69" w:type="dxa"/>
                  <w:vMerge w:val="restart"/>
                  <w:tcBorders>
                    <w:tl2br w:val="nil"/>
                    <w:tr2bl w:val="nil"/>
                  </w:tcBorders>
                  <w:noWrap w:val="0"/>
                  <w:vAlign w:val="center"/>
                </w:tcPr>
                <w:p w14:paraId="5EEC160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均质废气</w:t>
                  </w:r>
                </w:p>
              </w:tc>
              <w:tc>
                <w:tcPr>
                  <w:tcW w:w="568" w:type="dxa"/>
                  <w:vMerge w:val="restart"/>
                  <w:tcBorders>
                    <w:tl2br w:val="nil"/>
                    <w:tr2bl w:val="nil"/>
                  </w:tcBorders>
                  <w:noWrap w:val="0"/>
                  <w:vAlign w:val="center"/>
                </w:tcPr>
                <w:p w14:paraId="0D17057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DA004</w:t>
                  </w:r>
                </w:p>
              </w:tc>
              <w:tc>
                <w:tcPr>
                  <w:tcW w:w="802" w:type="dxa"/>
                  <w:vMerge w:val="restart"/>
                  <w:tcBorders>
                    <w:tl2br w:val="nil"/>
                    <w:tr2bl w:val="nil"/>
                  </w:tcBorders>
                  <w:noWrap w:val="0"/>
                  <w:vAlign w:val="center"/>
                </w:tcPr>
                <w:p w14:paraId="118314B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2402</w:t>
                  </w:r>
                </w:p>
              </w:tc>
              <w:tc>
                <w:tcPr>
                  <w:tcW w:w="875" w:type="dxa"/>
                  <w:tcBorders>
                    <w:tl2br w:val="nil"/>
                    <w:tr2bl w:val="nil"/>
                  </w:tcBorders>
                  <w:noWrap w:val="0"/>
                  <w:vAlign w:val="center"/>
                </w:tcPr>
                <w:p w14:paraId="219D310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颗粒物</w:t>
                  </w:r>
                </w:p>
              </w:tc>
              <w:tc>
                <w:tcPr>
                  <w:tcW w:w="827" w:type="dxa"/>
                  <w:tcBorders>
                    <w:tl2br w:val="nil"/>
                    <w:tr2bl w:val="nil"/>
                  </w:tcBorders>
                  <w:noWrap w:val="0"/>
                  <w:vAlign w:val="center"/>
                </w:tcPr>
                <w:p w14:paraId="3D12533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16.24</w:t>
                  </w:r>
                </w:p>
              </w:tc>
              <w:tc>
                <w:tcPr>
                  <w:tcW w:w="801" w:type="dxa"/>
                  <w:tcBorders>
                    <w:tl2br w:val="nil"/>
                    <w:tr2bl w:val="nil"/>
                  </w:tcBorders>
                  <w:noWrap w:val="0"/>
                  <w:vAlign w:val="center"/>
                </w:tcPr>
                <w:p w14:paraId="0CD8DD7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0.039</w:t>
                  </w:r>
                </w:p>
              </w:tc>
              <w:tc>
                <w:tcPr>
                  <w:tcW w:w="814" w:type="dxa"/>
                  <w:tcBorders>
                    <w:tl2br w:val="nil"/>
                    <w:tr2bl w:val="nil"/>
                  </w:tcBorders>
                  <w:noWrap w:val="0"/>
                  <w:vAlign w:val="center"/>
                </w:tcPr>
                <w:p w14:paraId="27114D5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0.276</w:t>
                  </w:r>
                </w:p>
              </w:tc>
              <w:tc>
                <w:tcPr>
                  <w:tcW w:w="1047" w:type="dxa"/>
                  <w:vMerge w:val="restart"/>
                  <w:tcBorders>
                    <w:tl2br w:val="nil"/>
                    <w:tr2bl w:val="nil"/>
                  </w:tcBorders>
                  <w:noWrap w:val="0"/>
                  <w:vAlign w:val="center"/>
                </w:tcPr>
                <w:p w14:paraId="2BD9E82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由15m排气筒(DA004)排放</w:t>
                  </w:r>
                </w:p>
              </w:tc>
              <w:tc>
                <w:tcPr>
                  <w:tcW w:w="752" w:type="dxa"/>
                  <w:tcBorders>
                    <w:tl2br w:val="nil"/>
                    <w:tr2bl w:val="nil"/>
                  </w:tcBorders>
                  <w:noWrap w:val="0"/>
                  <w:vAlign w:val="center"/>
                </w:tcPr>
                <w:p w14:paraId="1ED772A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0%</w:t>
                  </w:r>
                </w:p>
              </w:tc>
              <w:tc>
                <w:tcPr>
                  <w:tcW w:w="925" w:type="dxa"/>
                  <w:tcBorders>
                    <w:tl2br w:val="nil"/>
                    <w:tr2bl w:val="nil"/>
                  </w:tcBorders>
                  <w:noWrap w:val="0"/>
                  <w:vAlign w:val="center"/>
                </w:tcPr>
                <w:p w14:paraId="52AD38F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16.24</w:t>
                  </w:r>
                </w:p>
              </w:tc>
              <w:tc>
                <w:tcPr>
                  <w:tcW w:w="948" w:type="dxa"/>
                  <w:tcBorders>
                    <w:tl2br w:val="nil"/>
                    <w:tr2bl w:val="nil"/>
                  </w:tcBorders>
                  <w:noWrap w:val="0"/>
                  <w:vAlign w:val="center"/>
                </w:tcPr>
                <w:p w14:paraId="0EF4EBB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0.039</w:t>
                  </w:r>
                </w:p>
              </w:tc>
              <w:tc>
                <w:tcPr>
                  <w:tcW w:w="1018" w:type="dxa"/>
                  <w:tcBorders>
                    <w:tl2br w:val="nil"/>
                    <w:tr2bl w:val="nil"/>
                  </w:tcBorders>
                  <w:noWrap w:val="0"/>
                  <w:vAlign w:val="center"/>
                </w:tcPr>
                <w:p w14:paraId="352F455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0.276</w:t>
                  </w:r>
                </w:p>
              </w:tc>
              <w:tc>
                <w:tcPr>
                  <w:tcW w:w="903" w:type="dxa"/>
                  <w:tcBorders>
                    <w:tl2br w:val="nil"/>
                    <w:tr2bl w:val="nil"/>
                  </w:tcBorders>
                  <w:noWrap w:val="0"/>
                  <w:vAlign w:val="center"/>
                </w:tcPr>
                <w:p w14:paraId="0EA3E1C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30</w:t>
                  </w:r>
                </w:p>
              </w:tc>
              <w:tc>
                <w:tcPr>
                  <w:tcW w:w="727" w:type="dxa"/>
                  <w:tcBorders>
                    <w:tl2br w:val="nil"/>
                    <w:tr2bl w:val="nil"/>
                  </w:tcBorders>
                  <w:noWrap w:val="0"/>
                  <w:vAlign w:val="center"/>
                </w:tcPr>
                <w:p w14:paraId="69C1451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w:t>
                  </w:r>
                </w:p>
              </w:tc>
            </w:tr>
            <w:tr w14:paraId="749C78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69" w:type="dxa"/>
                  <w:vMerge w:val="continue"/>
                  <w:tcBorders>
                    <w:tl2br w:val="nil"/>
                    <w:tr2bl w:val="nil"/>
                  </w:tcBorders>
                  <w:noWrap w:val="0"/>
                  <w:vAlign w:val="center"/>
                </w:tcPr>
                <w:p w14:paraId="71D79ED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p>
              </w:tc>
              <w:tc>
                <w:tcPr>
                  <w:tcW w:w="568" w:type="dxa"/>
                  <w:vMerge w:val="continue"/>
                  <w:tcBorders>
                    <w:tl2br w:val="nil"/>
                    <w:tr2bl w:val="nil"/>
                  </w:tcBorders>
                  <w:noWrap w:val="0"/>
                  <w:vAlign w:val="center"/>
                </w:tcPr>
                <w:p w14:paraId="3ABE952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p>
              </w:tc>
              <w:tc>
                <w:tcPr>
                  <w:tcW w:w="802" w:type="dxa"/>
                  <w:vMerge w:val="continue"/>
                  <w:tcBorders>
                    <w:tl2br w:val="nil"/>
                    <w:tr2bl w:val="nil"/>
                  </w:tcBorders>
                  <w:noWrap w:val="0"/>
                  <w:vAlign w:val="center"/>
                </w:tcPr>
                <w:p w14:paraId="75C7EED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875" w:type="dxa"/>
                  <w:tcBorders>
                    <w:tl2br w:val="nil"/>
                    <w:tr2bl w:val="nil"/>
                  </w:tcBorders>
                  <w:noWrap w:val="0"/>
                  <w:vAlign w:val="center"/>
                </w:tcPr>
                <w:p w14:paraId="641B5CA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NOx</w:t>
                  </w:r>
                </w:p>
              </w:tc>
              <w:tc>
                <w:tcPr>
                  <w:tcW w:w="827" w:type="dxa"/>
                  <w:tcBorders>
                    <w:tl2br w:val="nil"/>
                    <w:tr2bl w:val="nil"/>
                  </w:tcBorders>
                  <w:noWrap w:val="0"/>
                  <w:vAlign w:val="center"/>
                </w:tcPr>
                <w:p w14:paraId="43B8206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241.47</w:t>
                  </w:r>
                </w:p>
              </w:tc>
              <w:tc>
                <w:tcPr>
                  <w:tcW w:w="801" w:type="dxa"/>
                  <w:tcBorders>
                    <w:tl2br w:val="nil"/>
                    <w:tr2bl w:val="nil"/>
                  </w:tcBorders>
                  <w:noWrap w:val="0"/>
                  <w:vAlign w:val="center"/>
                </w:tcPr>
                <w:p w14:paraId="3378E3C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0.58</w:t>
                  </w:r>
                </w:p>
              </w:tc>
              <w:tc>
                <w:tcPr>
                  <w:tcW w:w="814" w:type="dxa"/>
                  <w:tcBorders>
                    <w:tl2br w:val="nil"/>
                    <w:tr2bl w:val="nil"/>
                  </w:tcBorders>
                  <w:noWrap w:val="0"/>
                  <w:vAlign w:val="center"/>
                </w:tcPr>
                <w:p w14:paraId="5918CD7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4.14</w:t>
                  </w:r>
                </w:p>
              </w:tc>
              <w:tc>
                <w:tcPr>
                  <w:tcW w:w="1047" w:type="dxa"/>
                  <w:vMerge w:val="continue"/>
                  <w:tcBorders>
                    <w:tl2br w:val="nil"/>
                    <w:tr2bl w:val="nil"/>
                  </w:tcBorders>
                  <w:noWrap w:val="0"/>
                  <w:vAlign w:val="center"/>
                </w:tcPr>
                <w:p w14:paraId="4C4C8F8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752" w:type="dxa"/>
                  <w:tcBorders>
                    <w:tl2br w:val="nil"/>
                    <w:tr2bl w:val="nil"/>
                  </w:tcBorders>
                  <w:noWrap w:val="0"/>
                  <w:vAlign w:val="center"/>
                </w:tcPr>
                <w:p w14:paraId="2EE3241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0%</w:t>
                  </w:r>
                </w:p>
              </w:tc>
              <w:tc>
                <w:tcPr>
                  <w:tcW w:w="925" w:type="dxa"/>
                  <w:tcBorders>
                    <w:tl2br w:val="nil"/>
                    <w:tr2bl w:val="nil"/>
                  </w:tcBorders>
                  <w:noWrap w:val="0"/>
                  <w:vAlign w:val="center"/>
                </w:tcPr>
                <w:p w14:paraId="17AD8D5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241.47</w:t>
                  </w:r>
                </w:p>
              </w:tc>
              <w:tc>
                <w:tcPr>
                  <w:tcW w:w="948" w:type="dxa"/>
                  <w:tcBorders>
                    <w:tl2br w:val="nil"/>
                    <w:tr2bl w:val="nil"/>
                  </w:tcBorders>
                  <w:noWrap w:val="0"/>
                  <w:vAlign w:val="center"/>
                </w:tcPr>
                <w:p w14:paraId="12C8B5D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0.58</w:t>
                  </w:r>
                </w:p>
              </w:tc>
              <w:tc>
                <w:tcPr>
                  <w:tcW w:w="1018" w:type="dxa"/>
                  <w:tcBorders>
                    <w:tl2br w:val="nil"/>
                    <w:tr2bl w:val="nil"/>
                  </w:tcBorders>
                  <w:noWrap w:val="0"/>
                  <w:vAlign w:val="center"/>
                </w:tcPr>
                <w:p w14:paraId="279D15C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4.14</w:t>
                  </w:r>
                </w:p>
              </w:tc>
              <w:tc>
                <w:tcPr>
                  <w:tcW w:w="903" w:type="dxa"/>
                  <w:tcBorders>
                    <w:tl2br w:val="nil"/>
                    <w:tr2bl w:val="nil"/>
                  </w:tcBorders>
                  <w:noWrap w:val="0"/>
                  <w:vAlign w:val="center"/>
                </w:tcPr>
                <w:p w14:paraId="55CEBAA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300</w:t>
                  </w:r>
                </w:p>
              </w:tc>
              <w:tc>
                <w:tcPr>
                  <w:tcW w:w="727" w:type="dxa"/>
                  <w:tcBorders>
                    <w:tl2br w:val="nil"/>
                    <w:tr2bl w:val="nil"/>
                  </w:tcBorders>
                  <w:noWrap w:val="0"/>
                  <w:vAlign w:val="center"/>
                </w:tcPr>
                <w:p w14:paraId="2A30EA5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w:t>
                  </w:r>
                </w:p>
              </w:tc>
            </w:tr>
            <w:tr w14:paraId="4DA1B0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69" w:type="dxa"/>
                  <w:vMerge w:val="continue"/>
                  <w:tcBorders>
                    <w:tl2br w:val="nil"/>
                    <w:tr2bl w:val="nil"/>
                  </w:tcBorders>
                  <w:noWrap w:val="0"/>
                  <w:vAlign w:val="center"/>
                </w:tcPr>
                <w:p w14:paraId="681B43D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p>
              </w:tc>
              <w:tc>
                <w:tcPr>
                  <w:tcW w:w="568" w:type="dxa"/>
                  <w:vMerge w:val="continue"/>
                  <w:tcBorders>
                    <w:tl2br w:val="nil"/>
                    <w:tr2bl w:val="nil"/>
                  </w:tcBorders>
                  <w:noWrap w:val="0"/>
                  <w:vAlign w:val="center"/>
                </w:tcPr>
                <w:p w14:paraId="590EC40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z w:val="22"/>
                      <w:szCs w:val="22"/>
                      <w:vertAlign w:val="baseline"/>
                      <w:lang w:val="en-US" w:eastAsia="zh-CN"/>
                    </w:rPr>
                  </w:pPr>
                </w:p>
              </w:tc>
              <w:tc>
                <w:tcPr>
                  <w:tcW w:w="802" w:type="dxa"/>
                  <w:vMerge w:val="continue"/>
                  <w:tcBorders>
                    <w:tl2br w:val="nil"/>
                    <w:tr2bl w:val="nil"/>
                  </w:tcBorders>
                  <w:noWrap w:val="0"/>
                  <w:vAlign w:val="center"/>
                </w:tcPr>
                <w:p w14:paraId="6C1D7A0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875" w:type="dxa"/>
                  <w:tcBorders>
                    <w:tl2br w:val="nil"/>
                    <w:tr2bl w:val="nil"/>
                  </w:tcBorders>
                  <w:noWrap w:val="0"/>
                  <w:vAlign w:val="center"/>
                </w:tcPr>
                <w:p w14:paraId="25ACFC3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SO</w:t>
                  </w:r>
                  <w:r>
                    <w:rPr>
                      <w:rFonts w:hint="default" w:ascii="Times New Roman" w:hAnsi="Times New Roman" w:eastAsia="宋体" w:cs="Times New Roman"/>
                      <w:bCs/>
                      <w:color w:val="auto"/>
                      <w:sz w:val="22"/>
                      <w:szCs w:val="22"/>
                      <w:highlight w:val="none"/>
                      <w:vertAlign w:val="subscript"/>
                      <w:lang w:val="en-US" w:eastAsia="zh-CN"/>
                    </w:rPr>
                    <w:t>2</w:t>
                  </w:r>
                </w:p>
              </w:tc>
              <w:tc>
                <w:tcPr>
                  <w:tcW w:w="827" w:type="dxa"/>
                  <w:tcBorders>
                    <w:tl2br w:val="nil"/>
                    <w:tr2bl w:val="nil"/>
                  </w:tcBorders>
                  <w:noWrap w:val="0"/>
                  <w:vAlign w:val="center"/>
                </w:tcPr>
                <w:p w14:paraId="5E23718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16.24</w:t>
                  </w:r>
                </w:p>
              </w:tc>
              <w:tc>
                <w:tcPr>
                  <w:tcW w:w="801" w:type="dxa"/>
                  <w:tcBorders>
                    <w:tl2br w:val="nil"/>
                    <w:tr2bl w:val="nil"/>
                  </w:tcBorders>
                  <w:noWrap w:val="0"/>
                  <w:vAlign w:val="center"/>
                </w:tcPr>
                <w:p w14:paraId="19BC9ED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0.039</w:t>
                  </w:r>
                </w:p>
              </w:tc>
              <w:tc>
                <w:tcPr>
                  <w:tcW w:w="814" w:type="dxa"/>
                  <w:tcBorders>
                    <w:tl2br w:val="nil"/>
                    <w:tr2bl w:val="nil"/>
                  </w:tcBorders>
                  <w:noWrap w:val="0"/>
                  <w:vAlign w:val="center"/>
                </w:tcPr>
                <w:p w14:paraId="7B47CF6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0.276</w:t>
                  </w:r>
                </w:p>
              </w:tc>
              <w:tc>
                <w:tcPr>
                  <w:tcW w:w="1047" w:type="dxa"/>
                  <w:vMerge w:val="continue"/>
                  <w:tcBorders>
                    <w:tl2br w:val="nil"/>
                    <w:tr2bl w:val="nil"/>
                  </w:tcBorders>
                  <w:noWrap w:val="0"/>
                  <w:vAlign w:val="center"/>
                </w:tcPr>
                <w:p w14:paraId="7C96449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752" w:type="dxa"/>
                  <w:tcBorders>
                    <w:tl2br w:val="nil"/>
                    <w:tr2bl w:val="nil"/>
                  </w:tcBorders>
                  <w:noWrap w:val="0"/>
                  <w:vAlign w:val="center"/>
                </w:tcPr>
                <w:p w14:paraId="0B8D612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0%</w:t>
                  </w:r>
                </w:p>
              </w:tc>
              <w:tc>
                <w:tcPr>
                  <w:tcW w:w="925" w:type="dxa"/>
                  <w:tcBorders>
                    <w:tl2br w:val="nil"/>
                    <w:tr2bl w:val="nil"/>
                  </w:tcBorders>
                  <w:noWrap w:val="0"/>
                  <w:vAlign w:val="center"/>
                </w:tcPr>
                <w:p w14:paraId="18D4C98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16.24</w:t>
                  </w:r>
                </w:p>
              </w:tc>
              <w:tc>
                <w:tcPr>
                  <w:tcW w:w="948" w:type="dxa"/>
                  <w:tcBorders>
                    <w:tl2br w:val="nil"/>
                    <w:tr2bl w:val="nil"/>
                  </w:tcBorders>
                  <w:noWrap w:val="0"/>
                  <w:vAlign w:val="center"/>
                </w:tcPr>
                <w:p w14:paraId="7EE1ADE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0.039</w:t>
                  </w:r>
                </w:p>
              </w:tc>
              <w:tc>
                <w:tcPr>
                  <w:tcW w:w="1018" w:type="dxa"/>
                  <w:tcBorders>
                    <w:tl2br w:val="nil"/>
                    <w:tr2bl w:val="nil"/>
                  </w:tcBorders>
                  <w:noWrap w:val="0"/>
                  <w:vAlign w:val="center"/>
                </w:tcPr>
                <w:p w14:paraId="4D1382C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0.276</w:t>
                  </w:r>
                </w:p>
              </w:tc>
              <w:tc>
                <w:tcPr>
                  <w:tcW w:w="903" w:type="dxa"/>
                  <w:tcBorders>
                    <w:tl2br w:val="nil"/>
                    <w:tr2bl w:val="nil"/>
                  </w:tcBorders>
                  <w:noWrap w:val="0"/>
                  <w:vAlign w:val="center"/>
                </w:tcPr>
                <w:p w14:paraId="7E3268C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100</w:t>
                  </w:r>
                </w:p>
              </w:tc>
              <w:tc>
                <w:tcPr>
                  <w:tcW w:w="727" w:type="dxa"/>
                  <w:tcBorders>
                    <w:tl2br w:val="nil"/>
                    <w:tr2bl w:val="nil"/>
                  </w:tcBorders>
                  <w:noWrap w:val="0"/>
                  <w:vAlign w:val="center"/>
                </w:tcPr>
                <w:p w14:paraId="7E59E41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w:t>
                  </w:r>
                </w:p>
              </w:tc>
            </w:tr>
          </w:tbl>
          <w:p w14:paraId="1D44134E">
            <w:pPr>
              <w:autoSpaceDE w:val="0"/>
              <w:autoSpaceDN w:val="0"/>
              <w:adjustRightInd w:val="0"/>
              <w:spacing w:line="460" w:lineRule="exact"/>
              <w:jc w:val="both"/>
              <w:rPr>
                <w:rFonts w:hint="default" w:ascii="Times New Roman" w:hAnsi="Times New Roman" w:eastAsia="宋体" w:cs="Times New Roman"/>
                <w:b/>
                <w:bCs w:val="0"/>
                <w:color w:val="auto"/>
                <w:sz w:val="26"/>
                <w:szCs w:val="26"/>
                <w:vertAlign w:val="baseline"/>
                <w:lang w:val="en-US" w:eastAsia="zh-CN"/>
              </w:rPr>
            </w:pPr>
          </w:p>
        </w:tc>
      </w:tr>
    </w:tbl>
    <w:p w14:paraId="7110D714">
      <w:pPr>
        <w:rPr>
          <w:rFonts w:hint="default"/>
          <w:color w:val="auto"/>
          <w:lang w:val="en-US"/>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5"/>
        <w:tblW w:w="8908"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fixed"/>
        <w:tblCellMar>
          <w:top w:w="0" w:type="dxa"/>
          <w:left w:w="108" w:type="dxa"/>
          <w:bottom w:w="0" w:type="dxa"/>
          <w:right w:w="108" w:type="dxa"/>
        </w:tblCellMar>
      </w:tblPr>
      <w:tblGrid>
        <w:gridCol w:w="746"/>
        <w:gridCol w:w="8162"/>
      </w:tblGrid>
      <w:tr w14:paraId="771E7A4F">
        <w:tblPrEx>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CellMar>
            <w:top w:w="0" w:type="dxa"/>
            <w:left w:w="108" w:type="dxa"/>
            <w:bottom w:w="0" w:type="dxa"/>
            <w:right w:w="108" w:type="dxa"/>
          </w:tblCellMar>
        </w:tblPrEx>
        <w:trPr>
          <w:trHeight w:val="6701" w:hRule="atLeast"/>
          <w:jc w:val="center"/>
        </w:trPr>
        <w:tc>
          <w:tcPr>
            <w:tcW w:w="746" w:type="dxa"/>
            <w:tcBorders>
              <w:tl2br w:val="nil"/>
              <w:tr2bl w:val="nil"/>
            </w:tcBorders>
            <w:noWrap w:val="0"/>
            <w:tcMar>
              <w:left w:w="28" w:type="dxa"/>
              <w:right w:w="28" w:type="dxa"/>
            </w:tcMar>
            <w:vAlign w:val="center"/>
          </w:tcPr>
          <w:p w14:paraId="18F55DFC">
            <w:pPr>
              <w:pStyle w:val="20"/>
              <w:adjustRightInd w:val="0"/>
              <w:snapToGrid w:val="0"/>
              <w:spacing w:before="0" w:beforeAutospacing="0" w:after="0" w:afterAutospacing="0"/>
              <w:jc w:val="center"/>
              <w:rPr>
                <w:rFonts w:hint="default" w:ascii="Times New Roman" w:hAnsi="Times New Roman" w:cs="Times New Roman"/>
                <w:color w:val="auto"/>
                <w:kern w:val="2"/>
                <w:sz w:val="26"/>
                <w:szCs w:val="26"/>
              </w:rPr>
            </w:pPr>
            <w:r>
              <w:rPr>
                <w:rFonts w:hint="eastAsia" w:ascii="Times New Roman" w:hAnsi="Times New Roman" w:cs="Times New Roman"/>
                <w:color w:val="auto"/>
                <w:kern w:val="2"/>
                <w:sz w:val="26"/>
                <w:szCs w:val="26"/>
                <w:lang w:val="en-US" w:eastAsia="zh-CN"/>
              </w:rPr>
              <w:t>运营期</w:t>
            </w:r>
            <w:r>
              <w:rPr>
                <w:rFonts w:hint="default" w:ascii="Times New Roman" w:hAnsi="Times New Roman" w:cs="Times New Roman"/>
                <w:color w:val="auto"/>
                <w:kern w:val="2"/>
                <w:sz w:val="26"/>
                <w:szCs w:val="26"/>
              </w:rPr>
              <w:t>环</w:t>
            </w:r>
          </w:p>
          <w:p w14:paraId="5D1E335A">
            <w:pPr>
              <w:pStyle w:val="20"/>
              <w:adjustRightInd w:val="0"/>
              <w:snapToGrid w:val="0"/>
              <w:spacing w:before="0" w:beforeAutospacing="0" w:after="0" w:afterAutospacing="0"/>
              <w:jc w:val="center"/>
              <w:rPr>
                <w:rFonts w:hint="default" w:ascii="Times New Roman" w:hAnsi="Times New Roman" w:cs="Times New Roman"/>
                <w:color w:val="auto"/>
                <w:kern w:val="2"/>
                <w:sz w:val="26"/>
                <w:szCs w:val="26"/>
              </w:rPr>
            </w:pPr>
            <w:r>
              <w:rPr>
                <w:rFonts w:hint="default" w:ascii="Times New Roman" w:hAnsi="Times New Roman" w:cs="Times New Roman"/>
                <w:color w:val="auto"/>
                <w:kern w:val="2"/>
                <w:sz w:val="26"/>
                <w:szCs w:val="26"/>
              </w:rPr>
              <w:t>境保</w:t>
            </w:r>
          </w:p>
          <w:p w14:paraId="02E95BB2">
            <w:pPr>
              <w:pStyle w:val="20"/>
              <w:adjustRightInd w:val="0"/>
              <w:snapToGrid w:val="0"/>
              <w:spacing w:before="0" w:beforeAutospacing="0" w:after="0" w:afterAutospacing="0"/>
              <w:jc w:val="center"/>
              <w:rPr>
                <w:rFonts w:hint="default" w:ascii="Times New Roman" w:hAnsi="Times New Roman" w:cs="Times New Roman"/>
                <w:color w:val="auto"/>
                <w:kern w:val="2"/>
                <w:sz w:val="26"/>
                <w:szCs w:val="26"/>
              </w:rPr>
            </w:pPr>
            <w:r>
              <w:rPr>
                <w:rFonts w:hint="default" w:ascii="Times New Roman" w:hAnsi="Times New Roman" w:cs="Times New Roman"/>
                <w:color w:val="auto"/>
                <w:kern w:val="2"/>
                <w:sz w:val="26"/>
                <w:szCs w:val="26"/>
              </w:rPr>
              <w:t>护措</w:t>
            </w:r>
          </w:p>
          <w:p w14:paraId="2DE07930">
            <w:pPr>
              <w:pStyle w:val="20"/>
              <w:adjustRightInd w:val="0"/>
              <w:snapToGrid w:val="0"/>
              <w:spacing w:before="0" w:beforeAutospacing="0" w:after="0" w:afterAutospacing="0"/>
              <w:jc w:val="center"/>
              <w:rPr>
                <w:rFonts w:hint="default" w:ascii="Times New Roman" w:hAnsi="Times New Roman" w:cs="Times New Roman"/>
                <w:color w:val="auto"/>
                <w:kern w:val="2"/>
                <w:sz w:val="26"/>
                <w:szCs w:val="26"/>
              </w:rPr>
            </w:pPr>
            <w:r>
              <w:rPr>
                <w:rFonts w:hint="default" w:ascii="Times New Roman" w:hAnsi="Times New Roman" w:cs="Times New Roman"/>
                <w:color w:val="auto"/>
                <w:kern w:val="2"/>
                <w:sz w:val="26"/>
                <w:szCs w:val="26"/>
              </w:rPr>
              <w:t>施</w:t>
            </w:r>
          </w:p>
        </w:tc>
        <w:tc>
          <w:tcPr>
            <w:tcW w:w="8162" w:type="dxa"/>
            <w:tcBorders>
              <w:tl2br w:val="nil"/>
              <w:tr2bl w:val="nil"/>
            </w:tcBorders>
            <w:noWrap w:val="0"/>
            <w:vAlign w:val="center"/>
          </w:tcPr>
          <w:p w14:paraId="299356DF">
            <w:pPr>
              <w:keepNext w:val="0"/>
              <w:keepLines w:val="0"/>
              <w:pageBreakBefore w:val="0"/>
              <w:widowControl w:val="0"/>
              <w:kinsoku/>
              <w:wordWrap/>
              <w:overflowPunct/>
              <w:topLinePunct w:val="0"/>
              <w:bidi w:val="0"/>
              <w:snapToGrid/>
              <w:spacing w:line="460" w:lineRule="exact"/>
              <w:ind w:firstLine="520" w:firstLineChars="200"/>
              <w:textAlignment w:val="auto"/>
              <w:rPr>
                <w:rFonts w:hint="default" w:ascii="Times New Roman" w:hAnsi="Times New Roman" w:eastAsia="宋体" w:cs="Times New Roman"/>
                <w:color w:val="auto"/>
                <w:kern w:val="0"/>
                <w:sz w:val="26"/>
                <w:szCs w:val="26"/>
                <w:lang w:val="en-US" w:eastAsia="zh-CN"/>
              </w:rPr>
            </w:pPr>
            <w:r>
              <w:rPr>
                <w:rFonts w:hint="default" w:ascii="Times New Roman" w:hAnsi="Times New Roman" w:eastAsia="宋体" w:cs="Times New Roman"/>
                <w:color w:val="auto"/>
                <w:kern w:val="2"/>
                <w:sz w:val="26"/>
                <w:szCs w:val="26"/>
                <w:lang w:val="en-US" w:eastAsia="zh-CN"/>
              </w:rPr>
              <w:t>（4）铝</w:t>
            </w:r>
            <w:r>
              <w:rPr>
                <w:rFonts w:hint="default" w:ascii="Times New Roman" w:hAnsi="Times New Roman" w:eastAsia="宋体" w:cs="Times New Roman"/>
                <w:color w:val="auto"/>
                <w:kern w:val="0"/>
                <w:sz w:val="26"/>
                <w:szCs w:val="26"/>
                <w:lang w:val="en-US" w:eastAsia="zh-CN"/>
              </w:rPr>
              <w:t>回收装置废气</w:t>
            </w:r>
            <w:r>
              <w:rPr>
                <w:rFonts w:hint="eastAsia" w:ascii="Times New Roman" w:hAnsi="Times New Roman" w:eastAsia="宋体" w:cs="Times New Roman"/>
                <w:color w:val="auto"/>
                <w:kern w:val="0"/>
                <w:sz w:val="26"/>
                <w:szCs w:val="26"/>
                <w:lang w:val="en-US" w:eastAsia="zh-CN"/>
              </w:rPr>
              <w:t>G7</w:t>
            </w:r>
          </w:p>
          <w:p w14:paraId="196EE332">
            <w:pPr>
              <w:keepNext w:val="0"/>
              <w:keepLines w:val="0"/>
              <w:pageBreakBefore w:val="0"/>
              <w:widowControl w:val="0"/>
              <w:kinsoku/>
              <w:wordWrap/>
              <w:overflowPunct/>
              <w:topLinePunct w:val="0"/>
              <w:bidi w:val="0"/>
              <w:snapToGrid/>
              <w:spacing w:line="460" w:lineRule="exact"/>
              <w:ind w:firstLine="520" w:firstLineChars="200"/>
              <w:textAlignment w:val="auto"/>
              <w:rPr>
                <w:rFonts w:hint="default" w:ascii="Times New Roman" w:hAnsi="Times New Roman" w:eastAsia="宋体" w:cs="Times New Roman"/>
                <w:color w:val="auto"/>
                <w:kern w:val="0"/>
                <w:sz w:val="26"/>
                <w:szCs w:val="26"/>
                <w:lang w:val="en-US" w:eastAsia="zh-CN"/>
              </w:rPr>
            </w:pPr>
            <w:r>
              <w:rPr>
                <w:rFonts w:hint="default" w:ascii="Times New Roman" w:hAnsi="Times New Roman" w:eastAsia="宋体" w:cs="Times New Roman"/>
                <w:color w:val="auto"/>
                <w:kern w:val="0"/>
                <w:sz w:val="26"/>
                <w:szCs w:val="26"/>
                <w:lang w:val="en-US" w:eastAsia="zh-CN"/>
              </w:rPr>
              <w:t>铝灰渣产生量与入炉原料的纯度有关，原料纯度越低，则铝灰渣</w:t>
            </w:r>
            <w:r>
              <w:rPr>
                <w:rFonts w:hint="eastAsia" w:ascii="Times New Roman" w:hAnsi="Times New Roman" w:eastAsia="宋体" w:cs="Times New Roman"/>
                <w:color w:val="auto"/>
                <w:kern w:val="0"/>
                <w:sz w:val="26"/>
                <w:szCs w:val="26"/>
                <w:lang w:val="en-US" w:eastAsia="zh-CN"/>
              </w:rPr>
              <w:t>（即一次铝灰）</w:t>
            </w:r>
            <w:r>
              <w:rPr>
                <w:rFonts w:hint="default" w:ascii="Times New Roman" w:hAnsi="Times New Roman" w:eastAsia="宋体" w:cs="Times New Roman"/>
                <w:color w:val="auto"/>
                <w:kern w:val="0"/>
                <w:sz w:val="26"/>
                <w:szCs w:val="26"/>
                <w:lang w:val="en-US" w:eastAsia="zh-CN"/>
              </w:rPr>
              <w:t>产生量越多，约为原料用量的2.5~3.5%，本项目取</w:t>
            </w:r>
            <w:r>
              <w:rPr>
                <w:rFonts w:hint="eastAsia" w:ascii="Times New Roman" w:hAnsi="Times New Roman" w:eastAsia="宋体" w:cs="Times New Roman"/>
                <w:color w:val="auto"/>
                <w:kern w:val="0"/>
                <w:sz w:val="26"/>
                <w:szCs w:val="26"/>
                <w:lang w:val="en-US" w:eastAsia="zh-CN"/>
              </w:rPr>
              <w:t>2.5</w:t>
            </w:r>
            <w:r>
              <w:rPr>
                <w:rFonts w:hint="default" w:ascii="Times New Roman" w:hAnsi="Times New Roman" w:eastAsia="宋体" w:cs="Times New Roman"/>
                <w:color w:val="auto"/>
                <w:kern w:val="0"/>
                <w:sz w:val="26"/>
                <w:szCs w:val="26"/>
                <w:lang w:val="en-US" w:eastAsia="zh-CN"/>
              </w:rPr>
              <w:t>%。根据物料平衡，</w:t>
            </w:r>
            <w:r>
              <w:rPr>
                <w:rFonts w:hint="eastAsia" w:ascii="Times New Roman" w:hAnsi="Times New Roman" w:eastAsia="宋体" w:cs="Times New Roman"/>
                <w:color w:val="auto"/>
                <w:kern w:val="0"/>
                <w:sz w:val="26"/>
                <w:szCs w:val="26"/>
                <w:lang w:val="en-US" w:eastAsia="zh-CN"/>
              </w:rPr>
              <w:t>本项目</w:t>
            </w:r>
            <w:r>
              <w:rPr>
                <w:rFonts w:hint="default" w:ascii="Times New Roman" w:hAnsi="Times New Roman" w:eastAsia="宋体" w:cs="Times New Roman"/>
                <w:color w:val="auto"/>
                <w:kern w:val="0"/>
                <w:sz w:val="26"/>
                <w:szCs w:val="26"/>
                <w:lang w:val="en-US" w:eastAsia="zh-CN"/>
              </w:rPr>
              <w:t>铝灰渣产生量为</w:t>
            </w:r>
            <w:r>
              <w:rPr>
                <w:rFonts w:hint="eastAsia" w:ascii="Times New Roman" w:hAnsi="Times New Roman" w:eastAsia="宋体" w:cs="Times New Roman"/>
                <w:color w:val="auto"/>
                <w:kern w:val="0"/>
                <w:sz w:val="26"/>
                <w:szCs w:val="26"/>
                <w:lang w:val="en-US" w:eastAsia="zh-CN"/>
              </w:rPr>
              <w:t>4038.53</w:t>
            </w:r>
            <w:r>
              <w:rPr>
                <w:rFonts w:hint="default" w:ascii="Times New Roman" w:hAnsi="Times New Roman" w:eastAsia="宋体" w:cs="Times New Roman"/>
                <w:color w:val="auto"/>
                <w:kern w:val="0"/>
                <w:sz w:val="26"/>
                <w:szCs w:val="26"/>
                <w:lang w:val="en-US" w:eastAsia="zh-CN"/>
              </w:rPr>
              <w:t>t/a，炒灰剂选用前述阶段使用的精炼剂，投加比例约1%，即</w:t>
            </w:r>
            <w:r>
              <w:rPr>
                <w:rFonts w:hint="eastAsia" w:ascii="Times New Roman" w:hAnsi="Times New Roman" w:eastAsia="宋体" w:cs="Times New Roman"/>
                <w:color w:val="auto"/>
                <w:kern w:val="0"/>
                <w:sz w:val="26"/>
                <w:szCs w:val="26"/>
                <w:lang w:val="en-US" w:eastAsia="zh-CN"/>
              </w:rPr>
              <w:t>40.385</w:t>
            </w:r>
            <w:r>
              <w:rPr>
                <w:rFonts w:hint="default" w:ascii="Times New Roman" w:hAnsi="Times New Roman" w:eastAsia="宋体" w:cs="Times New Roman"/>
                <w:color w:val="auto"/>
                <w:kern w:val="0"/>
                <w:sz w:val="26"/>
                <w:szCs w:val="26"/>
                <w:lang w:val="en-US" w:eastAsia="zh-CN"/>
              </w:rPr>
              <w:t>t/a。</w:t>
            </w:r>
          </w:p>
          <w:p w14:paraId="32DB0D2F">
            <w:pPr>
              <w:keepNext w:val="0"/>
              <w:keepLines w:val="0"/>
              <w:pageBreakBefore w:val="0"/>
              <w:widowControl w:val="0"/>
              <w:kinsoku/>
              <w:wordWrap/>
              <w:overflowPunct/>
              <w:topLinePunct w:val="0"/>
              <w:bidi w:val="0"/>
              <w:snapToGrid/>
              <w:spacing w:line="460" w:lineRule="exact"/>
              <w:ind w:firstLine="520" w:firstLineChars="200"/>
              <w:textAlignment w:val="auto"/>
              <w:rPr>
                <w:rFonts w:hint="default" w:ascii="Times New Roman" w:hAnsi="Times New Roman" w:eastAsia="宋体" w:cs="Times New Roman"/>
                <w:color w:val="auto"/>
                <w:kern w:val="0"/>
                <w:sz w:val="26"/>
                <w:szCs w:val="26"/>
                <w:lang w:val="en-US" w:eastAsia="zh-CN"/>
              </w:rPr>
            </w:pPr>
            <w:r>
              <w:rPr>
                <w:rFonts w:hint="default" w:ascii="Times New Roman" w:hAnsi="Times New Roman" w:eastAsia="宋体" w:cs="Times New Roman"/>
                <w:color w:val="auto"/>
                <w:kern w:val="0"/>
                <w:sz w:val="26"/>
                <w:szCs w:val="26"/>
                <w:lang w:val="en-US" w:eastAsia="zh-CN"/>
              </w:rPr>
              <w:t>每炉的炉渣进行清渣后立即处理，</w:t>
            </w:r>
            <w:r>
              <w:rPr>
                <w:rFonts w:hint="eastAsia" w:ascii="Times New Roman" w:hAnsi="Times New Roman" w:eastAsia="宋体" w:cs="Times New Roman"/>
                <w:color w:val="auto"/>
                <w:kern w:val="0"/>
                <w:sz w:val="26"/>
                <w:szCs w:val="26"/>
                <w:lang w:val="en-US" w:eastAsia="zh-CN"/>
              </w:rPr>
              <w:t>本项目</w:t>
            </w:r>
            <w:r>
              <w:rPr>
                <w:rFonts w:hint="default" w:ascii="Times New Roman" w:hAnsi="Times New Roman" w:eastAsia="宋体" w:cs="Times New Roman"/>
                <w:color w:val="auto"/>
                <w:kern w:val="0"/>
                <w:sz w:val="26"/>
                <w:szCs w:val="26"/>
                <w:lang w:val="en-US" w:eastAsia="zh-CN"/>
              </w:rPr>
              <w:t>每台炉按单批次对应2次扒渣（即炒灰2次计）</w:t>
            </w:r>
            <w:r>
              <w:rPr>
                <w:rFonts w:hint="eastAsia" w:ascii="Times New Roman" w:hAnsi="Times New Roman" w:eastAsia="宋体" w:cs="Times New Roman"/>
                <w:color w:val="auto"/>
                <w:kern w:val="0"/>
                <w:sz w:val="26"/>
                <w:szCs w:val="26"/>
                <w:lang w:val="en-US" w:eastAsia="zh-CN"/>
              </w:rPr>
              <w:t>，</w:t>
            </w:r>
            <w:r>
              <w:rPr>
                <w:rFonts w:hint="default" w:ascii="Times New Roman" w:hAnsi="Times New Roman" w:eastAsia="宋体" w:cs="Times New Roman"/>
                <w:color w:val="auto"/>
                <w:kern w:val="0"/>
                <w:sz w:val="26"/>
                <w:szCs w:val="26"/>
                <w:lang w:val="en-US" w:eastAsia="zh-CN"/>
              </w:rPr>
              <w:t>即铝灰渣共计产生约</w:t>
            </w:r>
            <w:r>
              <w:rPr>
                <w:rFonts w:hint="eastAsia" w:ascii="Times New Roman" w:hAnsi="Times New Roman" w:eastAsia="宋体" w:cs="Times New Roman"/>
                <w:color w:val="auto"/>
                <w:kern w:val="0"/>
                <w:sz w:val="26"/>
                <w:szCs w:val="26"/>
                <w:lang w:val="en-US" w:eastAsia="zh-CN"/>
              </w:rPr>
              <w:t>5192</w:t>
            </w:r>
            <w:r>
              <w:rPr>
                <w:rFonts w:hint="default" w:ascii="Times New Roman" w:hAnsi="Times New Roman" w:eastAsia="宋体" w:cs="Times New Roman"/>
                <w:color w:val="auto"/>
                <w:kern w:val="0"/>
                <w:sz w:val="26"/>
                <w:szCs w:val="26"/>
                <w:lang w:val="en-US" w:eastAsia="zh-CN"/>
              </w:rPr>
              <w:t>批次/a</w:t>
            </w:r>
            <w:r>
              <w:rPr>
                <w:rFonts w:hint="eastAsia" w:ascii="Times New Roman" w:hAnsi="Times New Roman" w:eastAsia="宋体" w:cs="Times New Roman"/>
                <w:color w:val="auto"/>
                <w:kern w:val="0"/>
                <w:sz w:val="26"/>
                <w:szCs w:val="26"/>
                <w:lang w:val="en-US" w:eastAsia="zh-CN"/>
              </w:rPr>
              <w:t>。</w:t>
            </w:r>
            <w:r>
              <w:rPr>
                <w:rFonts w:hint="default" w:ascii="Times New Roman" w:hAnsi="Times New Roman" w:eastAsia="宋体" w:cs="Times New Roman"/>
                <w:color w:val="auto"/>
                <w:kern w:val="0"/>
                <w:sz w:val="26"/>
                <w:szCs w:val="26"/>
                <w:lang w:val="en-US" w:eastAsia="zh-CN"/>
              </w:rPr>
              <w:t>每批次用时约</w:t>
            </w:r>
            <w:r>
              <w:rPr>
                <w:rFonts w:hint="eastAsia" w:ascii="Times New Roman" w:hAnsi="Times New Roman" w:eastAsia="宋体" w:cs="Times New Roman"/>
                <w:color w:val="auto"/>
                <w:kern w:val="0"/>
                <w:sz w:val="26"/>
                <w:szCs w:val="26"/>
                <w:lang w:val="en-US" w:eastAsia="zh-CN"/>
              </w:rPr>
              <w:t>0.75</w:t>
            </w:r>
            <w:r>
              <w:rPr>
                <w:rFonts w:hint="default" w:ascii="Times New Roman" w:hAnsi="Times New Roman" w:eastAsia="宋体" w:cs="Times New Roman"/>
                <w:color w:val="auto"/>
                <w:kern w:val="0"/>
                <w:sz w:val="26"/>
                <w:szCs w:val="26"/>
                <w:lang w:val="en-US" w:eastAsia="zh-CN"/>
              </w:rPr>
              <w:t>h（炒灰约</w:t>
            </w:r>
            <w:r>
              <w:rPr>
                <w:rFonts w:hint="eastAsia" w:ascii="Times New Roman" w:hAnsi="Times New Roman" w:eastAsia="宋体" w:cs="Times New Roman"/>
                <w:color w:val="auto"/>
                <w:kern w:val="0"/>
                <w:sz w:val="26"/>
                <w:szCs w:val="26"/>
                <w:lang w:val="en-US" w:eastAsia="zh-CN"/>
              </w:rPr>
              <w:t>8</w:t>
            </w:r>
            <w:r>
              <w:rPr>
                <w:rFonts w:hint="default" w:ascii="Times New Roman" w:hAnsi="Times New Roman" w:eastAsia="宋体" w:cs="Times New Roman"/>
                <w:color w:val="auto"/>
                <w:kern w:val="0"/>
                <w:sz w:val="26"/>
                <w:szCs w:val="26"/>
                <w:lang w:val="en-US" w:eastAsia="zh-CN"/>
              </w:rPr>
              <w:t>~</w:t>
            </w:r>
            <w:r>
              <w:rPr>
                <w:rFonts w:hint="eastAsia" w:ascii="Times New Roman" w:hAnsi="Times New Roman" w:eastAsia="宋体" w:cs="Times New Roman"/>
                <w:color w:val="auto"/>
                <w:kern w:val="0"/>
                <w:sz w:val="26"/>
                <w:szCs w:val="26"/>
                <w:lang w:val="en-US" w:eastAsia="zh-CN"/>
              </w:rPr>
              <w:t>15</w:t>
            </w:r>
            <w:r>
              <w:rPr>
                <w:rFonts w:hint="default" w:ascii="Times New Roman" w:hAnsi="Times New Roman" w:eastAsia="宋体" w:cs="Times New Roman"/>
                <w:color w:val="auto"/>
                <w:kern w:val="0"/>
                <w:sz w:val="26"/>
                <w:szCs w:val="26"/>
                <w:lang w:val="en-US" w:eastAsia="zh-CN"/>
              </w:rPr>
              <w:t>min，冷灰约</w:t>
            </w:r>
            <w:r>
              <w:rPr>
                <w:rFonts w:hint="eastAsia" w:ascii="Times New Roman" w:hAnsi="Times New Roman" w:eastAsia="宋体" w:cs="Times New Roman"/>
                <w:color w:val="auto"/>
                <w:kern w:val="0"/>
                <w:sz w:val="26"/>
                <w:szCs w:val="26"/>
                <w:lang w:val="en-US" w:eastAsia="zh-CN"/>
              </w:rPr>
              <w:t>25</w:t>
            </w:r>
            <w:r>
              <w:rPr>
                <w:rFonts w:hint="default" w:ascii="Times New Roman" w:hAnsi="Times New Roman" w:eastAsia="宋体" w:cs="Times New Roman"/>
                <w:color w:val="auto"/>
                <w:kern w:val="0"/>
                <w:sz w:val="26"/>
                <w:szCs w:val="26"/>
                <w:lang w:val="en-US" w:eastAsia="zh-CN"/>
              </w:rPr>
              <w:t>min，筛分约</w:t>
            </w:r>
            <w:r>
              <w:rPr>
                <w:rFonts w:hint="eastAsia" w:ascii="Times New Roman" w:hAnsi="Times New Roman" w:eastAsia="宋体" w:cs="Times New Roman"/>
                <w:color w:val="auto"/>
                <w:kern w:val="0"/>
                <w:sz w:val="26"/>
                <w:szCs w:val="26"/>
                <w:lang w:val="en-US" w:eastAsia="zh-CN"/>
              </w:rPr>
              <w:t>1</w:t>
            </w:r>
            <w:r>
              <w:rPr>
                <w:rFonts w:hint="default" w:ascii="Times New Roman" w:hAnsi="Times New Roman" w:eastAsia="宋体" w:cs="Times New Roman"/>
                <w:color w:val="auto"/>
                <w:kern w:val="0"/>
                <w:sz w:val="26"/>
                <w:szCs w:val="26"/>
                <w:lang w:val="en-US" w:eastAsia="zh-CN"/>
              </w:rPr>
              <w:t>0min，综合考虑约</w:t>
            </w:r>
            <w:r>
              <w:rPr>
                <w:rFonts w:hint="eastAsia" w:ascii="Times New Roman" w:hAnsi="Times New Roman" w:eastAsia="宋体" w:cs="Times New Roman"/>
                <w:color w:val="auto"/>
                <w:kern w:val="0"/>
                <w:sz w:val="26"/>
                <w:szCs w:val="26"/>
                <w:lang w:val="en-US" w:eastAsia="zh-CN"/>
              </w:rPr>
              <w:t>45</w:t>
            </w:r>
            <w:r>
              <w:rPr>
                <w:rFonts w:hint="default" w:ascii="Times New Roman" w:hAnsi="Times New Roman" w:eastAsia="宋体" w:cs="Times New Roman"/>
                <w:color w:val="auto"/>
                <w:kern w:val="0"/>
                <w:sz w:val="26"/>
                <w:szCs w:val="26"/>
                <w:lang w:val="en-US" w:eastAsia="zh-CN"/>
              </w:rPr>
              <w:t>min），因此该设备运行时间为</w:t>
            </w:r>
            <w:r>
              <w:rPr>
                <w:rFonts w:hint="eastAsia" w:ascii="Times New Roman" w:hAnsi="Times New Roman" w:eastAsia="宋体" w:cs="Times New Roman"/>
                <w:color w:val="auto"/>
                <w:kern w:val="0"/>
                <w:sz w:val="26"/>
                <w:szCs w:val="26"/>
                <w:lang w:val="en-US" w:eastAsia="zh-CN"/>
              </w:rPr>
              <w:t>3894</w:t>
            </w:r>
            <w:r>
              <w:rPr>
                <w:rFonts w:hint="default" w:ascii="Times New Roman" w:hAnsi="Times New Roman" w:eastAsia="宋体" w:cs="Times New Roman"/>
                <w:color w:val="auto"/>
                <w:kern w:val="0"/>
                <w:sz w:val="26"/>
                <w:szCs w:val="26"/>
                <w:lang w:val="en-US" w:eastAsia="zh-CN"/>
              </w:rPr>
              <w:t>h/a。</w:t>
            </w:r>
          </w:p>
          <w:p w14:paraId="531F16BB">
            <w:pPr>
              <w:keepNext w:val="0"/>
              <w:keepLines w:val="0"/>
              <w:pageBreakBefore w:val="0"/>
              <w:widowControl w:val="0"/>
              <w:kinsoku/>
              <w:wordWrap/>
              <w:overflowPunct/>
              <w:topLinePunct w:val="0"/>
              <w:bidi w:val="0"/>
              <w:snapToGrid/>
              <w:spacing w:line="460" w:lineRule="exact"/>
              <w:ind w:firstLine="520" w:firstLineChars="200"/>
              <w:textAlignment w:val="auto"/>
              <w:rPr>
                <w:rFonts w:hint="default" w:ascii="Times New Roman" w:hAnsi="Times New Roman" w:eastAsia="宋体" w:cs="Times New Roman"/>
                <w:color w:val="auto"/>
                <w:kern w:val="0"/>
                <w:sz w:val="26"/>
                <w:szCs w:val="26"/>
                <w:lang w:val="en-US" w:eastAsia="zh-CN"/>
              </w:rPr>
            </w:pPr>
            <w:r>
              <w:rPr>
                <w:rFonts w:hint="default" w:ascii="Times New Roman" w:hAnsi="Times New Roman" w:eastAsia="宋体" w:cs="Times New Roman"/>
                <w:color w:val="auto"/>
                <w:kern w:val="0"/>
                <w:sz w:val="26"/>
                <w:szCs w:val="26"/>
                <w:lang w:val="en-US" w:eastAsia="zh-CN"/>
              </w:rPr>
              <w:t>铝灰渣含铝率一般约35%，</w:t>
            </w:r>
            <w:r>
              <w:rPr>
                <w:rFonts w:hint="eastAsia" w:ascii="Times New Roman" w:hAnsi="Times New Roman" w:eastAsia="宋体" w:cs="Times New Roman"/>
                <w:color w:val="auto"/>
                <w:kern w:val="0"/>
                <w:sz w:val="26"/>
                <w:szCs w:val="26"/>
                <w:lang w:val="en-US" w:eastAsia="zh-CN"/>
              </w:rPr>
              <w:t>铝回收装置</w:t>
            </w:r>
            <w:r>
              <w:rPr>
                <w:rFonts w:hint="default" w:ascii="Times New Roman" w:hAnsi="Times New Roman" w:eastAsia="宋体" w:cs="Times New Roman"/>
                <w:color w:val="auto"/>
                <w:kern w:val="0"/>
                <w:sz w:val="26"/>
                <w:szCs w:val="26"/>
                <w:lang w:val="en-US" w:eastAsia="zh-CN"/>
              </w:rPr>
              <w:t>回收铝约85%，综合回收铝效率约为29.75%，即分离后回收铝约</w:t>
            </w:r>
            <w:r>
              <w:rPr>
                <w:rFonts w:hint="eastAsia" w:ascii="Times New Roman" w:hAnsi="Times New Roman" w:eastAsia="宋体" w:cs="Times New Roman"/>
                <w:color w:val="auto"/>
                <w:kern w:val="0"/>
                <w:sz w:val="26"/>
                <w:szCs w:val="26"/>
                <w:lang w:val="en-US" w:eastAsia="zh-CN"/>
              </w:rPr>
              <w:t>1201.463t/a</w:t>
            </w:r>
            <w:r>
              <w:rPr>
                <w:rFonts w:hint="default" w:ascii="Times New Roman" w:hAnsi="Times New Roman" w:eastAsia="宋体" w:cs="Times New Roman"/>
                <w:color w:val="auto"/>
                <w:kern w:val="0"/>
                <w:sz w:val="26"/>
                <w:szCs w:val="26"/>
                <w:lang w:val="en-US" w:eastAsia="zh-CN"/>
              </w:rPr>
              <w:t>，回用于生产。回收铝回用于</w:t>
            </w:r>
            <w:r>
              <w:rPr>
                <w:rFonts w:hint="eastAsia" w:ascii="Times New Roman" w:hAnsi="Times New Roman" w:eastAsia="宋体" w:cs="Times New Roman"/>
                <w:color w:val="auto"/>
                <w:kern w:val="0"/>
                <w:sz w:val="26"/>
                <w:szCs w:val="26"/>
                <w:lang w:val="en-US" w:eastAsia="zh-CN"/>
              </w:rPr>
              <w:t>本项目</w:t>
            </w:r>
            <w:r>
              <w:rPr>
                <w:rFonts w:hint="default" w:ascii="Times New Roman" w:hAnsi="Times New Roman" w:eastAsia="宋体" w:cs="Times New Roman"/>
                <w:color w:val="auto"/>
                <w:kern w:val="0"/>
                <w:sz w:val="26"/>
                <w:szCs w:val="26"/>
                <w:lang w:val="en-US" w:eastAsia="zh-CN"/>
              </w:rPr>
              <w:t>对应生产炉内，剩余二次铝灰约</w:t>
            </w:r>
            <w:r>
              <w:rPr>
                <w:rFonts w:hint="eastAsia" w:ascii="Times New Roman" w:hAnsi="Times New Roman" w:eastAsia="宋体" w:cs="Times New Roman"/>
                <w:color w:val="auto"/>
                <w:kern w:val="0"/>
                <w:sz w:val="26"/>
                <w:szCs w:val="26"/>
                <w:lang w:val="en-US" w:eastAsia="zh-CN"/>
              </w:rPr>
              <w:t>2775.384t/a</w:t>
            </w:r>
            <w:r>
              <w:rPr>
                <w:rFonts w:hint="default" w:ascii="Times New Roman" w:hAnsi="Times New Roman" w:eastAsia="宋体" w:cs="Times New Roman"/>
                <w:color w:val="auto"/>
                <w:kern w:val="0"/>
                <w:sz w:val="26"/>
                <w:szCs w:val="26"/>
                <w:lang w:val="en-US" w:eastAsia="zh-CN"/>
              </w:rPr>
              <w:t>作为危险废物。</w:t>
            </w:r>
          </w:p>
          <w:p w14:paraId="06C72137">
            <w:pPr>
              <w:keepNext w:val="0"/>
              <w:keepLines w:val="0"/>
              <w:pageBreakBefore w:val="0"/>
              <w:widowControl w:val="0"/>
              <w:kinsoku/>
              <w:wordWrap/>
              <w:overflowPunct/>
              <w:topLinePunct w:val="0"/>
              <w:bidi w:val="0"/>
              <w:snapToGrid/>
              <w:spacing w:line="460" w:lineRule="exact"/>
              <w:ind w:firstLine="520" w:firstLineChars="200"/>
              <w:textAlignment w:val="auto"/>
              <w:rPr>
                <w:rFonts w:hint="default" w:ascii="Times New Roman" w:hAnsi="Times New Roman" w:eastAsia="宋体" w:cs="Times New Roman"/>
                <w:color w:val="auto"/>
                <w:kern w:val="0"/>
                <w:sz w:val="26"/>
                <w:szCs w:val="26"/>
                <w:lang w:val="en-US" w:eastAsia="zh-CN"/>
              </w:rPr>
            </w:pPr>
            <w:r>
              <w:rPr>
                <w:rFonts w:hint="default" w:ascii="Times New Roman" w:hAnsi="Times New Roman" w:eastAsia="宋体" w:cs="Times New Roman"/>
                <w:color w:val="auto"/>
                <w:kern w:val="0"/>
                <w:sz w:val="26"/>
                <w:szCs w:val="26"/>
                <w:lang w:val="en-US" w:eastAsia="zh-CN"/>
              </w:rPr>
              <w:t>烟（粉）尘主要产生于加料、铝渣高速搅拌和出渣，产生量约为铝灰渣的2.5%，即颗粒物产生量为</w:t>
            </w:r>
            <w:r>
              <w:rPr>
                <w:rFonts w:hint="eastAsia" w:ascii="Times New Roman" w:hAnsi="Times New Roman" w:eastAsia="宋体" w:cs="Times New Roman"/>
                <w:color w:val="auto"/>
                <w:kern w:val="0"/>
                <w:sz w:val="26"/>
                <w:szCs w:val="26"/>
                <w:lang w:val="en-US" w:eastAsia="zh-CN"/>
              </w:rPr>
              <w:t>100.96</w:t>
            </w:r>
            <w:r>
              <w:rPr>
                <w:rFonts w:hint="default" w:ascii="Times New Roman" w:hAnsi="Times New Roman" w:eastAsia="宋体" w:cs="Times New Roman"/>
                <w:color w:val="auto"/>
                <w:kern w:val="0"/>
                <w:sz w:val="26"/>
                <w:szCs w:val="26"/>
                <w:lang w:val="en-US" w:eastAsia="zh-CN"/>
              </w:rPr>
              <w:t>t/a。氯化氢及氟化物来源于精炼剂，按照前述取值原则F、Cl-进入废气比例</w:t>
            </w:r>
            <w:r>
              <w:rPr>
                <w:rFonts w:hint="eastAsia" w:ascii="Times New Roman" w:hAnsi="Times New Roman" w:eastAsia="宋体" w:cs="Times New Roman"/>
                <w:color w:val="auto"/>
                <w:kern w:val="0"/>
                <w:sz w:val="26"/>
                <w:szCs w:val="26"/>
                <w:lang w:val="en-US" w:eastAsia="zh-CN"/>
              </w:rPr>
              <w:t>1.5</w:t>
            </w:r>
            <w:r>
              <w:rPr>
                <w:rFonts w:hint="default" w:ascii="Times New Roman" w:hAnsi="Times New Roman" w:eastAsia="宋体" w:cs="Times New Roman"/>
                <w:color w:val="auto"/>
                <w:kern w:val="0"/>
                <w:sz w:val="26"/>
                <w:szCs w:val="26"/>
                <w:lang w:val="en-US" w:eastAsia="zh-CN"/>
              </w:rPr>
              <w:t>%、1</w:t>
            </w:r>
            <w:r>
              <w:rPr>
                <w:rFonts w:hint="eastAsia" w:ascii="Times New Roman" w:hAnsi="Times New Roman" w:eastAsia="宋体" w:cs="Times New Roman"/>
                <w:color w:val="auto"/>
                <w:kern w:val="0"/>
                <w:sz w:val="26"/>
                <w:szCs w:val="26"/>
                <w:lang w:val="en-US" w:eastAsia="zh-CN"/>
              </w:rPr>
              <w:t>1</w:t>
            </w:r>
            <w:r>
              <w:rPr>
                <w:rFonts w:hint="default" w:ascii="Times New Roman" w:hAnsi="Times New Roman" w:eastAsia="宋体" w:cs="Times New Roman"/>
                <w:color w:val="auto"/>
                <w:kern w:val="0"/>
                <w:sz w:val="26"/>
                <w:szCs w:val="26"/>
                <w:lang w:val="en-US" w:eastAsia="zh-CN"/>
              </w:rPr>
              <w:t>%计，即氯化氢产生量为</w:t>
            </w:r>
            <w:r>
              <w:rPr>
                <w:rFonts w:hint="eastAsia" w:ascii="Times New Roman" w:hAnsi="Times New Roman" w:eastAsia="宋体" w:cs="Times New Roman"/>
                <w:color w:val="auto"/>
                <w:kern w:val="0"/>
                <w:sz w:val="26"/>
                <w:szCs w:val="26"/>
                <w:lang w:val="en-US" w:eastAsia="zh-CN"/>
              </w:rPr>
              <w:t>0.9135</w:t>
            </w:r>
            <w:r>
              <w:rPr>
                <w:rFonts w:hint="default" w:ascii="Times New Roman" w:hAnsi="Times New Roman" w:eastAsia="宋体" w:cs="Times New Roman"/>
                <w:color w:val="auto"/>
                <w:kern w:val="0"/>
                <w:sz w:val="26"/>
                <w:szCs w:val="26"/>
                <w:lang w:val="en-US" w:eastAsia="zh-CN"/>
              </w:rPr>
              <w:t>t/a，氟化物产生量为0</w:t>
            </w:r>
            <w:r>
              <w:rPr>
                <w:rFonts w:hint="eastAsia" w:ascii="Times New Roman" w:hAnsi="Times New Roman" w:eastAsia="宋体" w:cs="Times New Roman"/>
                <w:color w:val="auto"/>
                <w:kern w:val="0"/>
                <w:sz w:val="26"/>
                <w:szCs w:val="26"/>
                <w:lang w:val="en-US" w:eastAsia="zh-CN"/>
              </w:rPr>
              <w:t>.191</w:t>
            </w:r>
            <w:r>
              <w:rPr>
                <w:rFonts w:hint="default" w:ascii="Times New Roman" w:hAnsi="Times New Roman" w:eastAsia="宋体" w:cs="Times New Roman"/>
                <w:color w:val="auto"/>
                <w:kern w:val="0"/>
                <w:sz w:val="26"/>
                <w:szCs w:val="26"/>
                <w:lang w:val="en-US" w:eastAsia="zh-CN"/>
              </w:rPr>
              <w:t>t/a。</w:t>
            </w:r>
          </w:p>
          <w:p w14:paraId="20936945">
            <w:pPr>
              <w:widowControl w:val="0"/>
              <w:snapToGrid/>
              <w:spacing w:line="460" w:lineRule="exact"/>
              <w:ind w:firstLine="520" w:firstLineChars="200"/>
              <w:rPr>
                <w:rFonts w:hint="default" w:ascii="Times New Roman" w:hAnsi="Times New Roman" w:eastAsia="宋体" w:cs="Times New Roman"/>
                <w:color w:val="auto"/>
                <w:kern w:val="0"/>
                <w:sz w:val="26"/>
                <w:szCs w:val="26"/>
                <w:lang w:val="en-US" w:eastAsia="zh-CN"/>
              </w:rPr>
            </w:pPr>
            <w:r>
              <w:rPr>
                <w:rFonts w:hint="default" w:ascii="Times New Roman" w:hAnsi="Times New Roman" w:eastAsia="宋体" w:cs="Times New Roman"/>
                <w:color w:val="auto"/>
                <w:kern w:val="0"/>
                <w:sz w:val="26"/>
                <w:szCs w:val="26"/>
                <w:lang w:val="en-US" w:eastAsia="zh-CN"/>
              </w:rPr>
              <w:t>铝回收装置运行时进料口关闭，烟尘通过设备顶部排气口相连的集气管收集，同时进料口和出渣口均设置吸气罩。一体装置考虑5%的逸散，主要通过进料口和出渣口逸散，同时在进料口和出渣口均吸气罩收集，其收集率约80%，因此铝回收装置废气综合收集率可达99%，颗粒物处理效率取99%。</w:t>
            </w:r>
          </w:p>
          <w:p w14:paraId="7F139EDF">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Times New Roman" w:hAnsi="Times New Roman" w:eastAsia="宋体" w:cs="Times New Roman"/>
                <w:color w:val="auto"/>
                <w:kern w:val="0"/>
                <w:sz w:val="26"/>
                <w:szCs w:val="26"/>
                <w:lang w:val="en-US" w:eastAsia="zh-CN"/>
              </w:rPr>
            </w:pPr>
            <w:r>
              <w:rPr>
                <w:rFonts w:hint="default" w:ascii="Times New Roman" w:hAnsi="Times New Roman" w:eastAsia="宋体" w:cs="Times New Roman"/>
                <w:color w:val="auto"/>
                <w:kern w:val="0"/>
                <w:sz w:val="26"/>
                <w:szCs w:val="26"/>
                <w:lang w:val="en-US" w:eastAsia="zh-CN"/>
              </w:rPr>
              <w:t>铝回收装置整体风机风量设计为60000m</w:t>
            </w:r>
            <w:r>
              <w:rPr>
                <w:rFonts w:hint="default" w:ascii="Times New Roman" w:hAnsi="Times New Roman" w:eastAsia="宋体" w:cs="Times New Roman"/>
                <w:color w:val="auto"/>
                <w:kern w:val="0"/>
                <w:sz w:val="26"/>
                <w:szCs w:val="26"/>
                <w:vertAlign w:val="superscript"/>
                <w:lang w:val="en-US" w:eastAsia="zh-CN"/>
              </w:rPr>
              <w:t>3</w:t>
            </w:r>
            <w:r>
              <w:rPr>
                <w:rFonts w:hint="default" w:ascii="Times New Roman" w:hAnsi="Times New Roman" w:eastAsia="宋体" w:cs="Times New Roman"/>
                <w:color w:val="auto"/>
                <w:kern w:val="0"/>
                <w:sz w:val="26"/>
                <w:szCs w:val="26"/>
                <w:lang w:val="en-US" w:eastAsia="zh-CN"/>
              </w:rPr>
              <w:t>/h。</w:t>
            </w:r>
            <w:r>
              <w:rPr>
                <w:rFonts w:hint="eastAsia" w:ascii="Times New Roman" w:hAnsi="Times New Roman" w:eastAsia="宋体" w:cs="Times New Roman"/>
                <w:color w:val="auto"/>
                <w:kern w:val="0"/>
                <w:sz w:val="26"/>
                <w:szCs w:val="26"/>
                <w:lang w:val="en-US" w:eastAsia="zh-CN"/>
              </w:rPr>
              <w:t>本项目铝回收装置废气产排情况如下表所示。</w:t>
            </w:r>
          </w:p>
          <w:p w14:paraId="2AB3B11D">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Times New Roman" w:hAnsi="Times New Roman" w:eastAsia="宋体" w:cs="Times New Roman"/>
                <w:color w:val="auto"/>
                <w:kern w:val="0"/>
                <w:sz w:val="26"/>
                <w:szCs w:val="26"/>
                <w:lang w:val="en-US" w:eastAsia="zh-CN"/>
              </w:rPr>
            </w:pPr>
          </w:p>
          <w:p w14:paraId="0E6D9D24">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Times New Roman" w:hAnsi="Times New Roman" w:eastAsia="宋体" w:cs="Times New Roman"/>
                <w:color w:val="auto"/>
                <w:kern w:val="0"/>
                <w:sz w:val="26"/>
                <w:szCs w:val="26"/>
                <w:lang w:val="en-US" w:eastAsia="zh-CN"/>
              </w:rPr>
            </w:pPr>
          </w:p>
          <w:p w14:paraId="34B1171D">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Times New Roman" w:hAnsi="Times New Roman" w:eastAsia="宋体" w:cs="Times New Roman"/>
                <w:color w:val="auto"/>
                <w:kern w:val="0"/>
                <w:sz w:val="26"/>
                <w:szCs w:val="26"/>
                <w:lang w:val="en-US" w:eastAsia="zh-CN"/>
              </w:rPr>
            </w:pPr>
          </w:p>
        </w:tc>
      </w:tr>
    </w:tbl>
    <w:p w14:paraId="414D04B0">
      <w:pPr>
        <w:rPr>
          <w:color w:val="auto"/>
        </w:rPr>
      </w:pPr>
    </w:p>
    <w:p w14:paraId="16672071">
      <w:pPr>
        <w:rPr>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61DEAEB">
      <w:pPr>
        <w:rPr>
          <w:color w:val="auto"/>
        </w:rPr>
      </w:pPr>
    </w:p>
    <w:p w14:paraId="1A7B99DF">
      <w:pPr>
        <w:rPr>
          <w:color w:val="auto"/>
        </w:rPr>
      </w:pPr>
    </w:p>
    <w:p w14:paraId="7F764FE3">
      <w:pPr>
        <w:rPr>
          <w:color w:val="auto"/>
        </w:rPr>
      </w:pPr>
    </w:p>
    <w:p w14:paraId="11BBEFBD">
      <w:pPr>
        <w:autoSpaceDE w:val="0"/>
        <w:autoSpaceDN w:val="0"/>
        <w:adjustRightInd w:val="0"/>
        <w:spacing w:line="460" w:lineRule="exact"/>
        <w:jc w:val="center"/>
        <w:rPr>
          <w:rFonts w:hint="eastAsia" w:ascii="Times New Roman" w:hAnsi="Times New Roman" w:eastAsia="宋体" w:cs="Times New Roman"/>
          <w:b/>
          <w:color w:val="auto"/>
          <w:sz w:val="26"/>
          <w:szCs w:val="26"/>
          <w:lang w:val="en-US" w:eastAsia="zh-CN"/>
        </w:rPr>
      </w:pPr>
      <w:r>
        <w:rPr>
          <w:rFonts w:hint="eastAsia" w:ascii="Times New Roman" w:hAnsi="Times New Roman" w:eastAsia="宋体" w:cs="Times New Roman"/>
          <w:b/>
          <w:color w:val="auto"/>
          <w:sz w:val="26"/>
          <w:szCs w:val="26"/>
          <w:lang w:val="en-US" w:eastAsia="zh-CN"/>
        </w:rPr>
        <w:t>表4.2-7  本项目铝回收装置废气产生及排放情况表</w:t>
      </w:r>
    </w:p>
    <w:tbl>
      <w:tblPr>
        <w:tblStyle w:val="26"/>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9"/>
        <w:gridCol w:w="603"/>
        <w:gridCol w:w="654"/>
        <w:gridCol w:w="942"/>
        <w:gridCol w:w="942"/>
        <w:gridCol w:w="908"/>
        <w:gridCol w:w="918"/>
        <w:gridCol w:w="1628"/>
        <w:gridCol w:w="715"/>
        <w:gridCol w:w="963"/>
        <w:gridCol w:w="985"/>
        <w:gridCol w:w="873"/>
        <w:gridCol w:w="851"/>
        <w:gridCol w:w="761"/>
        <w:gridCol w:w="590"/>
      </w:tblGrid>
      <w:tr w14:paraId="46D00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07" w:type="dxa"/>
            <w:vMerge w:val="restart"/>
            <w:tcBorders>
              <w:tl2br w:val="nil"/>
              <w:tr2bl w:val="nil"/>
            </w:tcBorders>
            <w:noWrap w:val="0"/>
            <w:vAlign w:val="center"/>
          </w:tcPr>
          <w:p w14:paraId="526EB0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废气类别</w:t>
            </w:r>
          </w:p>
        </w:tc>
        <w:tc>
          <w:tcPr>
            <w:tcW w:w="614" w:type="dxa"/>
            <w:vMerge w:val="restart"/>
            <w:tcBorders>
              <w:tl2br w:val="nil"/>
              <w:tr2bl w:val="nil"/>
            </w:tcBorders>
            <w:noWrap w:val="0"/>
            <w:vAlign w:val="center"/>
          </w:tcPr>
          <w:p w14:paraId="73650F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排气筒</w:t>
            </w:r>
          </w:p>
        </w:tc>
        <w:tc>
          <w:tcPr>
            <w:tcW w:w="666" w:type="dxa"/>
            <w:vMerge w:val="restart"/>
            <w:tcBorders>
              <w:tl2br w:val="nil"/>
              <w:tr2bl w:val="nil"/>
            </w:tcBorders>
            <w:noWrap w:val="0"/>
            <w:vAlign w:val="center"/>
          </w:tcPr>
          <w:p w14:paraId="1D9381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废气产生量m</w:t>
            </w:r>
            <w:r>
              <w:rPr>
                <w:rFonts w:hint="default" w:ascii="Times New Roman" w:hAnsi="Times New Roman" w:eastAsia="宋体" w:cs="Times New Roman"/>
                <w:color w:val="auto"/>
                <w:sz w:val="22"/>
                <w:szCs w:val="22"/>
                <w:vertAlign w:val="superscript"/>
                <w:lang w:val="en-US" w:eastAsia="zh-CN"/>
              </w:rPr>
              <w:t>3</w:t>
            </w:r>
            <w:r>
              <w:rPr>
                <w:rFonts w:hint="default" w:ascii="Times New Roman" w:hAnsi="Times New Roman" w:eastAsia="宋体" w:cs="Times New Roman"/>
                <w:color w:val="auto"/>
                <w:sz w:val="22"/>
                <w:szCs w:val="22"/>
                <w:lang w:val="en-US" w:eastAsia="zh-CN"/>
              </w:rPr>
              <w:t>/h</w:t>
            </w:r>
          </w:p>
        </w:tc>
        <w:tc>
          <w:tcPr>
            <w:tcW w:w="961" w:type="dxa"/>
            <w:vMerge w:val="restart"/>
            <w:tcBorders>
              <w:tl2br w:val="nil"/>
              <w:tr2bl w:val="nil"/>
            </w:tcBorders>
            <w:noWrap w:val="0"/>
            <w:vAlign w:val="center"/>
          </w:tcPr>
          <w:p w14:paraId="2CC48D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污染</w:t>
            </w:r>
          </w:p>
          <w:p w14:paraId="2E8CF9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因子</w:t>
            </w:r>
          </w:p>
        </w:tc>
        <w:tc>
          <w:tcPr>
            <w:tcW w:w="2825" w:type="dxa"/>
            <w:gridSpan w:val="3"/>
            <w:tcBorders>
              <w:tl2br w:val="nil"/>
              <w:tr2bl w:val="nil"/>
            </w:tcBorders>
            <w:noWrap w:val="0"/>
            <w:vAlign w:val="center"/>
          </w:tcPr>
          <w:p w14:paraId="7E0C2D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产生情况</w:t>
            </w:r>
          </w:p>
        </w:tc>
        <w:tc>
          <w:tcPr>
            <w:tcW w:w="2396" w:type="dxa"/>
            <w:gridSpan w:val="2"/>
            <w:tcBorders>
              <w:tl2br w:val="nil"/>
              <w:tr2bl w:val="nil"/>
            </w:tcBorders>
            <w:noWrap w:val="0"/>
            <w:vAlign w:val="center"/>
          </w:tcPr>
          <w:p w14:paraId="6649351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治理情况</w:t>
            </w:r>
          </w:p>
        </w:tc>
        <w:tc>
          <w:tcPr>
            <w:tcW w:w="2882" w:type="dxa"/>
            <w:gridSpan w:val="3"/>
            <w:tcBorders>
              <w:tl2br w:val="nil"/>
              <w:tr2bl w:val="nil"/>
            </w:tcBorders>
            <w:noWrap w:val="0"/>
            <w:vAlign w:val="center"/>
          </w:tcPr>
          <w:p w14:paraId="2BB681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排放情况</w:t>
            </w:r>
            <w:r>
              <w:rPr>
                <w:rFonts w:hint="default" w:ascii="Times New Roman" w:hAnsi="Times New Roman" w:eastAsia="宋体" w:cs="Times New Roman"/>
                <w:color w:val="auto"/>
                <w:sz w:val="22"/>
                <w:szCs w:val="22"/>
                <w:vertAlign w:val="superscript"/>
                <w:lang w:val="en-US" w:eastAsia="zh-CN"/>
              </w:rPr>
              <w:t>①</w:t>
            </w:r>
          </w:p>
        </w:tc>
        <w:tc>
          <w:tcPr>
            <w:tcW w:w="1645" w:type="dxa"/>
            <w:gridSpan w:val="2"/>
            <w:tcBorders>
              <w:tl2br w:val="nil"/>
              <w:tr2bl w:val="nil"/>
            </w:tcBorders>
            <w:noWrap w:val="0"/>
            <w:vAlign w:val="center"/>
          </w:tcPr>
          <w:p w14:paraId="1AD36C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排放标准</w:t>
            </w:r>
          </w:p>
        </w:tc>
        <w:tc>
          <w:tcPr>
            <w:tcW w:w="600" w:type="dxa"/>
            <w:vMerge w:val="restart"/>
            <w:tcBorders>
              <w:tl2br w:val="nil"/>
              <w:tr2bl w:val="nil"/>
            </w:tcBorders>
            <w:noWrap w:val="0"/>
            <w:vAlign w:val="center"/>
          </w:tcPr>
          <w:p w14:paraId="75AF74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排放时间h/a</w:t>
            </w:r>
          </w:p>
        </w:tc>
      </w:tr>
      <w:tr w14:paraId="29517A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07" w:type="dxa"/>
            <w:vMerge w:val="continue"/>
            <w:tcBorders>
              <w:tl2br w:val="nil"/>
              <w:tr2bl w:val="nil"/>
            </w:tcBorders>
            <w:noWrap w:val="0"/>
            <w:vAlign w:val="center"/>
          </w:tcPr>
          <w:p w14:paraId="76F614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614" w:type="dxa"/>
            <w:vMerge w:val="continue"/>
            <w:tcBorders>
              <w:tl2br w:val="nil"/>
              <w:tr2bl w:val="nil"/>
            </w:tcBorders>
            <w:noWrap w:val="0"/>
            <w:vAlign w:val="center"/>
          </w:tcPr>
          <w:p w14:paraId="4765FD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666" w:type="dxa"/>
            <w:vMerge w:val="continue"/>
            <w:tcBorders>
              <w:tl2br w:val="nil"/>
              <w:tr2bl w:val="nil"/>
            </w:tcBorders>
            <w:noWrap w:val="0"/>
            <w:vAlign w:val="center"/>
          </w:tcPr>
          <w:p w14:paraId="1777D8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961" w:type="dxa"/>
            <w:vMerge w:val="continue"/>
            <w:tcBorders>
              <w:tl2br w:val="nil"/>
              <w:tr2bl w:val="nil"/>
            </w:tcBorders>
            <w:noWrap w:val="0"/>
            <w:vAlign w:val="center"/>
          </w:tcPr>
          <w:p w14:paraId="0F2568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961" w:type="dxa"/>
            <w:tcBorders>
              <w:tl2br w:val="nil"/>
              <w:tr2bl w:val="nil"/>
            </w:tcBorders>
            <w:noWrap w:val="0"/>
            <w:vAlign w:val="center"/>
          </w:tcPr>
          <w:p w14:paraId="2BCCE4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产生浓度mg/m</w:t>
            </w:r>
            <w:r>
              <w:rPr>
                <w:rFonts w:hint="default" w:ascii="Times New Roman" w:hAnsi="Times New Roman" w:eastAsia="宋体" w:cs="Times New Roman"/>
                <w:color w:val="auto"/>
                <w:sz w:val="22"/>
                <w:szCs w:val="22"/>
                <w:vertAlign w:val="superscript"/>
                <w:lang w:val="en-US" w:eastAsia="zh-CN"/>
              </w:rPr>
              <w:t>3</w:t>
            </w:r>
          </w:p>
        </w:tc>
        <w:tc>
          <w:tcPr>
            <w:tcW w:w="927" w:type="dxa"/>
            <w:tcBorders>
              <w:tl2br w:val="nil"/>
              <w:tr2bl w:val="nil"/>
            </w:tcBorders>
            <w:noWrap w:val="0"/>
            <w:vAlign w:val="center"/>
          </w:tcPr>
          <w:p w14:paraId="43146F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产生速率kg/h</w:t>
            </w:r>
          </w:p>
        </w:tc>
        <w:tc>
          <w:tcPr>
            <w:tcW w:w="937" w:type="dxa"/>
            <w:tcBorders>
              <w:tl2br w:val="nil"/>
              <w:tr2bl w:val="nil"/>
            </w:tcBorders>
            <w:noWrap w:val="0"/>
            <w:vAlign w:val="center"/>
          </w:tcPr>
          <w:p w14:paraId="603DFB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产生量t/a</w:t>
            </w:r>
          </w:p>
        </w:tc>
        <w:tc>
          <w:tcPr>
            <w:tcW w:w="1667" w:type="dxa"/>
            <w:tcBorders>
              <w:tl2br w:val="nil"/>
              <w:tr2bl w:val="nil"/>
            </w:tcBorders>
            <w:noWrap w:val="0"/>
            <w:vAlign w:val="center"/>
          </w:tcPr>
          <w:p w14:paraId="08784F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治理</w:t>
            </w:r>
          </w:p>
          <w:p w14:paraId="31798A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措施</w:t>
            </w:r>
          </w:p>
        </w:tc>
        <w:tc>
          <w:tcPr>
            <w:tcW w:w="729" w:type="dxa"/>
            <w:tcBorders>
              <w:tl2br w:val="nil"/>
              <w:tr2bl w:val="nil"/>
            </w:tcBorders>
            <w:noWrap w:val="0"/>
            <w:vAlign w:val="center"/>
          </w:tcPr>
          <w:p w14:paraId="472BC8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治理效率%</w:t>
            </w:r>
          </w:p>
        </w:tc>
        <w:tc>
          <w:tcPr>
            <w:tcW w:w="984" w:type="dxa"/>
            <w:tcBorders>
              <w:tl2br w:val="nil"/>
              <w:tr2bl w:val="nil"/>
            </w:tcBorders>
            <w:noWrap w:val="0"/>
            <w:vAlign w:val="center"/>
          </w:tcPr>
          <w:p w14:paraId="53E3CC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排放浓度mg/m</w:t>
            </w:r>
            <w:r>
              <w:rPr>
                <w:rFonts w:hint="default" w:ascii="Times New Roman" w:hAnsi="Times New Roman" w:eastAsia="宋体" w:cs="Times New Roman"/>
                <w:color w:val="auto"/>
                <w:sz w:val="22"/>
                <w:szCs w:val="22"/>
                <w:vertAlign w:val="superscript"/>
                <w:lang w:val="en-US" w:eastAsia="zh-CN"/>
              </w:rPr>
              <w:t>3</w:t>
            </w:r>
          </w:p>
        </w:tc>
        <w:tc>
          <w:tcPr>
            <w:tcW w:w="1007" w:type="dxa"/>
            <w:tcBorders>
              <w:tl2br w:val="nil"/>
              <w:tr2bl w:val="nil"/>
            </w:tcBorders>
            <w:noWrap w:val="0"/>
            <w:vAlign w:val="center"/>
          </w:tcPr>
          <w:p w14:paraId="0EC697E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排放速率kg/h</w:t>
            </w:r>
          </w:p>
        </w:tc>
        <w:tc>
          <w:tcPr>
            <w:tcW w:w="891" w:type="dxa"/>
            <w:tcBorders>
              <w:tl2br w:val="nil"/>
              <w:tr2bl w:val="nil"/>
            </w:tcBorders>
            <w:noWrap w:val="0"/>
            <w:vAlign w:val="center"/>
          </w:tcPr>
          <w:p w14:paraId="5A0B27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排放量t/a</w:t>
            </w:r>
          </w:p>
        </w:tc>
        <w:tc>
          <w:tcPr>
            <w:tcW w:w="869" w:type="dxa"/>
            <w:tcBorders>
              <w:tl2br w:val="nil"/>
              <w:tr2bl w:val="nil"/>
            </w:tcBorders>
            <w:noWrap w:val="0"/>
            <w:vAlign w:val="center"/>
          </w:tcPr>
          <w:p w14:paraId="1FB1ACD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排放浓度mg/m</w:t>
            </w:r>
            <w:r>
              <w:rPr>
                <w:rFonts w:hint="default" w:ascii="Times New Roman" w:hAnsi="Times New Roman" w:eastAsia="宋体" w:cs="Times New Roman"/>
                <w:color w:val="auto"/>
                <w:sz w:val="22"/>
                <w:szCs w:val="22"/>
                <w:vertAlign w:val="superscript"/>
                <w:lang w:val="en-US" w:eastAsia="zh-CN"/>
              </w:rPr>
              <w:t>3</w:t>
            </w:r>
          </w:p>
        </w:tc>
        <w:tc>
          <w:tcPr>
            <w:tcW w:w="776" w:type="dxa"/>
            <w:tcBorders>
              <w:tl2br w:val="nil"/>
              <w:tr2bl w:val="nil"/>
            </w:tcBorders>
            <w:noWrap w:val="0"/>
            <w:vAlign w:val="center"/>
          </w:tcPr>
          <w:p w14:paraId="5E84E4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排放速率kg/h</w:t>
            </w:r>
          </w:p>
        </w:tc>
        <w:tc>
          <w:tcPr>
            <w:tcW w:w="600" w:type="dxa"/>
            <w:vMerge w:val="continue"/>
            <w:tcBorders>
              <w:tl2br w:val="nil"/>
              <w:tr2bl w:val="nil"/>
            </w:tcBorders>
            <w:noWrap w:val="0"/>
            <w:vAlign w:val="center"/>
          </w:tcPr>
          <w:p w14:paraId="0F3019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r>
      <w:tr w14:paraId="09DD7A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096" w:type="dxa"/>
            <w:gridSpan w:val="15"/>
            <w:tcBorders>
              <w:tl2br w:val="nil"/>
              <w:tr2bl w:val="nil"/>
            </w:tcBorders>
            <w:noWrap w:val="0"/>
            <w:vAlign w:val="center"/>
          </w:tcPr>
          <w:p w14:paraId="424107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有组织排放</w:t>
            </w:r>
          </w:p>
        </w:tc>
      </w:tr>
      <w:tr w14:paraId="54F4B5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507" w:type="dxa"/>
            <w:vMerge w:val="restart"/>
            <w:tcBorders>
              <w:tl2br w:val="nil"/>
              <w:tr2bl w:val="nil"/>
            </w:tcBorders>
            <w:noWrap w:val="0"/>
            <w:vAlign w:val="center"/>
          </w:tcPr>
          <w:p w14:paraId="0E5844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铝回收装置废气</w:t>
            </w:r>
          </w:p>
        </w:tc>
        <w:tc>
          <w:tcPr>
            <w:tcW w:w="614" w:type="dxa"/>
            <w:vMerge w:val="restart"/>
            <w:tcBorders>
              <w:tl2br w:val="nil"/>
              <w:tr2bl w:val="nil"/>
            </w:tcBorders>
            <w:noWrap w:val="0"/>
            <w:vAlign w:val="center"/>
          </w:tcPr>
          <w:p w14:paraId="0C4B51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DA003</w:t>
            </w:r>
          </w:p>
        </w:tc>
        <w:tc>
          <w:tcPr>
            <w:tcW w:w="666" w:type="dxa"/>
            <w:vMerge w:val="restart"/>
            <w:tcBorders>
              <w:tl2br w:val="nil"/>
              <w:tr2bl w:val="nil"/>
            </w:tcBorders>
            <w:noWrap w:val="0"/>
            <w:vAlign w:val="center"/>
          </w:tcPr>
          <w:p w14:paraId="45763E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60000</w:t>
            </w:r>
          </w:p>
        </w:tc>
        <w:tc>
          <w:tcPr>
            <w:tcW w:w="961" w:type="dxa"/>
            <w:tcBorders>
              <w:tl2br w:val="nil"/>
              <w:tr2bl w:val="nil"/>
            </w:tcBorders>
            <w:noWrap w:val="0"/>
            <w:vAlign w:val="center"/>
          </w:tcPr>
          <w:p w14:paraId="3E7D37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颗粒物</w:t>
            </w:r>
          </w:p>
        </w:tc>
        <w:tc>
          <w:tcPr>
            <w:tcW w:w="961" w:type="dxa"/>
            <w:tcBorders>
              <w:tl2br w:val="nil"/>
              <w:tr2bl w:val="nil"/>
            </w:tcBorders>
            <w:noWrap w:val="0"/>
            <w:vAlign w:val="center"/>
          </w:tcPr>
          <w:p w14:paraId="3784A1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427.81</w:t>
            </w:r>
          </w:p>
        </w:tc>
        <w:tc>
          <w:tcPr>
            <w:tcW w:w="927" w:type="dxa"/>
            <w:tcBorders>
              <w:tl2br w:val="nil"/>
              <w:tr2bl w:val="nil"/>
            </w:tcBorders>
            <w:noWrap w:val="0"/>
            <w:vAlign w:val="center"/>
          </w:tcPr>
          <w:p w14:paraId="0E5123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25.67</w:t>
            </w:r>
          </w:p>
        </w:tc>
        <w:tc>
          <w:tcPr>
            <w:tcW w:w="937" w:type="dxa"/>
            <w:tcBorders>
              <w:tl2br w:val="nil"/>
              <w:tr2bl w:val="nil"/>
            </w:tcBorders>
            <w:noWrap w:val="0"/>
            <w:vAlign w:val="center"/>
          </w:tcPr>
          <w:p w14:paraId="13A4CF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99.95</w:t>
            </w:r>
          </w:p>
        </w:tc>
        <w:tc>
          <w:tcPr>
            <w:tcW w:w="1667" w:type="dxa"/>
            <w:vMerge w:val="restart"/>
            <w:tcBorders>
              <w:tl2br w:val="nil"/>
              <w:tr2bl w:val="nil"/>
            </w:tcBorders>
            <w:noWrap w:val="0"/>
            <w:vAlign w:val="center"/>
          </w:tcPr>
          <w:p w14:paraId="1C5742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收集效率99%，经“重力沉降+低压脉冲袋式除尘器”处理，由20m排气筒（DA003）排放</w:t>
            </w:r>
          </w:p>
        </w:tc>
        <w:tc>
          <w:tcPr>
            <w:tcW w:w="729" w:type="dxa"/>
            <w:tcBorders>
              <w:tl2br w:val="nil"/>
              <w:tr2bl w:val="nil"/>
            </w:tcBorders>
            <w:noWrap w:val="0"/>
            <w:vAlign w:val="center"/>
          </w:tcPr>
          <w:p w14:paraId="5EEEF2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99%</w:t>
            </w:r>
          </w:p>
        </w:tc>
        <w:tc>
          <w:tcPr>
            <w:tcW w:w="984" w:type="dxa"/>
            <w:tcBorders>
              <w:tl2br w:val="nil"/>
              <w:tr2bl w:val="nil"/>
            </w:tcBorders>
            <w:noWrap w:val="0"/>
            <w:vAlign w:val="center"/>
          </w:tcPr>
          <w:p w14:paraId="0066D3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4.28</w:t>
            </w:r>
          </w:p>
        </w:tc>
        <w:tc>
          <w:tcPr>
            <w:tcW w:w="1007" w:type="dxa"/>
            <w:tcBorders>
              <w:tl2br w:val="nil"/>
              <w:tr2bl w:val="nil"/>
            </w:tcBorders>
            <w:noWrap w:val="0"/>
            <w:vAlign w:val="center"/>
          </w:tcPr>
          <w:p w14:paraId="4B9AE0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0.26</w:t>
            </w:r>
          </w:p>
        </w:tc>
        <w:tc>
          <w:tcPr>
            <w:tcW w:w="891" w:type="dxa"/>
            <w:tcBorders>
              <w:tl2br w:val="nil"/>
              <w:tr2bl w:val="nil"/>
            </w:tcBorders>
            <w:noWrap w:val="0"/>
            <w:vAlign w:val="center"/>
          </w:tcPr>
          <w:p w14:paraId="6558212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1.0</w:t>
            </w:r>
          </w:p>
        </w:tc>
        <w:tc>
          <w:tcPr>
            <w:tcW w:w="869" w:type="dxa"/>
            <w:tcBorders>
              <w:tl2br w:val="nil"/>
              <w:tr2bl w:val="nil"/>
            </w:tcBorders>
            <w:noWrap w:val="0"/>
            <w:vAlign w:val="center"/>
          </w:tcPr>
          <w:p w14:paraId="1559B1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30</w:t>
            </w:r>
          </w:p>
        </w:tc>
        <w:tc>
          <w:tcPr>
            <w:tcW w:w="776" w:type="dxa"/>
            <w:tcBorders>
              <w:tl2br w:val="nil"/>
              <w:tr2bl w:val="nil"/>
            </w:tcBorders>
            <w:noWrap w:val="0"/>
            <w:vAlign w:val="center"/>
          </w:tcPr>
          <w:p w14:paraId="0DE9B9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600" w:type="dxa"/>
            <w:vMerge w:val="restart"/>
            <w:tcBorders>
              <w:tl2br w:val="nil"/>
              <w:tr2bl w:val="nil"/>
            </w:tcBorders>
            <w:noWrap w:val="0"/>
            <w:vAlign w:val="center"/>
          </w:tcPr>
          <w:p w14:paraId="2B0852A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3894</w:t>
            </w:r>
          </w:p>
        </w:tc>
      </w:tr>
      <w:tr w14:paraId="269EA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507" w:type="dxa"/>
            <w:vMerge w:val="continue"/>
            <w:tcBorders>
              <w:tl2br w:val="nil"/>
              <w:tr2bl w:val="nil"/>
            </w:tcBorders>
            <w:noWrap w:val="0"/>
            <w:vAlign w:val="center"/>
          </w:tcPr>
          <w:p w14:paraId="7C9605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614" w:type="dxa"/>
            <w:vMerge w:val="continue"/>
            <w:tcBorders>
              <w:tl2br w:val="nil"/>
              <w:tr2bl w:val="nil"/>
            </w:tcBorders>
            <w:noWrap w:val="0"/>
            <w:vAlign w:val="center"/>
          </w:tcPr>
          <w:p w14:paraId="69F3AE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666" w:type="dxa"/>
            <w:vMerge w:val="continue"/>
            <w:tcBorders>
              <w:tl2br w:val="nil"/>
              <w:tr2bl w:val="nil"/>
            </w:tcBorders>
            <w:noWrap w:val="0"/>
            <w:vAlign w:val="center"/>
          </w:tcPr>
          <w:p w14:paraId="482DB0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961" w:type="dxa"/>
            <w:tcBorders>
              <w:tl2br w:val="nil"/>
              <w:tr2bl w:val="nil"/>
            </w:tcBorders>
            <w:noWrap w:val="0"/>
            <w:vAlign w:val="center"/>
          </w:tcPr>
          <w:p w14:paraId="7B7F824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HCl</w:t>
            </w:r>
          </w:p>
        </w:tc>
        <w:tc>
          <w:tcPr>
            <w:tcW w:w="961" w:type="dxa"/>
            <w:tcBorders>
              <w:tl2br w:val="nil"/>
              <w:tr2bl w:val="nil"/>
            </w:tcBorders>
            <w:noWrap w:val="0"/>
            <w:vAlign w:val="center"/>
          </w:tcPr>
          <w:p w14:paraId="06FA51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3.87</w:t>
            </w:r>
          </w:p>
        </w:tc>
        <w:tc>
          <w:tcPr>
            <w:tcW w:w="927" w:type="dxa"/>
            <w:tcBorders>
              <w:tl2br w:val="nil"/>
              <w:tr2bl w:val="nil"/>
            </w:tcBorders>
            <w:noWrap w:val="0"/>
            <w:vAlign w:val="center"/>
          </w:tcPr>
          <w:p w14:paraId="36A81E5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0.23</w:t>
            </w:r>
          </w:p>
        </w:tc>
        <w:tc>
          <w:tcPr>
            <w:tcW w:w="937" w:type="dxa"/>
            <w:tcBorders>
              <w:tl2br w:val="nil"/>
              <w:tr2bl w:val="nil"/>
            </w:tcBorders>
            <w:noWrap w:val="0"/>
            <w:vAlign w:val="center"/>
          </w:tcPr>
          <w:p w14:paraId="527D51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0.904</w:t>
            </w:r>
          </w:p>
        </w:tc>
        <w:tc>
          <w:tcPr>
            <w:tcW w:w="1667" w:type="dxa"/>
            <w:vMerge w:val="continue"/>
            <w:tcBorders>
              <w:tl2br w:val="nil"/>
              <w:tr2bl w:val="nil"/>
            </w:tcBorders>
            <w:noWrap w:val="0"/>
            <w:vAlign w:val="center"/>
          </w:tcPr>
          <w:p w14:paraId="0A5995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729" w:type="dxa"/>
            <w:tcBorders>
              <w:tl2br w:val="nil"/>
              <w:tr2bl w:val="nil"/>
            </w:tcBorders>
            <w:noWrap w:val="0"/>
            <w:vAlign w:val="center"/>
          </w:tcPr>
          <w:p w14:paraId="5268E3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w:t>
            </w:r>
          </w:p>
        </w:tc>
        <w:tc>
          <w:tcPr>
            <w:tcW w:w="984" w:type="dxa"/>
            <w:tcBorders>
              <w:tl2br w:val="nil"/>
              <w:tr2bl w:val="nil"/>
            </w:tcBorders>
            <w:noWrap w:val="0"/>
            <w:vAlign w:val="center"/>
          </w:tcPr>
          <w:p w14:paraId="01208CF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3.87</w:t>
            </w:r>
          </w:p>
        </w:tc>
        <w:tc>
          <w:tcPr>
            <w:tcW w:w="1007" w:type="dxa"/>
            <w:tcBorders>
              <w:tl2br w:val="nil"/>
              <w:tr2bl w:val="nil"/>
            </w:tcBorders>
            <w:noWrap w:val="0"/>
            <w:vAlign w:val="center"/>
          </w:tcPr>
          <w:p w14:paraId="38914B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0.23</w:t>
            </w:r>
          </w:p>
        </w:tc>
        <w:tc>
          <w:tcPr>
            <w:tcW w:w="891" w:type="dxa"/>
            <w:tcBorders>
              <w:tl2br w:val="nil"/>
              <w:tr2bl w:val="nil"/>
            </w:tcBorders>
            <w:noWrap w:val="0"/>
            <w:vAlign w:val="center"/>
          </w:tcPr>
          <w:p w14:paraId="1DC536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0.9</w:t>
            </w:r>
          </w:p>
        </w:tc>
        <w:tc>
          <w:tcPr>
            <w:tcW w:w="869" w:type="dxa"/>
            <w:tcBorders>
              <w:tl2br w:val="nil"/>
              <w:tr2bl w:val="nil"/>
            </w:tcBorders>
            <w:noWrap w:val="0"/>
            <w:vAlign w:val="center"/>
          </w:tcPr>
          <w:p w14:paraId="5ED76C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100</w:t>
            </w:r>
          </w:p>
        </w:tc>
        <w:tc>
          <w:tcPr>
            <w:tcW w:w="776" w:type="dxa"/>
            <w:tcBorders>
              <w:tl2br w:val="nil"/>
              <w:tr2bl w:val="nil"/>
            </w:tcBorders>
            <w:noWrap w:val="0"/>
            <w:vAlign w:val="center"/>
          </w:tcPr>
          <w:p w14:paraId="6947C21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0.43</w:t>
            </w:r>
          </w:p>
        </w:tc>
        <w:tc>
          <w:tcPr>
            <w:tcW w:w="600" w:type="dxa"/>
            <w:vMerge w:val="continue"/>
            <w:tcBorders>
              <w:tl2br w:val="nil"/>
              <w:tr2bl w:val="nil"/>
            </w:tcBorders>
            <w:noWrap w:val="0"/>
            <w:vAlign w:val="center"/>
          </w:tcPr>
          <w:p w14:paraId="71C4D9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r>
      <w:tr w14:paraId="522CE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07" w:type="dxa"/>
            <w:vMerge w:val="continue"/>
            <w:tcBorders>
              <w:tl2br w:val="nil"/>
              <w:tr2bl w:val="nil"/>
            </w:tcBorders>
            <w:noWrap w:val="0"/>
            <w:vAlign w:val="center"/>
          </w:tcPr>
          <w:p w14:paraId="5453DC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614" w:type="dxa"/>
            <w:vMerge w:val="continue"/>
            <w:tcBorders>
              <w:tl2br w:val="nil"/>
              <w:tr2bl w:val="nil"/>
            </w:tcBorders>
            <w:noWrap w:val="0"/>
            <w:vAlign w:val="center"/>
          </w:tcPr>
          <w:p w14:paraId="508FE9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666" w:type="dxa"/>
            <w:vMerge w:val="continue"/>
            <w:tcBorders>
              <w:tl2br w:val="nil"/>
              <w:tr2bl w:val="nil"/>
            </w:tcBorders>
            <w:noWrap w:val="0"/>
            <w:vAlign w:val="center"/>
          </w:tcPr>
          <w:p w14:paraId="45FDB2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961" w:type="dxa"/>
            <w:tcBorders>
              <w:tl2br w:val="nil"/>
              <w:tr2bl w:val="nil"/>
            </w:tcBorders>
            <w:noWrap w:val="0"/>
            <w:vAlign w:val="center"/>
          </w:tcPr>
          <w:p w14:paraId="7C0DFB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氟化物</w:t>
            </w:r>
          </w:p>
        </w:tc>
        <w:tc>
          <w:tcPr>
            <w:tcW w:w="961" w:type="dxa"/>
            <w:tcBorders>
              <w:tl2br w:val="nil"/>
              <w:tr2bl w:val="nil"/>
            </w:tcBorders>
            <w:noWrap w:val="0"/>
            <w:vAlign w:val="center"/>
          </w:tcPr>
          <w:p w14:paraId="709238C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0.81</w:t>
            </w:r>
          </w:p>
        </w:tc>
        <w:tc>
          <w:tcPr>
            <w:tcW w:w="927" w:type="dxa"/>
            <w:tcBorders>
              <w:tl2br w:val="nil"/>
              <w:tr2bl w:val="nil"/>
            </w:tcBorders>
            <w:noWrap w:val="0"/>
            <w:vAlign w:val="center"/>
          </w:tcPr>
          <w:p w14:paraId="635127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0.049</w:t>
            </w:r>
          </w:p>
        </w:tc>
        <w:tc>
          <w:tcPr>
            <w:tcW w:w="937" w:type="dxa"/>
            <w:tcBorders>
              <w:tl2br w:val="nil"/>
              <w:tr2bl w:val="nil"/>
            </w:tcBorders>
            <w:noWrap w:val="0"/>
            <w:vAlign w:val="center"/>
          </w:tcPr>
          <w:p w14:paraId="795385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0.19</w:t>
            </w:r>
          </w:p>
        </w:tc>
        <w:tc>
          <w:tcPr>
            <w:tcW w:w="1667" w:type="dxa"/>
            <w:vMerge w:val="continue"/>
            <w:tcBorders>
              <w:tl2br w:val="nil"/>
              <w:tr2bl w:val="nil"/>
            </w:tcBorders>
            <w:noWrap w:val="0"/>
            <w:vAlign w:val="center"/>
          </w:tcPr>
          <w:p w14:paraId="082218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729" w:type="dxa"/>
            <w:tcBorders>
              <w:tl2br w:val="nil"/>
              <w:tr2bl w:val="nil"/>
            </w:tcBorders>
            <w:noWrap w:val="0"/>
            <w:vAlign w:val="center"/>
          </w:tcPr>
          <w:p w14:paraId="391E50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w:t>
            </w:r>
          </w:p>
        </w:tc>
        <w:tc>
          <w:tcPr>
            <w:tcW w:w="984" w:type="dxa"/>
            <w:tcBorders>
              <w:tl2br w:val="nil"/>
              <w:tr2bl w:val="nil"/>
            </w:tcBorders>
            <w:noWrap w:val="0"/>
            <w:vAlign w:val="center"/>
          </w:tcPr>
          <w:p w14:paraId="0312ED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0.81</w:t>
            </w:r>
          </w:p>
        </w:tc>
        <w:tc>
          <w:tcPr>
            <w:tcW w:w="1007" w:type="dxa"/>
            <w:tcBorders>
              <w:tl2br w:val="nil"/>
              <w:tr2bl w:val="nil"/>
            </w:tcBorders>
            <w:noWrap w:val="0"/>
            <w:vAlign w:val="center"/>
          </w:tcPr>
          <w:p w14:paraId="09A387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0.049</w:t>
            </w:r>
          </w:p>
        </w:tc>
        <w:tc>
          <w:tcPr>
            <w:tcW w:w="891" w:type="dxa"/>
            <w:tcBorders>
              <w:tl2br w:val="nil"/>
              <w:tr2bl w:val="nil"/>
            </w:tcBorders>
            <w:noWrap w:val="0"/>
            <w:vAlign w:val="center"/>
          </w:tcPr>
          <w:p w14:paraId="0EFD7F5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0.19</w:t>
            </w:r>
          </w:p>
        </w:tc>
        <w:tc>
          <w:tcPr>
            <w:tcW w:w="869" w:type="dxa"/>
            <w:tcBorders>
              <w:tl2br w:val="nil"/>
              <w:tr2bl w:val="nil"/>
            </w:tcBorders>
            <w:noWrap w:val="0"/>
            <w:vAlign w:val="center"/>
          </w:tcPr>
          <w:p w14:paraId="638DA0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9</w:t>
            </w:r>
          </w:p>
        </w:tc>
        <w:tc>
          <w:tcPr>
            <w:tcW w:w="776" w:type="dxa"/>
            <w:tcBorders>
              <w:tl2br w:val="nil"/>
              <w:tr2bl w:val="nil"/>
            </w:tcBorders>
            <w:noWrap w:val="0"/>
            <w:vAlign w:val="center"/>
          </w:tcPr>
          <w:p w14:paraId="4F9658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0.17</w:t>
            </w:r>
          </w:p>
        </w:tc>
        <w:tc>
          <w:tcPr>
            <w:tcW w:w="600" w:type="dxa"/>
            <w:vMerge w:val="continue"/>
            <w:tcBorders>
              <w:tl2br w:val="nil"/>
              <w:tr2bl w:val="nil"/>
            </w:tcBorders>
            <w:noWrap w:val="0"/>
            <w:vAlign w:val="center"/>
          </w:tcPr>
          <w:p w14:paraId="7FE443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r>
      <w:tr w14:paraId="75B3AE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096" w:type="dxa"/>
            <w:gridSpan w:val="15"/>
            <w:tcBorders>
              <w:tl2br w:val="nil"/>
              <w:tr2bl w:val="nil"/>
            </w:tcBorders>
            <w:noWrap w:val="0"/>
            <w:vAlign w:val="center"/>
          </w:tcPr>
          <w:p w14:paraId="5A52A08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无组织排放</w:t>
            </w:r>
          </w:p>
        </w:tc>
      </w:tr>
      <w:tr w14:paraId="2035D9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87" w:type="dxa"/>
            <w:gridSpan w:val="3"/>
            <w:vMerge w:val="restart"/>
            <w:tcBorders>
              <w:tl2br w:val="nil"/>
              <w:tr2bl w:val="nil"/>
            </w:tcBorders>
            <w:noWrap w:val="0"/>
            <w:vAlign w:val="center"/>
          </w:tcPr>
          <w:p w14:paraId="11E0DC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铝灰渣回收处置区</w:t>
            </w:r>
          </w:p>
        </w:tc>
        <w:tc>
          <w:tcPr>
            <w:tcW w:w="961" w:type="dxa"/>
            <w:tcBorders>
              <w:tl2br w:val="nil"/>
              <w:tr2bl w:val="nil"/>
            </w:tcBorders>
            <w:noWrap w:val="0"/>
            <w:vAlign w:val="center"/>
          </w:tcPr>
          <w:p w14:paraId="722E71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颗粒物</w:t>
            </w:r>
          </w:p>
        </w:tc>
        <w:tc>
          <w:tcPr>
            <w:tcW w:w="961" w:type="dxa"/>
            <w:tcBorders>
              <w:tl2br w:val="nil"/>
              <w:tr2bl w:val="nil"/>
            </w:tcBorders>
            <w:noWrap w:val="0"/>
            <w:vAlign w:val="center"/>
          </w:tcPr>
          <w:p w14:paraId="3B91DB4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927" w:type="dxa"/>
            <w:tcBorders>
              <w:tl2br w:val="nil"/>
              <w:tr2bl w:val="nil"/>
            </w:tcBorders>
            <w:noWrap w:val="0"/>
            <w:vAlign w:val="center"/>
          </w:tcPr>
          <w:p w14:paraId="229C1F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937" w:type="dxa"/>
            <w:tcBorders>
              <w:tl2br w:val="nil"/>
              <w:tr2bl w:val="nil"/>
            </w:tcBorders>
            <w:noWrap w:val="0"/>
            <w:vAlign w:val="center"/>
          </w:tcPr>
          <w:p w14:paraId="722D74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1.01</w:t>
            </w:r>
          </w:p>
        </w:tc>
        <w:tc>
          <w:tcPr>
            <w:tcW w:w="1667" w:type="dxa"/>
            <w:vMerge w:val="restart"/>
            <w:tcBorders>
              <w:tl2br w:val="nil"/>
              <w:tr2bl w:val="nil"/>
            </w:tcBorders>
            <w:noWrap w:val="0"/>
            <w:vAlign w:val="center"/>
          </w:tcPr>
          <w:p w14:paraId="61D89E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加强厂区通风</w:t>
            </w:r>
          </w:p>
        </w:tc>
        <w:tc>
          <w:tcPr>
            <w:tcW w:w="729" w:type="dxa"/>
            <w:tcBorders>
              <w:tl2br w:val="nil"/>
              <w:tr2bl w:val="nil"/>
            </w:tcBorders>
            <w:noWrap w:val="0"/>
            <w:vAlign w:val="center"/>
          </w:tcPr>
          <w:p w14:paraId="16802A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0</w:t>
            </w:r>
            <w:r>
              <w:rPr>
                <w:rFonts w:hint="default" w:ascii="Times New Roman" w:hAnsi="Times New Roman" w:eastAsia="宋体" w:cs="Times New Roman"/>
                <w:color w:val="auto"/>
                <w:sz w:val="22"/>
                <w:szCs w:val="22"/>
                <w:lang w:val="en-US" w:eastAsia="zh-CN"/>
              </w:rPr>
              <w:t>%</w:t>
            </w:r>
          </w:p>
        </w:tc>
        <w:tc>
          <w:tcPr>
            <w:tcW w:w="984" w:type="dxa"/>
            <w:tcBorders>
              <w:tl2br w:val="nil"/>
              <w:tr2bl w:val="nil"/>
            </w:tcBorders>
            <w:noWrap w:val="0"/>
            <w:vAlign w:val="center"/>
          </w:tcPr>
          <w:p w14:paraId="3CF9C3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1007" w:type="dxa"/>
            <w:tcBorders>
              <w:tl2br w:val="nil"/>
              <w:tr2bl w:val="nil"/>
            </w:tcBorders>
            <w:noWrap w:val="0"/>
            <w:vAlign w:val="center"/>
          </w:tcPr>
          <w:p w14:paraId="24BCF6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891" w:type="dxa"/>
            <w:tcBorders>
              <w:tl2br w:val="nil"/>
              <w:tr2bl w:val="nil"/>
            </w:tcBorders>
            <w:noWrap w:val="0"/>
            <w:vAlign w:val="center"/>
          </w:tcPr>
          <w:p w14:paraId="4BA561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1.01</w:t>
            </w:r>
          </w:p>
        </w:tc>
        <w:tc>
          <w:tcPr>
            <w:tcW w:w="869" w:type="dxa"/>
            <w:tcBorders>
              <w:tl2br w:val="nil"/>
              <w:tr2bl w:val="nil"/>
            </w:tcBorders>
            <w:noWrap w:val="0"/>
            <w:vAlign w:val="center"/>
          </w:tcPr>
          <w:p w14:paraId="07EC92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776" w:type="dxa"/>
            <w:tcBorders>
              <w:tl2br w:val="nil"/>
              <w:tr2bl w:val="nil"/>
            </w:tcBorders>
            <w:noWrap w:val="0"/>
            <w:vAlign w:val="center"/>
          </w:tcPr>
          <w:p w14:paraId="47008EB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600" w:type="dxa"/>
            <w:vMerge w:val="restart"/>
            <w:tcBorders>
              <w:tl2br w:val="nil"/>
              <w:tr2bl w:val="nil"/>
            </w:tcBorders>
            <w:noWrap w:val="0"/>
            <w:vAlign w:val="center"/>
          </w:tcPr>
          <w:p w14:paraId="23982B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r>
      <w:tr w14:paraId="666191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87" w:type="dxa"/>
            <w:gridSpan w:val="3"/>
            <w:vMerge w:val="continue"/>
            <w:tcBorders>
              <w:tl2br w:val="nil"/>
              <w:tr2bl w:val="nil"/>
            </w:tcBorders>
            <w:noWrap w:val="0"/>
            <w:vAlign w:val="center"/>
          </w:tcPr>
          <w:p w14:paraId="1D0BD2F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961" w:type="dxa"/>
            <w:tcBorders>
              <w:tl2br w:val="nil"/>
              <w:tr2bl w:val="nil"/>
            </w:tcBorders>
            <w:noWrap w:val="0"/>
            <w:vAlign w:val="center"/>
          </w:tcPr>
          <w:p w14:paraId="3CA3D6A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HCl</w:t>
            </w:r>
          </w:p>
        </w:tc>
        <w:tc>
          <w:tcPr>
            <w:tcW w:w="961" w:type="dxa"/>
            <w:tcBorders>
              <w:tl2br w:val="nil"/>
              <w:tr2bl w:val="nil"/>
            </w:tcBorders>
            <w:noWrap w:val="0"/>
            <w:vAlign w:val="center"/>
          </w:tcPr>
          <w:p w14:paraId="0472BC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927" w:type="dxa"/>
            <w:tcBorders>
              <w:tl2br w:val="nil"/>
              <w:tr2bl w:val="nil"/>
            </w:tcBorders>
            <w:noWrap w:val="0"/>
            <w:vAlign w:val="center"/>
          </w:tcPr>
          <w:p w14:paraId="2410399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937" w:type="dxa"/>
            <w:tcBorders>
              <w:tl2br w:val="nil"/>
              <w:tr2bl w:val="nil"/>
            </w:tcBorders>
            <w:noWrap w:val="0"/>
            <w:vAlign w:val="center"/>
          </w:tcPr>
          <w:p w14:paraId="78E764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0.0091</w:t>
            </w:r>
          </w:p>
        </w:tc>
        <w:tc>
          <w:tcPr>
            <w:tcW w:w="1667" w:type="dxa"/>
            <w:vMerge w:val="continue"/>
            <w:tcBorders>
              <w:tl2br w:val="nil"/>
              <w:tr2bl w:val="nil"/>
            </w:tcBorders>
            <w:noWrap w:val="0"/>
            <w:vAlign w:val="center"/>
          </w:tcPr>
          <w:p w14:paraId="1FFA9E2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729" w:type="dxa"/>
            <w:tcBorders>
              <w:tl2br w:val="nil"/>
              <w:tr2bl w:val="nil"/>
            </w:tcBorders>
            <w:noWrap w:val="0"/>
            <w:vAlign w:val="center"/>
          </w:tcPr>
          <w:p w14:paraId="4BAAA6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w:t>
            </w:r>
          </w:p>
        </w:tc>
        <w:tc>
          <w:tcPr>
            <w:tcW w:w="984" w:type="dxa"/>
            <w:tcBorders>
              <w:tl2br w:val="nil"/>
              <w:tr2bl w:val="nil"/>
            </w:tcBorders>
            <w:noWrap w:val="0"/>
            <w:vAlign w:val="center"/>
          </w:tcPr>
          <w:p w14:paraId="20602D7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1007" w:type="dxa"/>
            <w:tcBorders>
              <w:tl2br w:val="nil"/>
              <w:tr2bl w:val="nil"/>
            </w:tcBorders>
            <w:noWrap w:val="0"/>
            <w:vAlign w:val="center"/>
          </w:tcPr>
          <w:p w14:paraId="6C536B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891" w:type="dxa"/>
            <w:tcBorders>
              <w:tl2br w:val="nil"/>
              <w:tr2bl w:val="nil"/>
            </w:tcBorders>
            <w:noWrap w:val="0"/>
            <w:vAlign w:val="center"/>
          </w:tcPr>
          <w:p w14:paraId="458CD6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0.0091</w:t>
            </w:r>
          </w:p>
        </w:tc>
        <w:tc>
          <w:tcPr>
            <w:tcW w:w="869" w:type="dxa"/>
            <w:tcBorders>
              <w:tl2br w:val="nil"/>
              <w:tr2bl w:val="nil"/>
            </w:tcBorders>
            <w:noWrap w:val="0"/>
            <w:vAlign w:val="center"/>
          </w:tcPr>
          <w:p w14:paraId="7429D7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776" w:type="dxa"/>
            <w:tcBorders>
              <w:tl2br w:val="nil"/>
              <w:tr2bl w:val="nil"/>
            </w:tcBorders>
            <w:noWrap w:val="0"/>
            <w:vAlign w:val="center"/>
          </w:tcPr>
          <w:p w14:paraId="4D45A7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600" w:type="dxa"/>
            <w:vMerge w:val="continue"/>
            <w:tcBorders>
              <w:tl2br w:val="nil"/>
              <w:tr2bl w:val="nil"/>
            </w:tcBorders>
            <w:noWrap w:val="0"/>
            <w:vAlign w:val="center"/>
          </w:tcPr>
          <w:p w14:paraId="38D0A74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r>
      <w:tr w14:paraId="72624D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787" w:type="dxa"/>
            <w:gridSpan w:val="3"/>
            <w:vMerge w:val="continue"/>
            <w:tcBorders>
              <w:tl2br w:val="nil"/>
              <w:tr2bl w:val="nil"/>
            </w:tcBorders>
            <w:noWrap w:val="0"/>
            <w:vAlign w:val="center"/>
          </w:tcPr>
          <w:p w14:paraId="5AEA5F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961" w:type="dxa"/>
            <w:tcBorders>
              <w:tl2br w:val="nil"/>
              <w:tr2bl w:val="nil"/>
            </w:tcBorders>
            <w:noWrap w:val="0"/>
            <w:vAlign w:val="center"/>
          </w:tcPr>
          <w:p w14:paraId="160968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氟化物</w:t>
            </w:r>
          </w:p>
        </w:tc>
        <w:tc>
          <w:tcPr>
            <w:tcW w:w="961" w:type="dxa"/>
            <w:tcBorders>
              <w:tl2br w:val="nil"/>
              <w:tr2bl w:val="nil"/>
            </w:tcBorders>
            <w:noWrap w:val="0"/>
            <w:vAlign w:val="center"/>
          </w:tcPr>
          <w:p w14:paraId="62097B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927" w:type="dxa"/>
            <w:tcBorders>
              <w:tl2br w:val="nil"/>
              <w:tr2bl w:val="nil"/>
            </w:tcBorders>
            <w:noWrap w:val="0"/>
            <w:vAlign w:val="center"/>
          </w:tcPr>
          <w:p w14:paraId="1063B0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937" w:type="dxa"/>
            <w:tcBorders>
              <w:tl2br w:val="nil"/>
              <w:tr2bl w:val="nil"/>
            </w:tcBorders>
            <w:noWrap w:val="0"/>
            <w:vAlign w:val="center"/>
          </w:tcPr>
          <w:p w14:paraId="729ED1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 xml:space="preserve">0.0019 </w:t>
            </w:r>
          </w:p>
        </w:tc>
        <w:tc>
          <w:tcPr>
            <w:tcW w:w="1667" w:type="dxa"/>
            <w:vMerge w:val="continue"/>
            <w:tcBorders>
              <w:tl2br w:val="nil"/>
              <w:tr2bl w:val="nil"/>
            </w:tcBorders>
            <w:noWrap w:val="0"/>
            <w:vAlign w:val="center"/>
          </w:tcPr>
          <w:p w14:paraId="102C8A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729" w:type="dxa"/>
            <w:tcBorders>
              <w:tl2br w:val="nil"/>
              <w:tr2bl w:val="nil"/>
            </w:tcBorders>
            <w:noWrap w:val="0"/>
            <w:vAlign w:val="center"/>
          </w:tcPr>
          <w:p w14:paraId="75FC1F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w:t>
            </w:r>
          </w:p>
        </w:tc>
        <w:tc>
          <w:tcPr>
            <w:tcW w:w="984" w:type="dxa"/>
            <w:tcBorders>
              <w:tl2br w:val="nil"/>
              <w:tr2bl w:val="nil"/>
            </w:tcBorders>
            <w:noWrap w:val="0"/>
            <w:vAlign w:val="center"/>
          </w:tcPr>
          <w:p w14:paraId="5814C6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1007" w:type="dxa"/>
            <w:tcBorders>
              <w:tl2br w:val="nil"/>
              <w:tr2bl w:val="nil"/>
            </w:tcBorders>
            <w:noWrap w:val="0"/>
            <w:vAlign w:val="center"/>
          </w:tcPr>
          <w:p w14:paraId="3B1719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891" w:type="dxa"/>
            <w:tcBorders>
              <w:tl2br w:val="nil"/>
              <w:tr2bl w:val="nil"/>
            </w:tcBorders>
            <w:noWrap w:val="0"/>
            <w:vAlign w:val="center"/>
          </w:tcPr>
          <w:p w14:paraId="47C83E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 xml:space="preserve">0.0019 </w:t>
            </w:r>
          </w:p>
        </w:tc>
        <w:tc>
          <w:tcPr>
            <w:tcW w:w="869" w:type="dxa"/>
            <w:tcBorders>
              <w:tl2br w:val="nil"/>
              <w:tr2bl w:val="nil"/>
            </w:tcBorders>
            <w:noWrap w:val="0"/>
            <w:vAlign w:val="center"/>
          </w:tcPr>
          <w:p w14:paraId="379EAD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776" w:type="dxa"/>
            <w:tcBorders>
              <w:tl2br w:val="nil"/>
              <w:tr2bl w:val="nil"/>
            </w:tcBorders>
            <w:noWrap w:val="0"/>
            <w:vAlign w:val="center"/>
          </w:tcPr>
          <w:p w14:paraId="2D0BAD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600" w:type="dxa"/>
            <w:vMerge w:val="continue"/>
            <w:tcBorders>
              <w:tl2br w:val="nil"/>
              <w:tr2bl w:val="nil"/>
            </w:tcBorders>
            <w:noWrap w:val="0"/>
            <w:vAlign w:val="center"/>
          </w:tcPr>
          <w:p w14:paraId="3E8D79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r>
    </w:tbl>
    <w:p w14:paraId="53C1E4B9">
      <w:pPr>
        <w:rPr>
          <w:color w:val="auto"/>
        </w:rPr>
      </w:pPr>
    </w:p>
    <w:p w14:paraId="20DC09D4">
      <w:pPr>
        <w:rPr>
          <w:color w:val="auto"/>
        </w:rPr>
      </w:pPr>
    </w:p>
    <w:p w14:paraId="3687C904">
      <w:pPr>
        <w:rPr>
          <w:color w:val="auto"/>
        </w:rPr>
      </w:pPr>
    </w:p>
    <w:p w14:paraId="692ECE9D">
      <w:pPr>
        <w:rPr>
          <w:color w:val="auto"/>
        </w:rPr>
      </w:pPr>
    </w:p>
    <w:p w14:paraId="34998E31">
      <w:pPr>
        <w:rPr>
          <w:color w:val="auto"/>
        </w:rPr>
      </w:pPr>
    </w:p>
    <w:p w14:paraId="19DDA7F3">
      <w:pPr>
        <w:rPr>
          <w:color w:val="auto"/>
        </w:rPr>
      </w:pPr>
    </w:p>
    <w:p w14:paraId="063938B2">
      <w:pPr>
        <w:rPr>
          <w:color w:val="auto"/>
        </w:rPr>
      </w:pPr>
    </w:p>
    <w:p w14:paraId="0137FE4A">
      <w:pPr>
        <w:rPr>
          <w:color w:val="auto"/>
        </w:rPr>
      </w:pPr>
    </w:p>
    <w:p w14:paraId="49D32A5D">
      <w:pPr>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p w14:paraId="39A2338D">
      <w:pPr>
        <w:rPr>
          <w:color w:val="auto"/>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8397"/>
      </w:tblGrid>
      <w:tr w14:paraId="0A0C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noWrap w:val="0"/>
            <w:vAlign w:val="top"/>
          </w:tcPr>
          <w:p w14:paraId="5F56D036">
            <w:pPr>
              <w:rPr>
                <w:color w:val="auto"/>
                <w:vertAlign w:val="baseline"/>
              </w:rPr>
            </w:pPr>
          </w:p>
        </w:tc>
        <w:tc>
          <w:tcPr>
            <w:tcW w:w="8397" w:type="dxa"/>
            <w:noWrap w:val="0"/>
            <w:vAlign w:val="top"/>
          </w:tcPr>
          <w:p w14:paraId="797B4C0F">
            <w:pPr>
              <w:rPr>
                <w:color w:val="auto"/>
                <w:vertAlign w:val="baseline"/>
              </w:rPr>
            </w:pPr>
          </w:p>
          <w:p w14:paraId="3795FC72">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综上，本项目废气污染物排放量如下表所示。</w:t>
            </w:r>
          </w:p>
          <w:p w14:paraId="5CC9130E">
            <w:pPr>
              <w:autoSpaceDE w:val="0"/>
              <w:autoSpaceDN w:val="0"/>
              <w:adjustRightInd w:val="0"/>
              <w:spacing w:line="460" w:lineRule="exact"/>
              <w:jc w:val="center"/>
              <w:rPr>
                <w:rFonts w:hint="default" w:ascii="Times New Roman" w:hAnsi="Times New Roman" w:eastAsia="宋体" w:cs="Times New Roman"/>
                <w:b/>
                <w:bCs w:val="0"/>
                <w:color w:val="auto"/>
                <w:sz w:val="26"/>
                <w:szCs w:val="26"/>
                <w:lang w:val="en-US" w:eastAsia="zh-CN"/>
              </w:rPr>
            </w:pPr>
            <w:r>
              <w:rPr>
                <w:rFonts w:hint="default" w:ascii="Times New Roman" w:hAnsi="Times New Roman" w:eastAsia="宋体" w:cs="Times New Roman"/>
                <w:b/>
                <w:bCs w:val="0"/>
                <w:color w:val="auto"/>
                <w:sz w:val="26"/>
                <w:szCs w:val="26"/>
                <w:lang w:val="en-US" w:eastAsia="zh-CN"/>
              </w:rPr>
              <w:t>表4.2</w:t>
            </w:r>
            <w:r>
              <w:rPr>
                <w:rFonts w:hint="eastAsia" w:ascii="Times New Roman" w:hAnsi="Times New Roman" w:eastAsia="宋体" w:cs="Times New Roman"/>
                <w:b/>
                <w:bCs w:val="0"/>
                <w:color w:val="auto"/>
                <w:sz w:val="26"/>
                <w:szCs w:val="26"/>
                <w:lang w:val="en-US" w:eastAsia="zh-CN"/>
              </w:rPr>
              <w:t>-8</w:t>
            </w:r>
            <w:r>
              <w:rPr>
                <w:rFonts w:hint="default" w:ascii="Times New Roman" w:hAnsi="Times New Roman" w:eastAsia="宋体" w:cs="Times New Roman"/>
                <w:b/>
                <w:bCs w:val="0"/>
                <w:color w:val="auto"/>
                <w:sz w:val="26"/>
                <w:szCs w:val="26"/>
                <w:lang w:val="en-US" w:eastAsia="zh-CN"/>
              </w:rPr>
              <w:t xml:space="preserve"> </w:t>
            </w:r>
            <w:r>
              <w:rPr>
                <w:rFonts w:hint="eastAsia" w:ascii="Times New Roman" w:hAnsi="Times New Roman" w:eastAsia="宋体" w:cs="Times New Roman"/>
                <w:b/>
                <w:bCs w:val="0"/>
                <w:color w:val="auto"/>
                <w:sz w:val="26"/>
                <w:szCs w:val="26"/>
                <w:lang w:val="en-US" w:eastAsia="zh-CN"/>
              </w:rPr>
              <w:t>本项目废气污染物排放量</w:t>
            </w:r>
            <w:r>
              <w:rPr>
                <w:rFonts w:hint="default" w:ascii="Times New Roman" w:hAnsi="Times New Roman" w:eastAsia="宋体" w:cs="Times New Roman"/>
                <w:b/>
                <w:bCs w:val="0"/>
                <w:color w:val="auto"/>
                <w:sz w:val="26"/>
                <w:szCs w:val="26"/>
                <w:lang w:val="en-US" w:eastAsia="zh-CN"/>
              </w:rPr>
              <w:t>一览表</w:t>
            </w:r>
          </w:p>
          <w:tbl>
            <w:tblPr>
              <w:tblStyle w:val="26"/>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1140"/>
              <w:gridCol w:w="2471"/>
              <w:gridCol w:w="2334"/>
            </w:tblGrid>
            <w:tr w14:paraId="4EFC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noWrap w:val="0"/>
                  <w:vAlign w:val="center"/>
                </w:tcPr>
                <w:p w14:paraId="0CEB3E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排放方式</w:t>
                  </w:r>
                </w:p>
              </w:tc>
              <w:tc>
                <w:tcPr>
                  <w:tcW w:w="1107" w:type="dxa"/>
                  <w:noWrap w:val="0"/>
                  <w:vAlign w:val="center"/>
                </w:tcPr>
                <w:p w14:paraId="410EEF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序号</w:t>
                  </w:r>
                </w:p>
              </w:tc>
              <w:tc>
                <w:tcPr>
                  <w:tcW w:w="2400" w:type="dxa"/>
                  <w:noWrap w:val="0"/>
                  <w:vAlign w:val="center"/>
                </w:tcPr>
                <w:p w14:paraId="5D66A8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污染物</w:t>
                  </w:r>
                </w:p>
              </w:tc>
              <w:tc>
                <w:tcPr>
                  <w:tcW w:w="2267" w:type="dxa"/>
                  <w:noWrap w:val="0"/>
                  <w:vAlign w:val="center"/>
                </w:tcPr>
                <w:p w14:paraId="4BAECA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排放量</w:t>
                  </w:r>
                  <w:r>
                    <w:rPr>
                      <w:rFonts w:hint="eastAsia" w:ascii="Times New Roman" w:hAnsi="Times New Roman" w:eastAsia="宋体" w:cs="Times New Roman"/>
                      <w:b w:val="0"/>
                      <w:bCs w:val="0"/>
                      <w:color w:val="auto"/>
                      <w:sz w:val="22"/>
                      <w:szCs w:val="22"/>
                      <w:vertAlign w:val="baseline"/>
                      <w:lang w:val="en-US" w:eastAsia="zh-CN"/>
                    </w:rPr>
                    <w:t>（t/a）</w:t>
                  </w:r>
                </w:p>
              </w:tc>
            </w:tr>
            <w:tr w14:paraId="45332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Merge w:val="restart"/>
                  <w:noWrap w:val="0"/>
                  <w:vAlign w:val="center"/>
                </w:tcPr>
                <w:p w14:paraId="78C02B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有组织</w:t>
                  </w:r>
                </w:p>
              </w:tc>
              <w:tc>
                <w:tcPr>
                  <w:tcW w:w="1107" w:type="dxa"/>
                  <w:noWrap w:val="0"/>
                  <w:vAlign w:val="center"/>
                </w:tcPr>
                <w:p w14:paraId="7DD4A9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1</w:t>
                  </w:r>
                </w:p>
              </w:tc>
              <w:tc>
                <w:tcPr>
                  <w:tcW w:w="2400" w:type="dxa"/>
                  <w:noWrap w:val="0"/>
                  <w:vAlign w:val="center"/>
                </w:tcPr>
                <w:p w14:paraId="6FE89D54">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lang w:val="en-US" w:eastAsia="zh-CN"/>
                    </w:rPr>
                    <w:t>颗粒物</w:t>
                  </w:r>
                </w:p>
              </w:tc>
              <w:tc>
                <w:tcPr>
                  <w:tcW w:w="2267" w:type="dxa"/>
                  <w:noWrap w:val="0"/>
                  <w:vAlign w:val="center"/>
                </w:tcPr>
                <w:p w14:paraId="78E91699">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i w:val="0"/>
                      <w:iCs w:val="0"/>
                      <w:color w:val="auto"/>
                      <w:kern w:val="0"/>
                      <w:sz w:val="22"/>
                      <w:szCs w:val="22"/>
                      <w:u w:val="none"/>
                      <w:lang w:val="en-US" w:eastAsia="zh-CN" w:bidi="ar"/>
                    </w:rPr>
                    <w:t>4.826</w:t>
                  </w:r>
                </w:p>
              </w:tc>
            </w:tr>
            <w:tr w14:paraId="086D5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Merge w:val="continue"/>
                  <w:noWrap w:val="0"/>
                  <w:vAlign w:val="center"/>
                </w:tcPr>
                <w:p w14:paraId="14C35F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1107" w:type="dxa"/>
                  <w:noWrap w:val="0"/>
                  <w:vAlign w:val="center"/>
                </w:tcPr>
                <w:p w14:paraId="2ED7CC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2</w:t>
                  </w:r>
                </w:p>
              </w:tc>
              <w:tc>
                <w:tcPr>
                  <w:tcW w:w="2400" w:type="dxa"/>
                  <w:noWrap w:val="0"/>
                  <w:vAlign w:val="center"/>
                </w:tcPr>
                <w:p w14:paraId="1FCA4986">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lang w:val="en-US" w:eastAsia="zh-CN"/>
                    </w:rPr>
                    <w:t>NOx</w:t>
                  </w:r>
                </w:p>
              </w:tc>
              <w:tc>
                <w:tcPr>
                  <w:tcW w:w="2267" w:type="dxa"/>
                  <w:noWrap w:val="0"/>
                  <w:vAlign w:val="center"/>
                </w:tcPr>
                <w:p w14:paraId="620E4ADF">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15.31</w:t>
                  </w:r>
                </w:p>
              </w:tc>
            </w:tr>
            <w:tr w14:paraId="37EC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Merge w:val="continue"/>
                  <w:noWrap w:val="0"/>
                  <w:vAlign w:val="center"/>
                </w:tcPr>
                <w:p w14:paraId="43D9B6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1107" w:type="dxa"/>
                  <w:noWrap w:val="0"/>
                  <w:vAlign w:val="center"/>
                </w:tcPr>
                <w:p w14:paraId="0DA186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3</w:t>
                  </w:r>
                </w:p>
              </w:tc>
              <w:tc>
                <w:tcPr>
                  <w:tcW w:w="2400" w:type="dxa"/>
                  <w:noWrap w:val="0"/>
                  <w:vAlign w:val="center"/>
                </w:tcPr>
                <w:p w14:paraId="7189CA53">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lang w:val="en-US" w:eastAsia="zh-CN"/>
                    </w:rPr>
                    <w:t>SO</w:t>
                  </w:r>
                  <w:r>
                    <w:rPr>
                      <w:rFonts w:hint="default" w:ascii="Times New Roman" w:hAnsi="Times New Roman" w:eastAsia="宋体" w:cs="Times New Roman"/>
                      <w:b w:val="0"/>
                      <w:bCs w:val="0"/>
                      <w:color w:val="auto"/>
                      <w:sz w:val="22"/>
                      <w:szCs w:val="22"/>
                      <w:vertAlign w:val="subscript"/>
                      <w:lang w:val="en-US" w:eastAsia="zh-CN"/>
                    </w:rPr>
                    <w:t>2</w:t>
                  </w:r>
                </w:p>
              </w:tc>
              <w:tc>
                <w:tcPr>
                  <w:tcW w:w="2267" w:type="dxa"/>
                  <w:noWrap w:val="0"/>
                  <w:vAlign w:val="center"/>
                </w:tcPr>
                <w:p w14:paraId="686F9C57">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1.</w:t>
                  </w:r>
                  <w:r>
                    <w:rPr>
                      <w:rFonts w:hint="eastAsia" w:ascii="Times New Roman" w:hAnsi="Times New Roman" w:eastAsia="宋体" w:cs="Times New Roman"/>
                      <w:b w:val="0"/>
                      <w:bCs w:val="0"/>
                      <w:i w:val="0"/>
                      <w:iCs w:val="0"/>
                      <w:color w:val="auto"/>
                      <w:kern w:val="0"/>
                      <w:sz w:val="22"/>
                      <w:szCs w:val="22"/>
                      <w:u w:val="none"/>
                      <w:lang w:val="en-US" w:eastAsia="zh-CN" w:bidi="ar"/>
                    </w:rPr>
                    <w:t>126</w:t>
                  </w:r>
                </w:p>
              </w:tc>
            </w:tr>
            <w:tr w14:paraId="0E63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Merge w:val="continue"/>
                  <w:noWrap w:val="0"/>
                  <w:vAlign w:val="center"/>
                </w:tcPr>
                <w:p w14:paraId="359C82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1107" w:type="dxa"/>
                  <w:noWrap w:val="0"/>
                  <w:vAlign w:val="center"/>
                </w:tcPr>
                <w:p w14:paraId="7CE617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4</w:t>
                  </w:r>
                </w:p>
              </w:tc>
              <w:tc>
                <w:tcPr>
                  <w:tcW w:w="2400" w:type="dxa"/>
                  <w:noWrap w:val="0"/>
                  <w:vAlign w:val="center"/>
                </w:tcPr>
                <w:p w14:paraId="31178C1A">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b w:val="0"/>
                      <w:bCs w:val="0"/>
                      <w:color w:val="auto"/>
                      <w:kern w:val="2"/>
                      <w:sz w:val="22"/>
                      <w:szCs w:val="22"/>
                      <w:lang w:val="en-US" w:eastAsia="zh-CN" w:bidi="ar-SA"/>
                    </w:rPr>
                  </w:pPr>
                  <w:r>
                    <w:rPr>
                      <w:rFonts w:hint="default" w:ascii="Times New Roman" w:hAnsi="Times New Roman" w:eastAsia="宋体" w:cs="Times New Roman"/>
                      <w:b w:val="0"/>
                      <w:bCs w:val="0"/>
                      <w:color w:val="auto"/>
                      <w:sz w:val="22"/>
                      <w:szCs w:val="22"/>
                      <w:lang w:val="en-US" w:eastAsia="zh-CN"/>
                    </w:rPr>
                    <w:t>HCl</w:t>
                  </w:r>
                </w:p>
              </w:tc>
              <w:tc>
                <w:tcPr>
                  <w:tcW w:w="2267" w:type="dxa"/>
                  <w:noWrap w:val="0"/>
                  <w:vAlign w:val="center"/>
                </w:tcPr>
                <w:p w14:paraId="7CB8AF1F">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1.82</w:t>
                  </w:r>
                </w:p>
              </w:tc>
            </w:tr>
            <w:tr w14:paraId="19EB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Merge w:val="continue"/>
                  <w:noWrap w:val="0"/>
                  <w:vAlign w:val="center"/>
                </w:tcPr>
                <w:p w14:paraId="43E060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1107" w:type="dxa"/>
                  <w:noWrap w:val="0"/>
                  <w:vAlign w:val="center"/>
                </w:tcPr>
                <w:p w14:paraId="42BC43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5</w:t>
                  </w:r>
                </w:p>
              </w:tc>
              <w:tc>
                <w:tcPr>
                  <w:tcW w:w="2400" w:type="dxa"/>
                  <w:noWrap w:val="0"/>
                  <w:vAlign w:val="center"/>
                </w:tcPr>
                <w:p w14:paraId="5D496F81">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b w:val="0"/>
                      <w:bCs w:val="0"/>
                      <w:color w:val="auto"/>
                      <w:kern w:val="2"/>
                      <w:sz w:val="22"/>
                      <w:szCs w:val="22"/>
                      <w:lang w:val="en-US" w:eastAsia="zh-CN" w:bidi="ar-SA"/>
                    </w:rPr>
                  </w:pPr>
                  <w:r>
                    <w:rPr>
                      <w:rFonts w:hint="default" w:ascii="Times New Roman" w:hAnsi="Times New Roman" w:eastAsia="宋体" w:cs="Times New Roman"/>
                      <w:b w:val="0"/>
                      <w:bCs w:val="0"/>
                      <w:color w:val="auto"/>
                      <w:sz w:val="22"/>
                      <w:szCs w:val="22"/>
                      <w:lang w:val="en-US" w:eastAsia="zh-CN"/>
                    </w:rPr>
                    <w:t>氟化物</w:t>
                  </w:r>
                </w:p>
              </w:tc>
              <w:tc>
                <w:tcPr>
                  <w:tcW w:w="2267" w:type="dxa"/>
                  <w:noWrap w:val="0"/>
                  <w:vAlign w:val="center"/>
                </w:tcPr>
                <w:p w14:paraId="7D29BEA9">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0.</w:t>
                  </w:r>
                  <w:r>
                    <w:rPr>
                      <w:rFonts w:hint="eastAsia" w:ascii="Times New Roman" w:hAnsi="Times New Roman" w:eastAsia="宋体" w:cs="Times New Roman"/>
                      <w:b w:val="0"/>
                      <w:bCs w:val="0"/>
                      <w:i w:val="0"/>
                      <w:iCs w:val="0"/>
                      <w:color w:val="auto"/>
                      <w:kern w:val="0"/>
                      <w:sz w:val="22"/>
                      <w:szCs w:val="22"/>
                      <w:u w:val="none"/>
                      <w:lang w:val="en-US" w:eastAsia="zh-CN" w:bidi="ar"/>
                    </w:rPr>
                    <w:t>4</w:t>
                  </w:r>
                </w:p>
              </w:tc>
            </w:tr>
            <w:tr w14:paraId="613F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Merge w:val="restart"/>
                  <w:noWrap w:val="0"/>
                  <w:vAlign w:val="center"/>
                </w:tcPr>
                <w:p w14:paraId="719BDE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无组织</w:t>
                  </w:r>
                </w:p>
              </w:tc>
              <w:tc>
                <w:tcPr>
                  <w:tcW w:w="1107" w:type="dxa"/>
                  <w:noWrap w:val="0"/>
                  <w:vAlign w:val="center"/>
                </w:tcPr>
                <w:p w14:paraId="5F95D2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1</w:t>
                  </w:r>
                </w:p>
              </w:tc>
              <w:tc>
                <w:tcPr>
                  <w:tcW w:w="2400" w:type="dxa"/>
                  <w:noWrap w:val="0"/>
                  <w:vAlign w:val="center"/>
                </w:tcPr>
                <w:p w14:paraId="4A1EE33A">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颗粒物</w:t>
                  </w:r>
                </w:p>
              </w:tc>
              <w:tc>
                <w:tcPr>
                  <w:tcW w:w="2267" w:type="dxa"/>
                  <w:noWrap w:val="0"/>
                  <w:vAlign w:val="center"/>
                </w:tcPr>
                <w:p w14:paraId="0872A0BC">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eastAsia" w:ascii="Times New Roman" w:hAnsi="Times New Roman" w:eastAsia="宋体" w:cs="Times New Roman"/>
                      <w:b w:val="0"/>
                      <w:bCs w:val="0"/>
                      <w:i w:val="0"/>
                      <w:iCs w:val="0"/>
                      <w:color w:val="auto"/>
                      <w:kern w:val="0"/>
                      <w:sz w:val="22"/>
                      <w:szCs w:val="22"/>
                      <w:u w:val="none"/>
                      <w:lang w:val="en-US" w:eastAsia="zh-CN" w:bidi="ar"/>
                    </w:rPr>
                    <w:t>6.456</w:t>
                  </w:r>
                </w:p>
              </w:tc>
            </w:tr>
            <w:tr w14:paraId="7E6F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Merge w:val="continue"/>
                  <w:noWrap w:val="0"/>
                  <w:vAlign w:val="center"/>
                </w:tcPr>
                <w:p w14:paraId="1242F7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1107" w:type="dxa"/>
                  <w:noWrap w:val="0"/>
                  <w:vAlign w:val="center"/>
                </w:tcPr>
                <w:p w14:paraId="6A911D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2</w:t>
                  </w:r>
                </w:p>
              </w:tc>
              <w:tc>
                <w:tcPr>
                  <w:tcW w:w="2400" w:type="dxa"/>
                  <w:noWrap w:val="0"/>
                  <w:vAlign w:val="center"/>
                </w:tcPr>
                <w:p w14:paraId="59B9F0C7">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NOx</w:t>
                  </w:r>
                </w:p>
              </w:tc>
              <w:tc>
                <w:tcPr>
                  <w:tcW w:w="2267" w:type="dxa"/>
                  <w:noWrap w:val="0"/>
                  <w:vAlign w:val="center"/>
                </w:tcPr>
                <w:p w14:paraId="6500A44A">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eastAsia" w:ascii="Times New Roman" w:hAnsi="Times New Roman" w:eastAsia="宋体" w:cs="Times New Roman"/>
                      <w:b w:val="0"/>
                      <w:bCs w:val="0"/>
                      <w:i w:val="0"/>
                      <w:iCs w:val="0"/>
                      <w:color w:val="auto"/>
                      <w:kern w:val="0"/>
                      <w:sz w:val="22"/>
                      <w:szCs w:val="22"/>
                      <w:u w:val="none"/>
                      <w:lang w:val="en-US" w:eastAsia="zh-CN" w:bidi="ar"/>
                    </w:rPr>
                    <w:t>0.42</w:t>
                  </w:r>
                </w:p>
              </w:tc>
            </w:tr>
            <w:tr w14:paraId="32BB3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Merge w:val="continue"/>
                  <w:noWrap w:val="0"/>
                  <w:vAlign w:val="center"/>
                </w:tcPr>
                <w:p w14:paraId="2CEEEB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1107" w:type="dxa"/>
                  <w:noWrap w:val="0"/>
                  <w:vAlign w:val="center"/>
                </w:tcPr>
                <w:p w14:paraId="12914C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3</w:t>
                  </w:r>
                </w:p>
              </w:tc>
              <w:tc>
                <w:tcPr>
                  <w:tcW w:w="2400" w:type="dxa"/>
                  <w:noWrap w:val="0"/>
                  <w:vAlign w:val="center"/>
                </w:tcPr>
                <w:p w14:paraId="6C2239DE">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SO</w:t>
                  </w:r>
                  <w:r>
                    <w:rPr>
                      <w:rFonts w:hint="default" w:ascii="Times New Roman" w:hAnsi="Times New Roman" w:eastAsia="宋体" w:cs="Times New Roman"/>
                      <w:b w:val="0"/>
                      <w:bCs w:val="0"/>
                      <w:i w:val="0"/>
                      <w:iCs w:val="0"/>
                      <w:color w:val="auto"/>
                      <w:kern w:val="0"/>
                      <w:sz w:val="22"/>
                      <w:szCs w:val="22"/>
                      <w:u w:val="none"/>
                      <w:vertAlign w:val="subscript"/>
                      <w:lang w:val="en-US" w:eastAsia="zh-CN" w:bidi="ar"/>
                    </w:rPr>
                    <w:t>2</w:t>
                  </w:r>
                </w:p>
              </w:tc>
              <w:tc>
                <w:tcPr>
                  <w:tcW w:w="2267" w:type="dxa"/>
                  <w:noWrap w:val="0"/>
                  <w:vAlign w:val="center"/>
                </w:tcPr>
                <w:p w14:paraId="62C317C0">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eastAsia" w:ascii="Times New Roman" w:hAnsi="Times New Roman" w:eastAsia="宋体" w:cs="Times New Roman"/>
                      <w:b w:val="0"/>
                      <w:bCs w:val="0"/>
                      <w:i w:val="0"/>
                      <w:iCs w:val="0"/>
                      <w:color w:val="auto"/>
                      <w:kern w:val="0"/>
                      <w:sz w:val="22"/>
                      <w:szCs w:val="22"/>
                      <w:u w:val="none"/>
                      <w:lang w:val="en-US" w:eastAsia="zh-CN" w:bidi="ar"/>
                    </w:rPr>
                    <w:t>0.045</w:t>
                  </w:r>
                </w:p>
              </w:tc>
            </w:tr>
            <w:tr w14:paraId="309D7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Merge w:val="continue"/>
                  <w:noWrap w:val="0"/>
                  <w:vAlign w:val="center"/>
                </w:tcPr>
                <w:p w14:paraId="77C042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1107" w:type="dxa"/>
                  <w:noWrap w:val="0"/>
                  <w:vAlign w:val="center"/>
                </w:tcPr>
                <w:p w14:paraId="5FE746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4</w:t>
                  </w:r>
                </w:p>
              </w:tc>
              <w:tc>
                <w:tcPr>
                  <w:tcW w:w="2400" w:type="dxa"/>
                  <w:noWrap w:val="0"/>
                  <w:vAlign w:val="center"/>
                </w:tcPr>
                <w:p w14:paraId="2AAC5AD3">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HCl</w:t>
                  </w:r>
                </w:p>
              </w:tc>
              <w:tc>
                <w:tcPr>
                  <w:tcW w:w="2267" w:type="dxa"/>
                  <w:noWrap w:val="0"/>
                  <w:vAlign w:val="center"/>
                </w:tcPr>
                <w:p w14:paraId="74FB9280">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eastAsia" w:ascii="Times New Roman" w:hAnsi="Times New Roman" w:eastAsia="宋体" w:cs="Times New Roman"/>
                      <w:b w:val="0"/>
                      <w:bCs w:val="0"/>
                      <w:i w:val="0"/>
                      <w:iCs w:val="0"/>
                      <w:color w:val="auto"/>
                      <w:kern w:val="0"/>
                      <w:sz w:val="22"/>
                      <w:szCs w:val="22"/>
                      <w:u w:val="none"/>
                      <w:lang w:val="en-US" w:eastAsia="zh-CN" w:bidi="ar"/>
                    </w:rPr>
                    <w:t>0.0234</w:t>
                  </w:r>
                </w:p>
              </w:tc>
            </w:tr>
            <w:tr w14:paraId="5AE8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4" w:type="dxa"/>
                  <w:vMerge w:val="continue"/>
                  <w:noWrap w:val="0"/>
                  <w:vAlign w:val="center"/>
                </w:tcPr>
                <w:p w14:paraId="3BAF95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1107" w:type="dxa"/>
                  <w:noWrap w:val="0"/>
                  <w:vAlign w:val="center"/>
                </w:tcPr>
                <w:p w14:paraId="0A8951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5</w:t>
                  </w:r>
                </w:p>
              </w:tc>
              <w:tc>
                <w:tcPr>
                  <w:tcW w:w="2400" w:type="dxa"/>
                  <w:noWrap w:val="0"/>
                  <w:vAlign w:val="center"/>
                </w:tcPr>
                <w:p w14:paraId="58E2BA1A">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氟化物</w:t>
                  </w:r>
                </w:p>
              </w:tc>
              <w:tc>
                <w:tcPr>
                  <w:tcW w:w="2267" w:type="dxa"/>
                  <w:noWrap w:val="0"/>
                  <w:vAlign w:val="center"/>
                </w:tcPr>
                <w:p w14:paraId="3467CDE4">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eastAsia" w:ascii="Times New Roman" w:hAnsi="Times New Roman" w:eastAsia="宋体" w:cs="Times New Roman"/>
                      <w:b w:val="0"/>
                      <w:bCs w:val="0"/>
                      <w:i w:val="0"/>
                      <w:iCs w:val="0"/>
                      <w:color w:val="auto"/>
                      <w:kern w:val="0"/>
                      <w:sz w:val="22"/>
                      <w:szCs w:val="22"/>
                      <w:u w:val="none"/>
                      <w:lang w:val="en-US" w:eastAsia="zh-CN" w:bidi="ar"/>
                    </w:rPr>
                    <w:t>0.0049</w:t>
                  </w:r>
                </w:p>
              </w:tc>
            </w:tr>
          </w:tbl>
          <w:p w14:paraId="5BF2F9B6">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宋体" w:cs="Times New Roman"/>
                <w:b/>
                <w:bCs/>
                <w:color w:val="auto"/>
                <w:sz w:val="26"/>
                <w:szCs w:val="26"/>
                <w:lang w:val="en-US" w:eastAsia="zh-CN"/>
              </w:rPr>
            </w:pPr>
          </w:p>
          <w:p w14:paraId="3EF9D284">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default" w:ascii="Times New Roman" w:hAnsi="Times New Roman" w:eastAsia="宋体" w:cs="Times New Roman"/>
                <w:b/>
                <w:bCs/>
                <w:color w:val="auto"/>
                <w:sz w:val="26"/>
                <w:szCs w:val="26"/>
                <w:lang w:val="en-US" w:eastAsia="zh-CN"/>
              </w:rPr>
              <w:t>4.2.1.</w:t>
            </w:r>
            <w:r>
              <w:rPr>
                <w:rFonts w:hint="eastAsia" w:ascii="Times New Roman" w:hAnsi="Times New Roman" w:eastAsia="宋体" w:cs="Times New Roman"/>
                <w:b/>
                <w:bCs/>
                <w:color w:val="auto"/>
                <w:sz w:val="26"/>
                <w:szCs w:val="26"/>
                <w:lang w:val="en-US" w:eastAsia="zh-CN"/>
              </w:rPr>
              <w:t>2</w:t>
            </w:r>
            <w:r>
              <w:rPr>
                <w:rFonts w:hint="default" w:ascii="Times New Roman" w:hAnsi="Times New Roman" w:eastAsia="宋体" w:cs="Times New Roman"/>
                <w:b/>
                <w:bCs/>
                <w:color w:val="auto"/>
                <w:sz w:val="26"/>
                <w:szCs w:val="26"/>
                <w:lang w:val="en-US" w:eastAsia="zh-CN"/>
              </w:rPr>
              <w:t>排放口基本情况</w:t>
            </w:r>
          </w:p>
          <w:p w14:paraId="7F2B22B9">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kern w:val="0"/>
                <w:sz w:val="26"/>
                <w:szCs w:val="26"/>
                <w:lang w:val="en-US" w:eastAsia="zh-CN"/>
              </w:rPr>
              <w:t>根据</w:t>
            </w:r>
            <w:r>
              <w:rPr>
                <w:rFonts w:hint="default" w:ascii="Times New Roman" w:hAnsi="Times New Roman" w:eastAsia="宋体" w:cs="Times New Roman"/>
                <w:color w:val="auto"/>
                <w:kern w:val="0"/>
                <w:sz w:val="26"/>
                <w:szCs w:val="26"/>
                <w:lang w:val="en-US" w:eastAsia="zh-CN"/>
              </w:rPr>
              <w:t>《排污许可证申请与核发技术规范</w:t>
            </w:r>
            <w:r>
              <w:rPr>
                <w:rFonts w:hint="eastAsia" w:ascii="Times New Roman" w:hAnsi="Times New Roman" w:eastAsia="宋体" w:cs="Times New Roman"/>
                <w:color w:val="auto"/>
                <w:kern w:val="0"/>
                <w:sz w:val="26"/>
                <w:szCs w:val="26"/>
                <w:lang w:val="en-US" w:eastAsia="zh-CN"/>
              </w:rPr>
              <w:t xml:space="preserve"> </w:t>
            </w:r>
            <w:r>
              <w:rPr>
                <w:rFonts w:hint="default" w:ascii="Times New Roman" w:hAnsi="Times New Roman" w:eastAsia="宋体" w:cs="Times New Roman"/>
                <w:color w:val="auto"/>
                <w:kern w:val="0"/>
                <w:sz w:val="26"/>
                <w:szCs w:val="26"/>
                <w:lang w:val="en-US" w:eastAsia="zh-CN"/>
              </w:rPr>
              <w:t>金属铸造工业》</w:t>
            </w:r>
            <w:r>
              <w:rPr>
                <w:rFonts w:hint="eastAsia" w:ascii="Times New Roman" w:hAnsi="Times New Roman" w:eastAsia="宋体" w:cs="Times New Roman"/>
                <w:color w:val="auto"/>
                <w:kern w:val="0"/>
                <w:sz w:val="26"/>
                <w:szCs w:val="26"/>
                <w:lang w:val="en-US" w:eastAsia="zh-CN"/>
              </w:rPr>
              <w:t>（</w:t>
            </w:r>
            <w:r>
              <w:rPr>
                <w:rFonts w:hint="default" w:ascii="Times New Roman" w:hAnsi="Times New Roman" w:eastAsia="宋体" w:cs="Times New Roman"/>
                <w:color w:val="auto"/>
                <w:kern w:val="0"/>
                <w:sz w:val="26"/>
                <w:szCs w:val="26"/>
                <w:lang w:val="en-US" w:eastAsia="zh-CN"/>
              </w:rPr>
              <w:t>HJ1115-202</w:t>
            </w:r>
            <w:r>
              <w:rPr>
                <w:rFonts w:hint="default" w:ascii="Times New Roman" w:hAnsi="Times New Roman" w:eastAsia="宋体" w:cs="Times New Roman"/>
                <w:color w:val="auto"/>
                <w:kern w:val="0"/>
                <w:sz w:val="26"/>
                <w:szCs w:val="26"/>
                <w:highlight w:val="none"/>
                <w:lang w:val="en-US" w:eastAsia="zh-CN"/>
              </w:rPr>
              <w:t>0</w:t>
            </w:r>
            <w:r>
              <w:rPr>
                <w:rFonts w:hint="eastAsia" w:ascii="Times New Roman" w:hAnsi="Times New Roman" w:eastAsia="宋体" w:cs="Times New Roman"/>
                <w:color w:val="auto"/>
                <w:kern w:val="0"/>
                <w:sz w:val="26"/>
                <w:szCs w:val="26"/>
                <w:highlight w:val="none"/>
                <w:lang w:val="en-US" w:eastAsia="zh-CN"/>
              </w:rPr>
              <w:t>），燃气炉、感应电炉、其他熔炼（化）设备除（</w:t>
            </w:r>
            <w:r>
              <w:rPr>
                <w:rFonts w:hint="eastAsia" w:ascii="Times New Roman" w:hAnsi="Times New Roman" w:eastAsia="宋体" w:cs="Times New Roman"/>
                <w:color w:val="auto"/>
                <w:kern w:val="0"/>
                <w:sz w:val="26"/>
                <w:szCs w:val="26"/>
                <w:lang w:val="en-US" w:eastAsia="zh-CN"/>
              </w:rPr>
              <w:t>适用于铅基及铅青铜合金铸造排污单位）为一般排放口，燃气热处理炉</w:t>
            </w:r>
            <w:r>
              <w:rPr>
                <w:rFonts w:hint="eastAsia" w:ascii="Times New Roman" w:hAnsi="Times New Roman" w:eastAsia="宋体" w:cs="Times New Roman"/>
                <w:color w:val="auto"/>
                <w:sz w:val="26"/>
                <w:szCs w:val="26"/>
                <w:lang w:val="en-US" w:eastAsia="zh-CN"/>
              </w:rPr>
              <w:t>为一般排放口。同时根据《</w:t>
            </w:r>
            <w:r>
              <w:rPr>
                <w:rFonts w:hint="default" w:ascii="Times New Roman" w:hAnsi="Times New Roman" w:eastAsia="宋体" w:cs="Times New Roman"/>
                <w:color w:val="auto"/>
                <w:sz w:val="26"/>
                <w:szCs w:val="26"/>
                <w:lang w:val="en-US" w:eastAsia="zh-CN"/>
              </w:rPr>
              <w:t xml:space="preserve">排污许可证申请与核发技术规范 </w:t>
            </w:r>
            <w:r>
              <w:rPr>
                <w:rFonts w:hint="eastAsia" w:ascii="Times New Roman" w:hAnsi="Times New Roman" w:eastAsia="宋体" w:cs="Times New Roman"/>
                <w:color w:val="auto"/>
                <w:sz w:val="26"/>
                <w:szCs w:val="26"/>
                <w:lang w:val="en-US" w:eastAsia="zh-CN"/>
              </w:rPr>
              <w:t>工业炉窑》（</w:t>
            </w:r>
            <w:r>
              <w:rPr>
                <w:rFonts w:hint="default" w:ascii="Times New Roman" w:hAnsi="Times New Roman" w:eastAsia="宋体" w:cs="Times New Roman"/>
                <w:color w:val="auto"/>
                <w:sz w:val="26"/>
                <w:szCs w:val="26"/>
                <w:lang w:val="en-US" w:eastAsia="zh-CN"/>
              </w:rPr>
              <w:t>HJ1121—2020</w:t>
            </w:r>
            <w:r>
              <w:rPr>
                <w:rFonts w:hint="eastAsia" w:ascii="Times New Roman" w:hAnsi="Times New Roman" w:eastAsia="宋体" w:cs="Times New Roman"/>
                <w:color w:val="auto"/>
                <w:sz w:val="26"/>
                <w:szCs w:val="26"/>
                <w:lang w:val="en-US" w:eastAsia="zh-CN"/>
              </w:rPr>
              <w:t>），重点管理工业炉窑单位“其他有色金属合金熔化炉”及“热处理炉”均为主要排放口，为从严管理，本项目熔炼废气排气筒DA002及均质废气DA004排放口类型均为主要排放口，铝回收装置排气筒DA003为一般排放口。</w:t>
            </w:r>
          </w:p>
          <w:p w14:paraId="56457B1C">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本项目</w:t>
            </w:r>
            <w:r>
              <w:rPr>
                <w:rFonts w:hint="default" w:ascii="Times New Roman" w:hAnsi="Times New Roman" w:eastAsia="宋体" w:cs="Times New Roman"/>
                <w:color w:val="auto"/>
                <w:sz w:val="26"/>
                <w:szCs w:val="26"/>
                <w:lang w:val="en-US" w:eastAsia="zh-CN"/>
              </w:rPr>
              <w:t>废气排放口基本情况</w:t>
            </w:r>
            <w:r>
              <w:rPr>
                <w:rFonts w:hint="eastAsia" w:ascii="Times New Roman" w:hAnsi="Times New Roman" w:eastAsia="宋体" w:cs="Times New Roman"/>
                <w:color w:val="auto"/>
                <w:sz w:val="26"/>
                <w:szCs w:val="26"/>
                <w:lang w:val="en-US" w:eastAsia="zh-CN"/>
              </w:rPr>
              <w:t>详</w:t>
            </w:r>
            <w:r>
              <w:rPr>
                <w:rFonts w:hint="default" w:ascii="Times New Roman" w:hAnsi="Times New Roman" w:eastAsia="宋体" w:cs="Times New Roman"/>
                <w:color w:val="auto"/>
                <w:sz w:val="26"/>
                <w:szCs w:val="26"/>
                <w:lang w:val="en-US" w:eastAsia="zh-CN"/>
              </w:rPr>
              <w:t>见下表</w:t>
            </w:r>
            <w:r>
              <w:rPr>
                <w:rFonts w:hint="eastAsia" w:ascii="Times New Roman" w:hAnsi="Times New Roman" w:eastAsia="宋体" w:cs="Times New Roman"/>
                <w:color w:val="auto"/>
                <w:sz w:val="26"/>
                <w:szCs w:val="26"/>
                <w:lang w:val="en-US" w:eastAsia="zh-CN"/>
              </w:rPr>
              <w:t>。</w:t>
            </w:r>
          </w:p>
          <w:p w14:paraId="767E6BD0">
            <w:pPr>
              <w:autoSpaceDE w:val="0"/>
              <w:autoSpaceDN w:val="0"/>
              <w:adjustRightInd w:val="0"/>
              <w:spacing w:line="460" w:lineRule="exact"/>
              <w:jc w:val="center"/>
              <w:rPr>
                <w:rFonts w:hint="default" w:ascii="Times New Roman" w:hAnsi="Times New Roman" w:eastAsia="宋体" w:cs="Times New Roman"/>
                <w:b/>
                <w:bCs w:val="0"/>
                <w:color w:val="auto"/>
                <w:sz w:val="26"/>
                <w:szCs w:val="26"/>
                <w:lang w:val="en-US" w:eastAsia="zh-CN"/>
              </w:rPr>
            </w:pPr>
            <w:r>
              <w:rPr>
                <w:rFonts w:hint="default" w:ascii="Times New Roman" w:hAnsi="Times New Roman" w:eastAsia="宋体" w:cs="Times New Roman"/>
                <w:b/>
                <w:bCs w:val="0"/>
                <w:color w:val="auto"/>
                <w:sz w:val="26"/>
                <w:szCs w:val="26"/>
                <w:lang w:val="en-US" w:eastAsia="zh-CN"/>
              </w:rPr>
              <w:t>表4.2</w:t>
            </w:r>
            <w:r>
              <w:rPr>
                <w:rFonts w:hint="eastAsia" w:ascii="Times New Roman" w:hAnsi="Times New Roman" w:eastAsia="宋体" w:cs="Times New Roman"/>
                <w:b/>
                <w:bCs w:val="0"/>
                <w:color w:val="auto"/>
                <w:sz w:val="26"/>
                <w:szCs w:val="26"/>
                <w:lang w:val="en-US" w:eastAsia="zh-CN"/>
              </w:rPr>
              <w:t>-9</w:t>
            </w:r>
            <w:r>
              <w:rPr>
                <w:rFonts w:hint="default" w:ascii="Times New Roman" w:hAnsi="Times New Roman" w:eastAsia="宋体" w:cs="Times New Roman"/>
                <w:b/>
                <w:bCs w:val="0"/>
                <w:color w:val="auto"/>
                <w:sz w:val="26"/>
                <w:szCs w:val="26"/>
                <w:lang w:val="en-US" w:eastAsia="zh-CN"/>
              </w:rPr>
              <w:t xml:space="preserve">  废气排放口基本情况一览表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323"/>
              <w:gridCol w:w="1088"/>
              <w:gridCol w:w="972"/>
              <w:gridCol w:w="1046"/>
              <w:gridCol w:w="769"/>
              <w:gridCol w:w="929"/>
              <w:gridCol w:w="713"/>
            </w:tblGrid>
            <w:tr w14:paraId="7E08EF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8" w:type="dxa"/>
                  <w:vMerge w:val="restart"/>
                  <w:tcBorders>
                    <w:tl2br w:val="nil"/>
                    <w:tr2bl w:val="nil"/>
                  </w:tcBorders>
                  <w:noWrap w:val="0"/>
                  <w:vAlign w:val="center"/>
                </w:tcPr>
                <w:p w14:paraId="2077881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排放口编号</w:t>
                  </w:r>
                </w:p>
              </w:tc>
              <w:tc>
                <w:tcPr>
                  <w:tcW w:w="1325" w:type="dxa"/>
                  <w:vMerge w:val="restart"/>
                  <w:tcBorders>
                    <w:tl2br w:val="nil"/>
                    <w:tr2bl w:val="nil"/>
                  </w:tcBorders>
                  <w:noWrap w:val="0"/>
                  <w:vAlign w:val="center"/>
                </w:tcPr>
                <w:p w14:paraId="777B591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排放口名称</w:t>
                  </w:r>
                </w:p>
              </w:tc>
              <w:tc>
                <w:tcPr>
                  <w:tcW w:w="2062" w:type="dxa"/>
                  <w:gridSpan w:val="2"/>
                  <w:tcBorders>
                    <w:tl2br w:val="nil"/>
                    <w:tr2bl w:val="nil"/>
                  </w:tcBorders>
                  <w:noWrap w:val="0"/>
                  <w:vAlign w:val="center"/>
                </w:tcPr>
                <w:p w14:paraId="4B84D32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排放口地理坐标</w:t>
                  </w:r>
                </w:p>
              </w:tc>
              <w:tc>
                <w:tcPr>
                  <w:tcW w:w="1047" w:type="dxa"/>
                  <w:vMerge w:val="restart"/>
                  <w:tcBorders>
                    <w:tl2br w:val="nil"/>
                    <w:tr2bl w:val="nil"/>
                  </w:tcBorders>
                  <w:noWrap w:val="0"/>
                  <w:vAlign w:val="center"/>
                </w:tcPr>
                <w:p w14:paraId="7F0A00E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排放口类型</w:t>
                  </w:r>
                </w:p>
              </w:tc>
              <w:tc>
                <w:tcPr>
                  <w:tcW w:w="770" w:type="dxa"/>
                  <w:vMerge w:val="restart"/>
                  <w:tcBorders>
                    <w:tl2br w:val="nil"/>
                    <w:tr2bl w:val="nil"/>
                  </w:tcBorders>
                  <w:noWrap w:val="0"/>
                  <w:vAlign w:val="center"/>
                </w:tcPr>
                <w:p w14:paraId="143DCF4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排气筒高度(m)</w:t>
                  </w:r>
                </w:p>
              </w:tc>
              <w:tc>
                <w:tcPr>
                  <w:tcW w:w="930" w:type="dxa"/>
                  <w:vMerge w:val="restart"/>
                  <w:tcBorders>
                    <w:tl2br w:val="nil"/>
                    <w:tr2bl w:val="nil"/>
                  </w:tcBorders>
                  <w:noWrap w:val="0"/>
                  <w:vAlign w:val="center"/>
                </w:tcPr>
                <w:p w14:paraId="6B8C1B4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排气筒出口内径(m)</w:t>
                  </w:r>
                </w:p>
              </w:tc>
              <w:tc>
                <w:tcPr>
                  <w:tcW w:w="714" w:type="dxa"/>
                  <w:vMerge w:val="restart"/>
                  <w:tcBorders>
                    <w:tl2br w:val="nil"/>
                    <w:tr2bl w:val="nil"/>
                  </w:tcBorders>
                  <w:noWrap w:val="0"/>
                  <w:vAlign w:val="center"/>
                </w:tcPr>
                <w:p w14:paraId="00C22E4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排气温度(℃)</w:t>
                  </w:r>
                </w:p>
              </w:tc>
            </w:tr>
            <w:tr w14:paraId="6BF5E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8" w:type="dxa"/>
                  <w:vMerge w:val="continue"/>
                  <w:tcBorders>
                    <w:tl2br w:val="nil"/>
                    <w:tr2bl w:val="nil"/>
                  </w:tcBorders>
                  <w:noWrap w:val="0"/>
                  <w:vAlign w:val="center"/>
                </w:tcPr>
                <w:p w14:paraId="3BC37C3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1325" w:type="dxa"/>
                  <w:vMerge w:val="continue"/>
                  <w:tcBorders>
                    <w:tl2br w:val="nil"/>
                    <w:tr2bl w:val="nil"/>
                  </w:tcBorders>
                  <w:noWrap w:val="0"/>
                  <w:vAlign w:val="center"/>
                </w:tcPr>
                <w:p w14:paraId="0C36E22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1089" w:type="dxa"/>
                  <w:tcBorders>
                    <w:tl2br w:val="nil"/>
                    <w:tr2bl w:val="nil"/>
                  </w:tcBorders>
                  <w:noWrap w:val="0"/>
                  <w:vAlign w:val="center"/>
                </w:tcPr>
                <w:p w14:paraId="77F9B90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经度</w:t>
                  </w:r>
                </w:p>
              </w:tc>
              <w:tc>
                <w:tcPr>
                  <w:tcW w:w="973" w:type="dxa"/>
                  <w:tcBorders>
                    <w:tl2br w:val="nil"/>
                    <w:tr2bl w:val="nil"/>
                  </w:tcBorders>
                  <w:noWrap w:val="0"/>
                  <w:vAlign w:val="center"/>
                </w:tcPr>
                <w:p w14:paraId="7EA2445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纬度</w:t>
                  </w:r>
                </w:p>
              </w:tc>
              <w:tc>
                <w:tcPr>
                  <w:tcW w:w="1047" w:type="dxa"/>
                  <w:vMerge w:val="continue"/>
                  <w:tcBorders>
                    <w:tl2br w:val="nil"/>
                    <w:tr2bl w:val="nil"/>
                  </w:tcBorders>
                  <w:noWrap w:val="0"/>
                  <w:vAlign w:val="center"/>
                </w:tcPr>
                <w:p w14:paraId="7B52121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770" w:type="dxa"/>
                  <w:vMerge w:val="continue"/>
                  <w:tcBorders>
                    <w:tl2br w:val="nil"/>
                    <w:tr2bl w:val="nil"/>
                  </w:tcBorders>
                  <w:noWrap w:val="0"/>
                  <w:vAlign w:val="center"/>
                </w:tcPr>
                <w:p w14:paraId="73EF11B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930" w:type="dxa"/>
                  <w:vMerge w:val="continue"/>
                  <w:tcBorders>
                    <w:tl2br w:val="nil"/>
                    <w:tr2bl w:val="nil"/>
                  </w:tcBorders>
                  <w:noWrap w:val="0"/>
                  <w:vAlign w:val="center"/>
                </w:tcPr>
                <w:p w14:paraId="68CE0FE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714" w:type="dxa"/>
                  <w:vMerge w:val="continue"/>
                  <w:tcBorders>
                    <w:tl2br w:val="nil"/>
                    <w:tr2bl w:val="nil"/>
                  </w:tcBorders>
                  <w:noWrap w:val="0"/>
                  <w:vAlign w:val="center"/>
                </w:tcPr>
                <w:p w14:paraId="23FF9BF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r>
            <w:tr w14:paraId="2E1948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8" w:type="dxa"/>
                  <w:tcBorders>
                    <w:tl2br w:val="nil"/>
                    <w:tr2bl w:val="nil"/>
                  </w:tcBorders>
                  <w:noWrap w:val="0"/>
                  <w:vAlign w:val="center"/>
                </w:tcPr>
                <w:p w14:paraId="3F3D360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highlight w:val="none"/>
                      <w:vertAlign w:val="baseline"/>
                      <w:lang w:val="en-US" w:eastAsia="zh-CN" w:bidi="ar-SA"/>
                    </w:rPr>
                  </w:pPr>
                  <w:r>
                    <w:rPr>
                      <w:rFonts w:hint="default" w:ascii="Times New Roman" w:hAnsi="Times New Roman" w:eastAsia="宋体" w:cs="Times New Roman"/>
                      <w:bCs/>
                      <w:color w:val="auto"/>
                      <w:sz w:val="22"/>
                      <w:szCs w:val="22"/>
                      <w:highlight w:val="none"/>
                      <w:vertAlign w:val="baseline"/>
                      <w:lang w:val="en-US" w:eastAsia="zh-CN"/>
                    </w:rPr>
                    <w:t>DA002</w:t>
                  </w:r>
                </w:p>
              </w:tc>
              <w:tc>
                <w:tcPr>
                  <w:tcW w:w="1325" w:type="dxa"/>
                  <w:tcBorders>
                    <w:tl2br w:val="nil"/>
                    <w:tr2bl w:val="nil"/>
                  </w:tcBorders>
                  <w:noWrap w:val="0"/>
                  <w:vAlign w:val="center"/>
                </w:tcPr>
                <w:p w14:paraId="52EE94C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highlight w:val="none"/>
                      <w:vertAlign w:val="baseline"/>
                      <w:lang w:val="en-US" w:eastAsia="zh-CN" w:bidi="ar-SA"/>
                    </w:rPr>
                  </w:pPr>
                  <w:r>
                    <w:rPr>
                      <w:rFonts w:hint="default" w:ascii="Times New Roman" w:hAnsi="Times New Roman" w:eastAsia="宋体" w:cs="Times New Roman"/>
                      <w:bCs/>
                      <w:color w:val="auto"/>
                      <w:sz w:val="22"/>
                      <w:szCs w:val="22"/>
                      <w:highlight w:val="none"/>
                      <w:vertAlign w:val="baseline"/>
                      <w:lang w:val="en-US" w:eastAsia="zh-CN"/>
                    </w:rPr>
                    <w:t>熔炼废气2#排气筒</w:t>
                  </w:r>
                </w:p>
              </w:tc>
              <w:tc>
                <w:tcPr>
                  <w:tcW w:w="1089" w:type="dxa"/>
                  <w:tcBorders>
                    <w:tl2br w:val="nil"/>
                    <w:tr2bl w:val="nil"/>
                  </w:tcBorders>
                  <w:noWrap w:val="0"/>
                  <w:vAlign w:val="center"/>
                </w:tcPr>
                <w:p w14:paraId="6B8E166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highlight w:val="none"/>
                      <w:vertAlign w:val="baseline"/>
                      <w:lang w:val="en-US" w:eastAsia="zh-CN" w:bidi="ar-SA"/>
                    </w:rPr>
                  </w:pPr>
                  <w:r>
                    <w:rPr>
                      <w:rFonts w:hint="default" w:ascii="Times New Roman" w:hAnsi="Times New Roman" w:eastAsia="宋体" w:cs="Times New Roman"/>
                      <w:bCs/>
                      <w:color w:val="auto"/>
                      <w:sz w:val="22"/>
                      <w:szCs w:val="22"/>
                      <w:highlight w:val="none"/>
                      <w:vertAlign w:val="baseline"/>
                      <w:lang w:val="en-US" w:eastAsia="zh-CN"/>
                    </w:rPr>
                    <w:t>106.319908E</w:t>
                  </w:r>
                </w:p>
              </w:tc>
              <w:tc>
                <w:tcPr>
                  <w:tcW w:w="973" w:type="dxa"/>
                  <w:tcBorders>
                    <w:tl2br w:val="nil"/>
                    <w:tr2bl w:val="nil"/>
                  </w:tcBorders>
                  <w:noWrap w:val="0"/>
                  <w:vAlign w:val="center"/>
                </w:tcPr>
                <w:p w14:paraId="20F97C1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highlight w:val="none"/>
                      <w:vertAlign w:val="baseline"/>
                      <w:lang w:val="en-US" w:eastAsia="zh-CN" w:bidi="ar-SA"/>
                    </w:rPr>
                  </w:pPr>
                  <w:r>
                    <w:rPr>
                      <w:rFonts w:hint="default" w:ascii="Times New Roman" w:hAnsi="Times New Roman" w:eastAsia="宋体" w:cs="Times New Roman"/>
                      <w:bCs/>
                      <w:color w:val="auto"/>
                      <w:sz w:val="22"/>
                      <w:szCs w:val="22"/>
                      <w:highlight w:val="none"/>
                      <w:vertAlign w:val="baseline"/>
                      <w:lang w:val="en-US" w:eastAsia="zh-CN"/>
                    </w:rPr>
                    <w:t>29.316236N</w:t>
                  </w:r>
                </w:p>
              </w:tc>
              <w:tc>
                <w:tcPr>
                  <w:tcW w:w="1047" w:type="dxa"/>
                  <w:tcBorders>
                    <w:tl2br w:val="nil"/>
                    <w:tr2bl w:val="nil"/>
                  </w:tcBorders>
                  <w:noWrap w:val="0"/>
                  <w:vAlign w:val="center"/>
                </w:tcPr>
                <w:p w14:paraId="576FF4E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highlight w:val="none"/>
                      <w:vertAlign w:val="baseline"/>
                      <w:lang w:val="en-US" w:eastAsia="zh-CN" w:bidi="ar-SA"/>
                    </w:rPr>
                  </w:pPr>
                  <w:r>
                    <w:rPr>
                      <w:rFonts w:hint="default" w:ascii="Times New Roman" w:hAnsi="Times New Roman" w:eastAsia="宋体" w:cs="Times New Roman"/>
                      <w:bCs/>
                      <w:color w:val="auto"/>
                      <w:sz w:val="22"/>
                      <w:szCs w:val="22"/>
                      <w:highlight w:val="none"/>
                      <w:vertAlign w:val="baseline"/>
                      <w:lang w:val="en-US" w:eastAsia="zh-CN"/>
                    </w:rPr>
                    <w:t>主要排放口</w:t>
                  </w:r>
                </w:p>
              </w:tc>
              <w:tc>
                <w:tcPr>
                  <w:tcW w:w="770" w:type="dxa"/>
                  <w:tcBorders>
                    <w:tl2br w:val="nil"/>
                    <w:tr2bl w:val="nil"/>
                  </w:tcBorders>
                  <w:noWrap w:val="0"/>
                  <w:vAlign w:val="center"/>
                </w:tcPr>
                <w:p w14:paraId="135BDC5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highlight w:val="none"/>
                      <w:vertAlign w:val="baseline"/>
                      <w:lang w:val="en-US" w:eastAsia="zh-CN" w:bidi="ar-SA"/>
                    </w:rPr>
                  </w:pPr>
                  <w:r>
                    <w:rPr>
                      <w:rFonts w:hint="default" w:ascii="Times New Roman" w:hAnsi="Times New Roman" w:eastAsia="宋体" w:cs="Times New Roman"/>
                      <w:bCs/>
                      <w:color w:val="auto"/>
                      <w:sz w:val="22"/>
                      <w:szCs w:val="22"/>
                      <w:highlight w:val="none"/>
                      <w:vertAlign w:val="baseline"/>
                      <w:lang w:val="en-US" w:eastAsia="zh-CN"/>
                    </w:rPr>
                    <w:t>21</w:t>
                  </w:r>
                </w:p>
              </w:tc>
              <w:tc>
                <w:tcPr>
                  <w:tcW w:w="930" w:type="dxa"/>
                  <w:tcBorders>
                    <w:tl2br w:val="nil"/>
                    <w:tr2bl w:val="nil"/>
                  </w:tcBorders>
                  <w:noWrap w:val="0"/>
                  <w:vAlign w:val="center"/>
                </w:tcPr>
                <w:p w14:paraId="2C66427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highlight w:val="none"/>
                      <w:vertAlign w:val="baseline"/>
                      <w:lang w:val="en-US" w:eastAsia="zh-CN" w:bidi="ar-SA"/>
                    </w:rPr>
                  </w:pPr>
                  <w:r>
                    <w:rPr>
                      <w:rFonts w:hint="default" w:ascii="Times New Roman" w:hAnsi="Times New Roman" w:eastAsia="宋体" w:cs="Times New Roman"/>
                      <w:bCs/>
                      <w:color w:val="auto"/>
                      <w:sz w:val="22"/>
                      <w:szCs w:val="22"/>
                      <w:highlight w:val="none"/>
                      <w:vertAlign w:val="baseline"/>
                      <w:lang w:val="en-US" w:eastAsia="zh-CN"/>
                    </w:rPr>
                    <w:t>1.8</w:t>
                  </w:r>
                </w:p>
              </w:tc>
              <w:tc>
                <w:tcPr>
                  <w:tcW w:w="714" w:type="dxa"/>
                  <w:tcBorders>
                    <w:tl2br w:val="nil"/>
                    <w:tr2bl w:val="nil"/>
                  </w:tcBorders>
                  <w:noWrap w:val="0"/>
                  <w:vAlign w:val="center"/>
                </w:tcPr>
                <w:p w14:paraId="1492BFE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kern w:val="2"/>
                      <w:sz w:val="22"/>
                      <w:szCs w:val="22"/>
                      <w:highlight w:val="none"/>
                      <w:vertAlign w:val="baseline"/>
                      <w:lang w:val="en-US" w:eastAsia="zh-CN" w:bidi="ar-SA"/>
                    </w:rPr>
                  </w:pPr>
                  <w:r>
                    <w:rPr>
                      <w:rFonts w:hint="default" w:ascii="Times New Roman" w:hAnsi="Times New Roman" w:eastAsia="宋体" w:cs="Times New Roman"/>
                      <w:bCs/>
                      <w:color w:val="auto"/>
                      <w:sz w:val="22"/>
                      <w:szCs w:val="22"/>
                      <w:highlight w:val="none"/>
                      <w:vertAlign w:val="baseline"/>
                      <w:lang w:val="en-US" w:eastAsia="zh-CN"/>
                    </w:rPr>
                    <w:t>80</w:t>
                  </w:r>
                </w:p>
              </w:tc>
            </w:tr>
            <w:tr w14:paraId="108493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8" w:type="dxa"/>
                  <w:tcBorders>
                    <w:tl2br w:val="nil"/>
                    <w:tr2bl w:val="nil"/>
                  </w:tcBorders>
                  <w:noWrap w:val="0"/>
                  <w:vAlign w:val="center"/>
                </w:tcPr>
                <w:p w14:paraId="1069D97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DA003</w:t>
                  </w:r>
                </w:p>
              </w:tc>
              <w:tc>
                <w:tcPr>
                  <w:tcW w:w="1325" w:type="dxa"/>
                  <w:tcBorders>
                    <w:tl2br w:val="nil"/>
                    <w:tr2bl w:val="nil"/>
                  </w:tcBorders>
                  <w:noWrap w:val="0"/>
                  <w:vAlign w:val="center"/>
                </w:tcPr>
                <w:p w14:paraId="4245BA4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铝回收装置排气筒</w:t>
                  </w:r>
                </w:p>
              </w:tc>
              <w:tc>
                <w:tcPr>
                  <w:tcW w:w="1089" w:type="dxa"/>
                  <w:tcBorders>
                    <w:tl2br w:val="nil"/>
                    <w:tr2bl w:val="nil"/>
                  </w:tcBorders>
                  <w:noWrap w:val="0"/>
                  <w:vAlign w:val="center"/>
                </w:tcPr>
                <w:p w14:paraId="6168D0E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106.319771E</w:t>
                  </w:r>
                </w:p>
              </w:tc>
              <w:tc>
                <w:tcPr>
                  <w:tcW w:w="973" w:type="dxa"/>
                  <w:tcBorders>
                    <w:tl2br w:val="nil"/>
                    <w:tr2bl w:val="nil"/>
                  </w:tcBorders>
                  <w:noWrap w:val="0"/>
                  <w:vAlign w:val="center"/>
                </w:tcPr>
                <w:p w14:paraId="2B0C9C6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29.316316N</w:t>
                  </w:r>
                </w:p>
              </w:tc>
              <w:tc>
                <w:tcPr>
                  <w:tcW w:w="1047" w:type="dxa"/>
                  <w:tcBorders>
                    <w:tl2br w:val="nil"/>
                    <w:tr2bl w:val="nil"/>
                  </w:tcBorders>
                  <w:noWrap w:val="0"/>
                  <w:vAlign w:val="center"/>
                </w:tcPr>
                <w:p w14:paraId="582349B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一般排放口</w:t>
                  </w:r>
                </w:p>
              </w:tc>
              <w:tc>
                <w:tcPr>
                  <w:tcW w:w="770" w:type="dxa"/>
                  <w:tcBorders>
                    <w:tl2br w:val="nil"/>
                    <w:tr2bl w:val="nil"/>
                  </w:tcBorders>
                  <w:noWrap w:val="0"/>
                  <w:vAlign w:val="center"/>
                </w:tcPr>
                <w:p w14:paraId="6DBB376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20</w:t>
                  </w:r>
                </w:p>
              </w:tc>
              <w:tc>
                <w:tcPr>
                  <w:tcW w:w="930" w:type="dxa"/>
                  <w:tcBorders>
                    <w:tl2br w:val="nil"/>
                    <w:tr2bl w:val="nil"/>
                  </w:tcBorders>
                  <w:noWrap w:val="0"/>
                  <w:vAlign w:val="center"/>
                </w:tcPr>
                <w:p w14:paraId="3159D68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1.2</w:t>
                  </w:r>
                </w:p>
              </w:tc>
              <w:tc>
                <w:tcPr>
                  <w:tcW w:w="714" w:type="dxa"/>
                  <w:tcBorders>
                    <w:tl2br w:val="nil"/>
                    <w:tr2bl w:val="nil"/>
                  </w:tcBorders>
                  <w:noWrap w:val="0"/>
                  <w:vAlign w:val="center"/>
                </w:tcPr>
                <w:p w14:paraId="5923172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60</w:t>
                  </w:r>
                </w:p>
              </w:tc>
            </w:tr>
            <w:tr w14:paraId="41F68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8" w:type="dxa"/>
                  <w:tcBorders>
                    <w:tl2br w:val="nil"/>
                    <w:tr2bl w:val="nil"/>
                  </w:tcBorders>
                  <w:noWrap w:val="0"/>
                  <w:vAlign w:val="center"/>
                </w:tcPr>
                <w:p w14:paraId="4D79E03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DA004</w:t>
                  </w:r>
                </w:p>
              </w:tc>
              <w:tc>
                <w:tcPr>
                  <w:tcW w:w="1325" w:type="dxa"/>
                  <w:tcBorders>
                    <w:tl2br w:val="nil"/>
                    <w:tr2bl w:val="nil"/>
                  </w:tcBorders>
                  <w:noWrap w:val="0"/>
                  <w:vAlign w:val="center"/>
                </w:tcPr>
                <w:p w14:paraId="0CFA147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均质废气</w:t>
                  </w:r>
                </w:p>
              </w:tc>
              <w:tc>
                <w:tcPr>
                  <w:tcW w:w="1089" w:type="dxa"/>
                  <w:tcBorders>
                    <w:tl2br w:val="nil"/>
                    <w:tr2bl w:val="nil"/>
                  </w:tcBorders>
                  <w:noWrap w:val="0"/>
                  <w:vAlign w:val="center"/>
                </w:tcPr>
                <w:p w14:paraId="5E0130C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106.319597E</w:t>
                  </w:r>
                </w:p>
              </w:tc>
              <w:tc>
                <w:tcPr>
                  <w:tcW w:w="973" w:type="dxa"/>
                  <w:tcBorders>
                    <w:tl2br w:val="nil"/>
                    <w:tr2bl w:val="nil"/>
                  </w:tcBorders>
                  <w:noWrap w:val="0"/>
                  <w:vAlign w:val="center"/>
                </w:tcPr>
                <w:p w14:paraId="63FEA88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29.315482N</w:t>
                  </w:r>
                </w:p>
              </w:tc>
              <w:tc>
                <w:tcPr>
                  <w:tcW w:w="1047" w:type="dxa"/>
                  <w:tcBorders>
                    <w:tl2br w:val="nil"/>
                    <w:tr2bl w:val="nil"/>
                  </w:tcBorders>
                  <w:noWrap w:val="0"/>
                  <w:vAlign w:val="center"/>
                </w:tcPr>
                <w:p w14:paraId="2264CE8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主要排放口</w:t>
                  </w:r>
                </w:p>
              </w:tc>
              <w:tc>
                <w:tcPr>
                  <w:tcW w:w="770" w:type="dxa"/>
                  <w:tcBorders>
                    <w:tl2br w:val="nil"/>
                    <w:tr2bl w:val="nil"/>
                  </w:tcBorders>
                  <w:noWrap w:val="0"/>
                  <w:vAlign w:val="center"/>
                </w:tcPr>
                <w:p w14:paraId="4A92368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15</w:t>
                  </w:r>
                </w:p>
              </w:tc>
              <w:tc>
                <w:tcPr>
                  <w:tcW w:w="930" w:type="dxa"/>
                  <w:tcBorders>
                    <w:tl2br w:val="nil"/>
                    <w:tr2bl w:val="nil"/>
                  </w:tcBorders>
                  <w:noWrap w:val="0"/>
                  <w:vAlign w:val="center"/>
                </w:tcPr>
                <w:p w14:paraId="3F63E25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0.7</w:t>
                  </w:r>
                </w:p>
              </w:tc>
              <w:tc>
                <w:tcPr>
                  <w:tcW w:w="714" w:type="dxa"/>
                  <w:tcBorders>
                    <w:tl2br w:val="nil"/>
                    <w:tr2bl w:val="nil"/>
                  </w:tcBorders>
                  <w:noWrap w:val="0"/>
                  <w:vAlign w:val="center"/>
                </w:tcPr>
                <w:p w14:paraId="428B353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100</w:t>
                  </w:r>
                </w:p>
              </w:tc>
            </w:tr>
          </w:tbl>
          <w:p w14:paraId="7B94AEA8">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default" w:ascii="Times New Roman" w:hAnsi="Times New Roman" w:eastAsia="宋体" w:cs="Times New Roman"/>
                <w:b/>
                <w:bCs/>
                <w:color w:val="auto"/>
                <w:sz w:val="26"/>
                <w:szCs w:val="26"/>
                <w:lang w:val="en-US" w:eastAsia="zh-CN"/>
              </w:rPr>
              <w:t>4.2.1.</w:t>
            </w:r>
            <w:r>
              <w:rPr>
                <w:rFonts w:hint="eastAsia" w:ascii="Times New Roman" w:hAnsi="Times New Roman" w:eastAsia="宋体" w:cs="Times New Roman"/>
                <w:b/>
                <w:bCs/>
                <w:color w:val="auto"/>
                <w:sz w:val="26"/>
                <w:szCs w:val="26"/>
                <w:lang w:val="en-US" w:eastAsia="zh-CN"/>
              </w:rPr>
              <w:t>3</w:t>
            </w:r>
            <w:r>
              <w:rPr>
                <w:rFonts w:hint="default" w:ascii="Times New Roman" w:hAnsi="Times New Roman" w:eastAsia="宋体" w:cs="Times New Roman"/>
                <w:b/>
                <w:bCs/>
                <w:color w:val="auto"/>
                <w:sz w:val="26"/>
                <w:szCs w:val="26"/>
                <w:lang w:val="en-US" w:eastAsia="zh-CN"/>
              </w:rPr>
              <w:t>排放标准</w:t>
            </w:r>
          </w:p>
          <w:p w14:paraId="1A6D59FE">
            <w:pPr>
              <w:adjustRightInd w:val="0"/>
              <w:snapToGrid w:val="0"/>
              <w:spacing w:line="460" w:lineRule="exact"/>
              <w:ind w:firstLine="520" w:firstLineChars="200"/>
              <w:rPr>
                <w:rFonts w:hint="default" w:ascii="Times New Roman" w:hAnsi="Times New Roman" w:eastAsia="宋体" w:cs="Times New Roman"/>
                <w:b/>
                <w:color w:val="auto"/>
                <w:sz w:val="26"/>
                <w:szCs w:val="26"/>
                <w:lang w:val="en-US" w:eastAsia="zh-CN"/>
              </w:rPr>
            </w:pPr>
            <w:r>
              <w:rPr>
                <w:rFonts w:hint="eastAsia" w:ascii="Times New Roman" w:hAnsi="Times New Roman" w:cs="Times New Roman"/>
                <w:bCs/>
                <w:color w:val="auto"/>
                <w:sz w:val="26"/>
                <w:szCs w:val="26"/>
                <w:lang w:val="en-US" w:eastAsia="zh-CN"/>
              </w:rPr>
              <w:t>本</w:t>
            </w:r>
            <w:r>
              <w:rPr>
                <w:rFonts w:hint="default" w:ascii="Times New Roman" w:hAnsi="Times New Roman" w:cs="Times New Roman"/>
                <w:bCs/>
                <w:color w:val="auto"/>
                <w:sz w:val="26"/>
                <w:szCs w:val="26"/>
              </w:rPr>
              <w:t>项目废气</w:t>
            </w:r>
            <w:r>
              <w:rPr>
                <w:rFonts w:hint="default" w:ascii="Times New Roman" w:hAnsi="Times New Roman" w:cs="Times New Roman"/>
                <w:bCs/>
                <w:color w:val="auto"/>
                <w:sz w:val="26"/>
                <w:szCs w:val="26"/>
                <w:lang w:val="en-US" w:eastAsia="zh-CN"/>
              </w:rPr>
              <w:t>污染物排放执行标准</w:t>
            </w:r>
            <w:r>
              <w:rPr>
                <w:rFonts w:hint="eastAsia" w:ascii="Times New Roman" w:hAnsi="Times New Roman" w:cs="Times New Roman"/>
                <w:bCs/>
                <w:color w:val="auto"/>
                <w:sz w:val="26"/>
                <w:szCs w:val="26"/>
                <w:lang w:val="en-US" w:eastAsia="zh-CN"/>
              </w:rPr>
              <w:t>详见下表。</w:t>
            </w:r>
          </w:p>
          <w:p w14:paraId="7B23502B">
            <w:pPr>
              <w:autoSpaceDE w:val="0"/>
              <w:autoSpaceDN w:val="0"/>
              <w:adjustRightInd w:val="0"/>
              <w:spacing w:line="460" w:lineRule="exact"/>
              <w:jc w:val="center"/>
              <w:rPr>
                <w:rFonts w:hint="default" w:ascii="Times New Roman" w:hAnsi="Times New Roman" w:eastAsia="宋体" w:cs="Times New Roman"/>
                <w:b/>
                <w:bCs w:val="0"/>
                <w:color w:val="auto"/>
                <w:sz w:val="26"/>
                <w:szCs w:val="26"/>
                <w:lang w:val="en-US" w:eastAsia="zh-CN"/>
              </w:rPr>
            </w:pPr>
            <w:r>
              <w:rPr>
                <w:rFonts w:hint="default" w:ascii="Times New Roman" w:hAnsi="Times New Roman" w:eastAsia="宋体" w:cs="Times New Roman"/>
                <w:b/>
                <w:bCs w:val="0"/>
                <w:color w:val="auto"/>
                <w:sz w:val="26"/>
                <w:szCs w:val="26"/>
                <w:lang w:val="en-US" w:eastAsia="zh-CN"/>
              </w:rPr>
              <w:t>表4.2-</w:t>
            </w:r>
            <w:r>
              <w:rPr>
                <w:rFonts w:hint="eastAsia" w:ascii="Times New Roman" w:hAnsi="Times New Roman" w:eastAsia="宋体" w:cs="Times New Roman"/>
                <w:b/>
                <w:bCs w:val="0"/>
                <w:color w:val="auto"/>
                <w:sz w:val="26"/>
                <w:szCs w:val="26"/>
                <w:lang w:val="en-US" w:eastAsia="zh-CN"/>
              </w:rPr>
              <w:t>10</w:t>
            </w:r>
            <w:r>
              <w:rPr>
                <w:rFonts w:hint="default" w:ascii="Times New Roman" w:hAnsi="Times New Roman" w:eastAsia="宋体" w:cs="Times New Roman"/>
                <w:b/>
                <w:bCs w:val="0"/>
                <w:color w:val="auto"/>
                <w:sz w:val="26"/>
                <w:szCs w:val="26"/>
                <w:lang w:val="en-US" w:eastAsia="zh-CN"/>
              </w:rPr>
              <w:t xml:space="preserve"> </w:t>
            </w:r>
            <w:r>
              <w:rPr>
                <w:rFonts w:hint="eastAsia" w:ascii="Times New Roman" w:hAnsi="Times New Roman" w:eastAsia="宋体" w:cs="Times New Roman"/>
                <w:b/>
                <w:bCs w:val="0"/>
                <w:color w:val="auto"/>
                <w:sz w:val="26"/>
                <w:szCs w:val="26"/>
                <w:lang w:val="en-US" w:eastAsia="zh-CN"/>
              </w:rPr>
              <w:t xml:space="preserve"> </w:t>
            </w:r>
            <w:r>
              <w:rPr>
                <w:rFonts w:hint="default" w:ascii="Times New Roman" w:hAnsi="Times New Roman" w:eastAsia="宋体" w:cs="Times New Roman"/>
                <w:b/>
                <w:bCs w:val="0"/>
                <w:color w:val="auto"/>
                <w:sz w:val="26"/>
                <w:szCs w:val="26"/>
                <w:lang w:val="en-US" w:eastAsia="zh-CN"/>
              </w:rPr>
              <w:t>废气污染物排放执行标准一览表</w:t>
            </w:r>
          </w:p>
          <w:tbl>
            <w:tblPr>
              <w:tblStyle w:val="25"/>
              <w:tblW w:w="48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8"/>
              <w:gridCol w:w="558"/>
              <w:gridCol w:w="975"/>
              <w:gridCol w:w="2294"/>
              <w:gridCol w:w="844"/>
              <w:gridCol w:w="1042"/>
              <w:gridCol w:w="1244"/>
            </w:tblGrid>
            <w:tr w14:paraId="1834A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8" w:type="dxa"/>
                  <w:vMerge w:val="restart"/>
                  <w:tcBorders>
                    <w:tl2br w:val="nil"/>
                    <w:tr2bl w:val="nil"/>
                  </w:tcBorders>
                  <w:noWrap w:val="0"/>
                  <w:vAlign w:val="center"/>
                </w:tcPr>
                <w:p w14:paraId="2EBC6D6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排放口编号</w:t>
                  </w:r>
                </w:p>
              </w:tc>
              <w:tc>
                <w:tcPr>
                  <w:tcW w:w="558" w:type="dxa"/>
                  <w:vMerge w:val="restart"/>
                  <w:tcBorders>
                    <w:tl2br w:val="nil"/>
                    <w:tr2bl w:val="nil"/>
                  </w:tcBorders>
                  <w:noWrap w:val="0"/>
                  <w:vAlign w:val="center"/>
                </w:tcPr>
                <w:p w14:paraId="11A834F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eastAsia="zh-CN"/>
                    </w:rPr>
                  </w:pPr>
                  <w:r>
                    <w:rPr>
                      <w:rFonts w:hint="default" w:ascii="Times New Roman" w:hAnsi="Times New Roman" w:eastAsia="宋体" w:cs="Times New Roman"/>
                      <w:color w:val="auto"/>
                      <w:sz w:val="22"/>
                      <w:szCs w:val="22"/>
                    </w:rPr>
                    <w:t>排放口</w:t>
                  </w:r>
                  <w:r>
                    <w:rPr>
                      <w:rFonts w:hint="default" w:ascii="Times New Roman" w:hAnsi="Times New Roman" w:eastAsia="宋体" w:cs="Times New Roman"/>
                      <w:color w:val="auto"/>
                      <w:sz w:val="22"/>
                      <w:szCs w:val="22"/>
                      <w:lang w:val="en-US" w:eastAsia="zh-CN"/>
                    </w:rPr>
                    <w:t>名称</w:t>
                  </w:r>
                </w:p>
              </w:tc>
              <w:tc>
                <w:tcPr>
                  <w:tcW w:w="975" w:type="dxa"/>
                  <w:vMerge w:val="restart"/>
                  <w:tcBorders>
                    <w:tl2br w:val="nil"/>
                    <w:tr2bl w:val="nil"/>
                  </w:tcBorders>
                  <w:noWrap w:val="0"/>
                  <w:vAlign w:val="center"/>
                </w:tcPr>
                <w:p w14:paraId="7835839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污染物种类</w:t>
                  </w:r>
                </w:p>
              </w:tc>
              <w:tc>
                <w:tcPr>
                  <w:tcW w:w="5424" w:type="dxa"/>
                  <w:gridSpan w:val="4"/>
                  <w:tcBorders>
                    <w:tl2br w:val="nil"/>
                    <w:tr2bl w:val="nil"/>
                  </w:tcBorders>
                  <w:noWrap w:val="0"/>
                  <w:vAlign w:val="center"/>
                </w:tcPr>
                <w:p w14:paraId="23198883">
                  <w:pPr>
                    <w:keepNext w:val="0"/>
                    <w:keepLines w:val="0"/>
                    <w:pageBreakBefore w:val="0"/>
                    <w:widowControl w:val="0"/>
                    <w:kinsoku/>
                    <w:wordWrap/>
                    <w:overflowPunct/>
                    <w:topLinePunct w:val="0"/>
                    <w:bidi w:val="0"/>
                    <w:spacing w:line="240" w:lineRule="auto"/>
                    <w:ind w:left="-105" w:leftChars="-50" w:right="-82" w:rightChars="-39" w:firstLine="0" w:firstLineChars="0"/>
                    <w:jc w:val="center"/>
                    <w:textAlignment w:val="auto"/>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lang w:val="en-US" w:eastAsia="zh-CN"/>
                    </w:rPr>
                    <w:t>国家或地方污染物排放标准</w:t>
                  </w:r>
                </w:p>
              </w:tc>
            </w:tr>
            <w:tr w14:paraId="10A149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8" w:type="dxa"/>
                  <w:vMerge w:val="continue"/>
                  <w:tcBorders>
                    <w:tl2br w:val="nil"/>
                    <w:tr2bl w:val="nil"/>
                  </w:tcBorders>
                  <w:noWrap w:val="0"/>
                  <w:vAlign w:val="center"/>
                </w:tcPr>
                <w:p w14:paraId="0E88341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rPr>
                  </w:pPr>
                </w:p>
              </w:tc>
              <w:tc>
                <w:tcPr>
                  <w:tcW w:w="558" w:type="dxa"/>
                  <w:vMerge w:val="continue"/>
                  <w:tcBorders>
                    <w:tl2br w:val="nil"/>
                    <w:tr2bl w:val="nil"/>
                  </w:tcBorders>
                  <w:noWrap w:val="0"/>
                  <w:vAlign w:val="center"/>
                </w:tcPr>
                <w:p w14:paraId="0B452E7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rPr>
                  </w:pPr>
                </w:p>
              </w:tc>
              <w:tc>
                <w:tcPr>
                  <w:tcW w:w="975" w:type="dxa"/>
                  <w:vMerge w:val="continue"/>
                  <w:tcBorders>
                    <w:tl2br w:val="nil"/>
                    <w:tr2bl w:val="nil"/>
                  </w:tcBorders>
                  <w:noWrap w:val="0"/>
                  <w:vAlign w:val="center"/>
                </w:tcPr>
                <w:p w14:paraId="671150A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p>
              </w:tc>
              <w:tc>
                <w:tcPr>
                  <w:tcW w:w="2294" w:type="dxa"/>
                  <w:tcBorders>
                    <w:tl2br w:val="nil"/>
                    <w:tr2bl w:val="nil"/>
                  </w:tcBorders>
                  <w:noWrap w:val="0"/>
                  <w:vAlign w:val="center"/>
                </w:tcPr>
                <w:p w14:paraId="15A289A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排放标准及标准号</w:t>
                  </w:r>
                </w:p>
              </w:tc>
              <w:tc>
                <w:tcPr>
                  <w:tcW w:w="844" w:type="dxa"/>
                  <w:tcBorders>
                    <w:tl2br w:val="nil"/>
                    <w:tr2bl w:val="nil"/>
                  </w:tcBorders>
                  <w:noWrap w:val="0"/>
                  <w:vAlign w:val="center"/>
                </w:tcPr>
                <w:p w14:paraId="4BDB46C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速率限值(kg/h)</w:t>
                  </w:r>
                </w:p>
              </w:tc>
              <w:tc>
                <w:tcPr>
                  <w:tcW w:w="1042" w:type="dxa"/>
                  <w:tcBorders>
                    <w:tl2br w:val="nil"/>
                    <w:tr2bl w:val="nil"/>
                  </w:tcBorders>
                  <w:noWrap w:val="0"/>
                  <w:vAlign w:val="center"/>
                </w:tcPr>
                <w:p w14:paraId="5A42CE6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浓度限值(mg/m</w:t>
                  </w:r>
                  <w:r>
                    <w:rPr>
                      <w:rFonts w:hint="default" w:ascii="Times New Roman" w:hAnsi="Times New Roman" w:eastAsia="宋体" w:cs="Times New Roman"/>
                      <w:color w:val="auto"/>
                      <w:sz w:val="22"/>
                      <w:szCs w:val="22"/>
                      <w:vertAlign w:val="superscript"/>
                      <w:lang w:val="en-US" w:eastAsia="zh-CN"/>
                    </w:rPr>
                    <w:t>3</w:t>
                  </w:r>
                  <w:r>
                    <w:rPr>
                      <w:rFonts w:hint="default" w:ascii="Times New Roman" w:hAnsi="Times New Roman" w:eastAsia="宋体" w:cs="Times New Roman"/>
                      <w:color w:val="auto"/>
                      <w:sz w:val="22"/>
                      <w:szCs w:val="22"/>
                      <w:lang w:val="en-US" w:eastAsia="zh-CN"/>
                    </w:rPr>
                    <w:t>)</w:t>
                  </w:r>
                </w:p>
              </w:tc>
              <w:tc>
                <w:tcPr>
                  <w:tcW w:w="1244" w:type="dxa"/>
                  <w:tcBorders>
                    <w:tl2br w:val="nil"/>
                    <w:tr2bl w:val="nil"/>
                  </w:tcBorders>
                  <w:noWrap w:val="0"/>
                  <w:vAlign w:val="center"/>
                </w:tcPr>
                <w:p w14:paraId="719A860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无组织排放监控浓度限值(mg/m</w:t>
                  </w:r>
                  <w:r>
                    <w:rPr>
                      <w:rFonts w:hint="default" w:ascii="Times New Roman" w:hAnsi="Times New Roman" w:eastAsia="宋体" w:cs="Times New Roman"/>
                      <w:color w:val="auto"/>
                      <w:sz w:val="22"/>
                      <w:szCs w:val="22"/>
                      <w:vertAlign w:val="superscript"/>
                      <w:lang w:val="en-US" w:eastAsia="zh-CN"/>
                    </w:rPr>
                    <w:t>3</w:t>
                  </w:r>
                  <w:r>
                    <w:rPr>
                      <w:rFonts w:hint="default" w:ascii="Times New Roman" w:hAnsi="Times New Roman" w:eastAsia="宋体" w:cs="Times New Roman"/>
                      <w:color w:val="auto"/>
                      <w:sz w:val="22"/>
                      <w:szCs w:val="22"/>
                      <w:lang w:val="en-US" w:eastAsia="zh-CN"/>
                    </w:rPr>
                    <w:t>)</w:t>
                  </w:r>
                </w:p>
              </w:tc>
            </w:tr>
            <w:tr w14:paraId="5B5E30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948" w:type="dxa"/>
                  <w:vMerge w:val="restart"/>
                  <w:tcBorders>
                    <w:tl2br w:val="nil"/>
                    <w:tr2bl w:val="nil"/>
                  </w:tcBorders>
                  <w:noWrap w:val="0"/>
                  <w:vAlign w:val="center"/>
                </w:tcPr>
                <w:p w14:paraId="79E3F0C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color w:val="auto"/>
                      <w:sz w:val="22"/>
                      <w:szCs w:val="22"/>
                      <w:lang w:val="en-US" w:eastAsia="zh-CN"/>
                    </w:rPr>
                    <w:t>DA002</w:t>
                  </w:r>
                </w:p>
              </w:tc>
              <w:tc>
                <w:tcPr>
                  <w:tcW w:w="558" w:type="dxa"/>
                  <w:vMerge w:val="restart"/>
                  <w:tcBorders>
                    <w:tl2br w:val="nil"/>
                    <w:tr2bl w:val="nil"/>
                  </w:tcBorders>
                  <w:noWrap w:val="0"/>
                  <w:vAlign w:val="center"/>
                </w:tcPr>
                <w:p w14:paraId="28C5AE3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熔炼废气</w:t>
                  </w:r>
                  <w:r>
                    <w:rPr>
                      <w:rFonts w:hint="default" w:ascii="Times New Roman" w:hAnsi="Times New Roman" w:eastAsia="宋体" w:cs="Times New Roman"/>
                      <w:bCs/>
                      <w:color w:val="auto"/>
                      <w:sz w:val="22"/>
                      <w:szCs w:val="22"/>
                      <w:highlight w:val="none"/>
                      <w:vertAlign w:val="baseline"/>
                      <w:lang w:val="en-US" w:eastAsia="zh-CN"/>
                    </w:rPr>
                    <w:t>2#排气筒</w:t>
                  </w:r>
                </w:p>
              </w:tc>
              <w:tc>
                <w:tcPr>
                  <w:tcW w:w="975" w:type="dxa"/>
                  <w:tcBorders>
                    <w:tl2br w:val="nil"/>
                    <w:tr2bl w:val="nil"/>
                  </w:tcBorders>
                  <w:noWrap w:val="0"/>
                  <w:vAlign w:val="center"/>
                </w:tcPr>
                <w:p w14:paraId="0BA50DA7">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颗粒物</w:t>
                  </w:r>
                </w:p>
              </w:tc>
              <w:tc>
                <w:tcPr>
                  <w:tcW w:w="2294" w:type="dxa"/>
                  <w:vMerge w:val="restart"/>
                  <w:tcBorders>
                    <w:tl2br w:val="nil"/>
                    <w:tr2bl w:val="nil"/>
                  </w:tcBorders>
                  <w:noWrap w:val="0"/>
                  <w:vAlign w:val="center"/>
                </w:tcPr>
                <w:p w14:paraId="75CB923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有组织执行：《铸造工业大气污染物排放标准》（GB 39726-2020）、</w:t>
                  </w:r>
                </w:p>
                <w:p w14:paraId="41D7413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重庆市《工业炉窑大气污染物排放标准》（DB 50/659-2016）；</w:t>
                  </w:r>
                </w:p>
                <w:p w14:paraId="070B5E7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bCs/>
                      <w:color w:val="auto"/>
                      <w:sz w:val="22"/>
                      <w:szCs w:val="22"/>
                      <w:lang w:val="en-US" w:eastAsia="zh-CN"/>
                    </w:rPr>
                    <w:t>无组织执行：重庆市地方标准《大气污染物综合排放标准》（DB50/418-2016）</w:t>
                  </w:r>
                </w:p>
              </w:tc>
              <w:tc>
                <w:tcPr>
                  <w:tcW w:w="844" w:type="dxa"/>
                  <w:tcBorders>
                    <w:tl2br w:val="nil"/>
                    <w:tr2bl w:val="nil"/>
                  </w:tcBorders>
                  <w:noWrap w:val="0"/>
                  <w:vAlign w:val="center"/>
                </w:tcPr>
                <w:p w14:paraId="3A37162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w:t>
                  </w:r>
                </w:p>
              </w:tc>
              <w:tc>
                <w:tcPr>
                  <w:tcW w:w="1042" w:type="dxa"/>
                  <w:tcBorders>
                    <w:tl2br w:val="nil"/>
                    <w:tr2bl w:val="nil"/>
                  </w:tcBorders>
                  <w:noWrap w:val="0"/>
                  <w:vAlign w:val="center"/>
                </w:tcPr>
                <w:p w14:paraId="77A154B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30</w:t>
                  </w:r>
                </w:p>
              </w:tc>
              <w:tc>
                <w:tcPr>
                  <w:tcW w:w="1244" w:type="dxa"/>
                  <w:tcBorders>
                    <w:tl2br w:val="nil"/>
                    <w:tr2bl w:val="nil"/>
                  </w:tcBorders>
                  <w:noWrap w:val="0"/>
                  <w:vAlign w:val="center"/>
                </w:tcPr>
                <w:p w14:paraId="566F6F2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1.0</w:t>
                  </w:r>
                </w:p>
              </w:tc>
            </w:tr>
            <w:tr w14:paraId="47D65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948" w:type="dxa"/>
                  <w:vMerge w:val="continue"/>
                  <w:tcBorders>
                    <w:tl2br w:val="nil"/>
                    <w:tr2bl w:val="nil"/>
                  </w:tcBorders>
                  <w:noWrap w:val="0"/>
                  <w:vAlign w:val="center"/>
                </w:tcPr>
                <w:p w14:paraId="19486CE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558" w:type="dxa"/>
                  <w:vMerge w:val="continue"/>
                  <w:tcBorders>
                    <w:tl2br w:val="nil"/>
                    <w:tr2bl w:val="nil"/>
                  </w:tcBorders>
                  <w:noWrap w:val="0"/>
                  <w:vAlign w:val="center"/>
                </w:tcPr>
                <w:p w14:paraId="58B577A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p>
              </w:tc>
              <w:tc>
                <w:tcPr>
                  <w:tcW w:w="975" w:type="dxa"/>
                  <w:tcBorders>
                    <w:tl2br w:val="nil"/>
                    <w:tr2bl w:val="nil"/>
                  </w:tcBorders>
                  <w:noWrap w:val="0"/>
                  <w:vAlign w:val="center"/>
                </w:tcPr>
                <w:p w14:paraId="608908C1">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NOx</w:t>
                  </w:r>
                </w:p>
              </w:tc>
              <w:tc>
                <w:tcPr>
                  <w:tcW w:w="2294" w:type="dxa"/>
                  <w:vMerge w:val="continue"/>
                  <w:tcBorders>
                    <w:tl2br w:val="nil"/>
                    <w:tr2bl w:val="nil"/>
                  </w:tcBorders>
                  <w:noWrap w:val="0"/>
                  <w:vAlign w:val="center"/>
                </w:tcPr>
                <w:p w14:paraId="35C0E0F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p>
              </w:tc>
              <w:tc>
                <w:tcPr>
                  <w:tcW w:w="844" w:type="dxa"/>
                  <w:tcBorders>
                    <w:tl2br w:val="nil"/>
                    <w:tr2bl w:val="nil"/>
                  </w:tcBorders>
                  <w:noWrap w:val="0"/>
                  <w:vAlign w:val="center"/>
                </w:tcPr>
                <w:p w14:paraId="03A28D0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w:t>
                  </w:r>
                </w:p>
              </w:tc>
              <w:tc>
                <w:tcPr>
                  <w:tcW w:w="1042" w:type="dxa"/>
                  <w:tcBorders>
                    <w:tl2br w:val="nil"/>
                    <w:tr2bl w:val="nil"/>
                  </w:tcBorders>
                  <w:noWrap w:val="0"/>
                  <w:vAlign w:val="center"/>
                </w:tcPr>
                <w:p w14:paraId="689547B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300</w:t>
                  </w:r>
                </w:p>
              </w:tc>
              <w:tc>
                <w:tcPr>
                  <w:tcW w:w="1244" w:type="dxa"/>
                  <w:tcBorders>
                    <w:tl2br w:val="nil"/>
                    <w:tr2bl w:val="nil"/>
                  </w:tcBorders>
                  <w:noWrap w:val="0"/>
                  <w:vAlign w:val="center"/>
                </w:tcPr>
                <w:p w14:paraId="6EE3E1C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0.12</w:t>
                  </w:r>
                </w:p>
              </w:tc>
            </w:tr>
            <w:tr w14:paraId="351BA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948" w:type="dxa"/>
                  <w:vMerge w:val="continue"/>
                  <w:tcBorders>
                    <w:tl2br w:val="nil"/>
                    <w:tr2bl w:val="nil"/>
                  </w:tcBorders>
                  <w:noWrap w:val="0"/>
                  <w:vAlign w:val="center"/>
                </w:tcPr>
                <w:p w14:paraId="321AABF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558" w:type="dxa"/>
                  <w:vMerge w:val="continue"/>
                  <w:tcBorders>
                    <w:tl2br w:val="nil"/>
                    <w:tr2bl w:val="nil"/>
                  </w:tcBorders>
                  <w:noWrap w:val="0"/>
                  <w:vAlign w:val="center"/>
                </w:tcPr>
                <w:p w14:paraId="633BC69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p>
              </w:tc>
              <w:tc>
                <w:tcPr>
                  <w:tcW w:w="975" w:type="dxa"/>
                  <w:tcBorders>
                    <w:tl2br w:val="nil"/>
                    <w:tr2bl w:val="nil"/>
                  </w:tcBorders>
                  <w:noWrap w:val="0"/>
                  <w:vAlign w:val="center"/>
                </w:tcPr>
                <w:p w14:paraId="329083F5">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SO</w:t>
                  </w:r>
                  <w:r>
                    <w:rPr>
                      <w:rFonts w:hint="default" w:ascii="Times New Roman" w:hAnsi="Times New Roman" w:eastAsia="宋体" w:cs="Times New Roman"/>
                      <w:bCs/>
                      <w:color w:val="auto"/>
                      <w:sz w:val="22"/>
                      <w:szCs w:val="22"/>
                      <w:vertAlign w:val="subscript"/>
                      <w:lang w:val="en-US" w:eastAsia="zh-CN"/>
                    </w:rPr>
                    <w:t>2</w:t>
                  </w:r>
                </w:p>
              </w:tc>
              <w:tc>
                <w:tcPr>
                  <w:tcW w:w="2294" w:type="dxa"/>
                  <w:vMerge w:val="continue"/>
                  <w:tcBorders>
                    <w:tl2br w:val="nil"/>
                    <w:tr2bl w:val="nil"/>
                  </w:tcBorders>
                  <w:noWrap w:val="0"/>
                  <w:vAlign w:val="center"/>
                </w:tcPr>
                <w:p w14:paraId="77B896C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p>
              </w:tc>
              <w:tc>
                <w:tcPr>
                  <w:tcW w:w="844" w:type="dxa"/>
                  <w:tcBorders>
                    <w:tl2br w:val="nil"/>
                    <w:tr2bl w:val="nil"/>
                  </w:tcBorders>
                  <w:noWrap w:val="0"/>
                  <w:vAlign w:val="center"/>
                </w:tcPr>
                <w:p w14:paraId="4A31531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w:t>
                  </w:r>
                </w:p>
              </w:tc>
              <w:tc>
                <w:tcPr>
                  <w:tcW w:w="1042" w:type="dxa"/>
                  <w:tcBorders>
                    <w:tl2br w:val="nil"/>
                    <w:tr2bl w:val="nil"/>
                  </w:tcBorders>
                  <w:noWrap w:val="0"/>
                  <w:vAlign w:val="center"/>
                </w:tcPr>
                <w:p w14:paraId="4774A05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100</w:t>
                  </w:r>
                </w:p>
              </w:tc>
              <w:tc>
                <w:tcPr>
                  <w:tcW w:w="1244" w:type="dxa"/>
                  <w:tcBorders>
                    <w:tl2br w:val="nil"/>
                    <w:tr2bl w:val="nil"/>
                  </w:tcBorders>
                  <w:noWrap w:val="0"/>
                  <w:vAlign w:val="center"/>
                </w:tcPr>
                <w:p w14:paraId="1267968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0.4</w:t>
                  </w:r>
                </w:p>
              </w:tc>
            </w:tr>
            <w:tr w14:paraId="4139B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8" w:type="dxa"/>
                  <w:vMerge w:val="continue"/>
                  <w:tcBorders>
                    <w:tl2br w:val="nil"/>
                    <w:tr2bl w:val="nil"/>
                  </w:tcBorders>
                  <w:noWrap w:val="0"/>
                  <w:vAlign w:val="center"/>
                </w:tcPr>
                <w:p w14:paraId="4C96270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558" w:type="dxa"/>
                  <w:vMerge w:val="continue"/>
                  <w:tcBorders>
                    <w:tl2br w:val="nil"/>
                    <w:tr2bl w:val="nil"/>
                  </w:tcBorders>
                  <w:noWrap w:val="0"/>
                  <w:vAlign w:val="center"/>
                </w:tcPr>
                <w:p w14:paraId="4AD9BDD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p>
              </w:tc>
              <w:tc>
                <w:tcPr>
                  <w:tcW w:w="975" w:type="dxa"/>
                  <w:tcBorders>
                    <w:tl2br w:val="nil"/>
                    <w:tr2bl w:val="nil"/>
                  </w:tcBorders>
                  <w:noWrap w:val="0"/>
                  <w:vAlign w:val="center"/>
                </w:tcPr>
                <w:p w14:paraId="4B18286E">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氟化物</w:t>
                  </w:r>
                </w:p>
              </w:tc>
              <w:tc>
                <w:tcPr>
                  <w:tcW w:w="2294" w:type="dxa"/>
                  <w:vMerge w:val="continue"/>
                  <w:tcBorders>
                    <w:tl2br w:val="nil"/>
                    <w:tr2bl w:val="nil"/>
                  </w:tcBorders>
                  <w:noWrap w:val="0"/>
                  <w:vAlign w:val="center"/>
                </w:tcPr>
                <w:p w14:paraId="6628F17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p>
              </w:tc>
              <w:tc>
                <w:tcPr>
                  <w:tcW w:w="844" w:type="dxa"/>
                  <w:tcBorders>
                    <w:tl2br w:val="nil"/>
                    <w:tr2bl w:val="nil"/>
                  </w:tcBorders>
                  <w:noWrap w:val="0"/>
                  <w:vAlign w:val="center"/>
                </w:tcPr>
                <w:p w14:paraId="611D0FF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w:t>
                  </w:r>
                </w:p>
              </w:tc>
              <w:tc>
                <w:tcPr>
                  <w:tcW w:w="1042" w:type="dxa"/>
                  <w:tcBorders>
                    <w:tl2br w:val="nil"/>
                    <w:tr2bl w:val="nil"/>
                  </w:tcBorders>
                  <w:noWrap w:val="0"/>
                  <w:vAlign w:val="center"/>
                </w:tcPr>
                <w:p w14:paraId="43A53E3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6</w:t>
                  </w:r>
                </w:p>
              </w:tc>
              <w:tc>
                <w:tcPr>
                  <w:tcW w:w="1244" w:type="dxa"/>
                  <w:tcBorders>
                    <w:tl2br w:val="nil"/>
                    <w:tr2bl w:val="nil"/>
                  </w:tcBorders>
                  <w:noWrap w:val="0"/>
                  <w:vAlign w:val="center"/>
                </w:tcPr>
                <w:p w14:paraId="440A39A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0.02</w:t>
                  </w:r>
                </w:p>
              </w:tc>
            </w:tr>
            <w:tr w14:paraId="1C26D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8" w:type="dxa"/>
                  <w:vMerge w:val="continue"/>
                  <w:tcBorders>
                    <w:tl2br w:val="nil"/>
                    <w:tr2bl w:val="nil"/>
                  </w:tcBorders>
                  <w:noWrap w:val="0"/>
                  <w:vAlign w:val="center"/>
                </w:tcPr>
                <w:p w14:paraId="1E5D45B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558" w:type="dxa"/>
                  <w:vMerge w:val="continue"/>
                  <w:tcBorders>
                    <w:tl2br w:val="nil"/>
                    <w:tr2bl w:val="nil"/>
                  </w:tcBorders>
                  <w:noWrap w:val="0"/>
                  <w:vAlign w:val="center"/>
                </w:tcPr>
                <w:p w14:paraId="6B936EE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p>
              </w:tc>
              <w:tc>
                <w:tcPr>
                  <w:tcW w:w="975" w:type="dxa"/>
                  <w:tcBorders>
                    <w:tl2br w:val="nil"/>
                    <w:tr2bl w:val="nil"/>
                  </w:tcBorders>
                  <w:noWrap w:val="0"/>
                  <w:vAlign w:val="center"/>
                </w:tcPr>
                <w:p w14:paraId="1FC7E9BB">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HCl</w:t>
                  </w:r>
                </w:p>
              </w:tc>
              <w:tc>
                <w:tcPr>
                  <w:tcW w:w="2294" w:type="dxa"/>
                  <w:tcBorders>
                    <w:tl2br w:val="nil"/>
                    <w:tr2bl w:val="nil"/>
                  </w:tcBorders>
                  <w:noWrap w:val="0"/>
                  <w:vAlign w:val="center"/>
                </w:tcPr>
                <w:p w14:paraId="5350BB6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bCs/>
                      <w:color w:val="auto"/>
                      <w:sz w:val="22"/>
                      <w:szCs w:val="22"/>
                      <w:lang w:val="en-US" w:eastAsia="zh-CN"/>
                    </w:rPr>
                    <w:t>重庆市地方标准《大气污染物综合排放标准》（DB50/418-2016）</w:t>
                  </w:r>
                </w:p>
              </w:tc>
              <w:tc>
                <w:tcPr>
                  <w:tcW w:w="844" w:type="dxa"/>
                  <w:tcBorders>
                    <w:tl2br w:val="nil"/>
                    <w:tr2bl w:val="nil"/>
                  </w:tcBorders>
                  <w:noWrap w:val="0"/>
                  <w:vAlign w:val="center"/>
                </w:tcPr>
                <w:p w14:paraId="7A21A33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0.53</w:t>
                  </w:r>
                </w:p>
              </w:tc>
              <w:tc>
                <w:tcPr>
                  <w:tcW w:w="1042" w:type="dxa"/>
                  <w:tcBorders>
                    <w:tl2br w:val="nil"/>
                    <w:tr2bl w:val="nil"/>
                  </w:tcBorders>
                  <w:noWrap w:val="0"/>
                  <w:vAlign w:val="center"/>
                </w:tcPr>
                <w:p w14:paraId="560FEB4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100</w:t>
                  </w:r>
                </w:p>
              </w:tc>
              <w:tc>
                <w:tcPr>
                  <w:tcW w:w="1244" w:type="dxa"/>
                  <w:tcBorders>
                    <w:tl2br w:val="nil"/>
                    <w:tr2bl w:val="nil"/>
                  </w:tcBorders>
                  <w:noWrap w:val="0"/>
                  <w:vAlign w:val="center"/>
                </w:tcPr>
                <w:p w14:paraId="72445E3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0.2</w:t>
                  </w:r>
                </w:p>
              </w:tc>
            </w:tr>
            <w:tr w14:paraId="015B5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8" w:type="dxa"/>
                  <w:vMerge w:val="restart"/>
                  <w:tcBorders>
                    <w:tl2br w:val="nil"/>
                    <w:tr2bl w:val="nil"/>
                  </w:tcBorders>
                  <w:noWrap w:val="0"/>
                  <w:vAlign w:val="center"/>
                </w:tcPr>
                <w:p w14:paraId="65B9FBF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DA003</w:t>
                  </w:r>
                </w:p>
              </w:tc>
              <w:tc>
                <w:tcPr>
                  <w:tcW w:w="558" w:type="dxa"/>
                  <w:vMerge w:val="restart"/>
                  <w:tcBorders>
                    <w:tl2br w:val="nil"/>
                    <w:tr2bl w:val="nil"/>
                  </w:tcBorders>
                  <w:noWrap w:val="0"/>
                  <w:vAlign w:val="center"/>
                </w:tcPr>
                <w:p w14:paraId="447C276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铝回收装置废气排气筒</w:t>
                  </w:r>
                </w:p>
              </w:tc>
              <w:tc>
                <w:tcPr>
                  <w:tcW w:w="975" w:type="dxa"/>
                  <w:tcBorders>
                    <w:tl2br w:val="nil"/>
                    <w:tr2bl w:val="nil"/>
                  </w:tcBorders>
                  <w:noWrap w:val="0"/>
                  <w:vAlign w:val="center"/>
                </w:tcPr>
                <w:p w14:paraId="0D28AB5D">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颗粒物</w:t>
                  </w:r>
                </w:p>
              </w:tc>
              <w:tc>
                <w:tcPr>
                  <w:tcW w:w="2294" w:type="dxa"/>
                  <w:tcBorders>
                    <w:tl2br w:val="nil"/>
                    <w:tr2bl w:val="nil"/>
                  </w:tcBorders>
                  <w:noWrap w:val="0"/>
                  <w:vAlign w:val="center"/>
                </w:tcPr>
                <w:p w14:paraId="1EC2CA1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《铸造工业大气污染物排放标准》（GB 39726-2020）</w:t>
                  </w:r>
                </w:p>
              </w:tc>
              <w:tc>
                <w:tcPr>
                  <w:tcW w:w="844" w:type="dxa"/>
                  <w:tcBorders>
                    <w:tl2br w:val="nil"/>
                    <w:tr2bl w:val="nil"/>
                  </w:tcBorders>
                  <w:noWrap w:val="0"/>
                  <w:vAlign w:val="center"/>
                </w:tcPr>
                <w:p w14:paraId="30A2903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c>
                <w:tcPr>
                  <w:tcW w:w="1042" w:type="dxa"/>
                  <w:tcBorders>
                    <w:tl2br w:val="nil"/>
                    <w:tr2bl w:val="nil"/>
                  </w:tcBorders>
                  <w:noWrap w:val="0"/>
                  <w:vAlign w:val="center"/>
                </w:tcPr>
                <w:p w14:paraId="768B4A0C">
                  <w:pPr>
                    <w:adjustRightInd w:val="0"/>
                    <w:snapToGrid w:val="0"/>
                    <w:spacing w:line="300" w:lineRule="exact"/>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szCs w:val="22"/>
                      <w:lang w:val="en-US" w:eastAsia="zh-CN"/>
                    </w:rPr>
                    <w:t>30</w:t>
                  </w:r>
                </w:p>
              </w:tc>
              <w:tc>
                <w:tcPr>
                  <w:tcW w:w="1244" w:type="dxa"/>
                  <w:tcBorders>
                    <w:tl2br w:val="nil"/>
                    <w:tr2bl w:val="nil"/>
                  </w:tcBorders>
                  <w:noWrap w:val="0"/>
                  <w:vAlign w:val="center"/>
                </w:tcPr>
                <w:p w14:paraId="13431BF3">
                  <w:pPr>
                    <w:adjustRightInd w:val="0"/>
                    <w:snapToGrid w:val="0"/>
                    <w:spacing w:line="300" w:lineRule="exact"/>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szCs w:val="22"/>
                      <w:lang w:val="en-US" w:eastAsia="zh-CN"/>
                    </w:rPr>
                    <w:t>1.0</w:t>
                  </w:r>
                </w:p>
              </w:tc>
            </w:tr>
            <w:tr w14:paraId="6E8791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948" w:type="dxa"/>
                  <w:vMerge w:val="continue"/>
                  <w:tcBorders>
                    <w:tl2br w:val="nil"/>
                    <w:tr2bl w:val="nil"/>
                  </w:tcBorders>
                  <w:noWrap w:val="0"/>
                  <w:vAlign w:val="center"/>
                </w:tcPr>
                <w:p w14:paraId="14B383A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558" w:type="dxa"/>
                  <w:vMerge w:val="continue"/>
                  <w:tcBorders>
                    <w:tl2br w:val="nil"/>
                    <w:tr2bl w:val="nil"/>
                  </w:tcBorders>
                  <w:noWrap w:val="0"/>
                  <w:vAlign w:val="center"/>
                </w:tcPr>
                <w:p w14:paraId="558FE39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p>
              </w:tc>
              <w:tc>
                <w:tcPr>
                  <w:tcW w:w="975" w:type="dxa"/>
                  <w:tcBorders>
                    <w:tl2br w:val="nil"/>
                    <w:tr2bl w:val="nil"/>
                  </w:tcBorders>
                  <w:noWrap w:val="0"/>
                  <w:vAlign w:val="center"/>
                </w:tcPr>
                <w:p w14:paraId="4DC383BE">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HCl</w:t>
                  </w:r>
                </w:p>
              </w:tc>
              <w:tc>
                <w:tcPr>
                  <w:tcW w:w="2294" w:type="dxa"/>
                  <w:vMerge w:val="restart"/>
                  <w:tcBorders>
                    <w:tl2br w:val="nil"/>
                    <w:tr2bl w:val="nil"/>
                  </w:tcBorders>
                  <w:noWrap w:val="0"/>
                  <w:vAlign w:val="center"/>
                </w:tcPr>
                <w:p w14:paraId="48E1602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重庆市地方标准《大气污染物综合排放标准》（DB50/418-2016）</w:t>
                  </w:r>
                </w:p>
              </w:tc>
              <w:tc>
                <w:tcPr>
                  <w:tcW w:w="844" w:type="dxa"/>
                  <w:tcBorders>
                    <w:tl2br w:val="nil"/>
                    <w:tr2bl w:val="nil"/>
                  </w:tcBorders>
                  <w:noWrap w:val="0"/>
                  <w:vAlign w:val="center"/>
                </w:tcPr>
                <w:p w14:paraId="5B85D05B">
                  <w:pPr>
                    <w:adjustRightInd w:val="0"/>
                    <w:snapToGrid w:val="0"/>
                    <w:spacing w:line="300" w:lineRule="exact"/>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szCs w:val="22"/>
                      <w:lang w:val="en-US" w:eastAsia="zh-CN"/>
                    </w:rPr>
                    <w:t>0.43</w:t>
                  </w:r>
                </w:p>
              </w:tc>
              <w:tc>
                <w:tcPr>
                  <w:tcW w:w="1042" w:type="dxa"/>
                  <w:tcBorders>
                    <w:tl2br w:val="nil"/>
                    <w:tr2bl w:val="nil"/>
                  </w:tcBorders>
                  <w:noWrap w:val="0"/>
                  <w:vAlign w:val="center"/>
                </w:tcPr>
                <w:p w14:paraId="493C4723">
                  <w:pPr>
                    <w:adjustRightInd w:val="0"/>
                    <w:snapToGrid w:val="0"/>
                    <w:spacing w:line="300" w:lineRule="exact"/>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szCs w:val="22"/>
                      <w:lang w:val="en-US" w:eastAsia="zh-CN"/>
                    </w:rPr>
                    <w:t>100</w:t>
                  </w:r>
                </w:p>
              </w:tc>
              <w:tc>
                <w:tcPr>
                  <w:tcW w:w="1244" w:type="dxa"/>
                  <w:tcBorders>
                    <w:tl2br w:val="nil"/>
                    <w:tr2bl w:val="nil"/>
                  </w:tcBorders>
                  <w:noWrap w:val="0"/>
                  <w:vAlign w:val="center"/>
                </w:tcPr>
                <w:p w14:paraId="65817BD6">
                  <w:pPr>
                    <w:adjustRightInd w:val="0"/>
                    <w:snapToGrid w:val="0"/>
                    <w:spacing w:line="300" w:lineRule="exact"/>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szCs w:val="22"/>
                      <w:lang w:val="en-US" w:eastAsia="zh-CN"/>
                    </w:rPr>
                    <w:t>0.2</w:t>
                  </w:r>
                </w:p>
              </w:tc>
            </w:tr>
            <w:tr w14:paraId="5BBCD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8" w:type="dxa"/>
                  <w:vMerge w:val="continue"/>
                  <w:tcBorders>
                    <w:tl2br w:val="nil"/>
                    <w:tr2bl w:val="nil"/>
                  </w:tcBorders>
                  <w:noWrap w:val="0"/>
                  <w:vAlign w:val="center"/>
                </w:tcPr>
                <w:p w14:paraId="38105FE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558" w:type="dxa"/>
                  <w:vMerge w:val="continue"/>
                  <w:tcBorders>
                    <w:tl2br w:val="nil"/>
                    <w:tr2bl w:val="nil"/>
                  </w:tcBorders>
                  <w:noWrap w:val="0"/>
                  <w:vAlign w:val="center"/>
                </w:tcPr>
                <w:p w14:paraId="25595B8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p>
              </w:tc>
              <w:tc>
                <w:tcPr>
                  <w:tcW w:w="975" w:type="dxa"/>
                  <w:tcBorders>
                    <w:tl2br w:val="nil"/>
                    <w:tr2bl w:val="nil"/>
                  </w:tcBorders>
                  <w:noWrap w:val="0"/>
                  <w:vAlign w:val="center"/>
                </w:tcPr>
                <w:p w14:paraId="4ABEFB8B">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Cs/>
                      <w:color w:val="auto"/>
                      <w:sz w:val="22"/>
                      <w:szCs w:val="22"/>
                      <w:lang w:val="en-US" w:eastAsia="zh-CN"/>
                    </w:rPr>
                  </w:pPr>
                  <w:r>
                    <w:rPr>
                      <w:rFonts w:hint="eastAsia" w:ascii="Times New Roman" w:hAnsi="Times New Roman" w:eastAsia="宋体" w:cs="Times New Roman"/>
                      <w:bCs/>
                      <w:color w:val="auto"/>
                      <w:sz w:val="22"/>
                      <w:szCs w:val="22"/>
                      <w:lang w:val="en-US" w:eastAsia="zh-CN"/>
                    </w:rPr>
                    <w:t>氟化物</w:t>
                  </w:r>
                </w:p>
              </w:tc>
              <w:tc>
                <w:tcPr>
                  <w:tcW w:w="2294" w:type="dxa"/>
                  <w:vMerge w:val="continue"/>
                  <w:tcBorders>
                    <w:tl2br w:val="nil"/>
                    <w:tr2bl w:val="nil"/>
                  </w:tcBorders>
                  <w:noWrap w:val="0"/>
                  <w:vAlign w:val="center"/>
                </w:tcPr>
                <w:p w14:paraId="64DC8B2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2"/>
                      <w:szCs w:val="22"/>
                      <w:lang w:val="en-US" w:eastAsia="zh-CN"/>
                    </w:rPr>
                  </w:pPr>
                </w:p>
              </w:tc>
              <w:tc>
                <w:tcPr>
                  <w:tcW w:w="844" w:type="dxa"/>
                  <w:tcBorders>
                    <w:tl2br w:val="nil"/>
                    <w:tr2bl w:val="nil"/>
                  </w:tcBorders>
                  <w:noWrap w:val="0"/>
                  <w:vAlign w:val="center"/>
                </w:tcPr>
                <w:p w14:paraId="7FD4B956">
                  <w:pPr>
                    <w:adjustRightInd w:val="0"/>
                    <w:snapToGrid w:val="0"/>
                    <w:spacing w:line="300" w:lineRule="exact"/>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szCs w:val="22"/>
                      <w:lang w:val="en-US" w:eastAsia="zh-CN"/>
                    </w:rPr>
                    <w:t>0.17</w:t>
                  </w:r>
                </w:p>
              </w:tc>
              <w:tc>
                <w:tcPr>
                  <w:tcW w:w="1042" w:type="dxa"/>
                  <w:tcBorders>
                    <w:tl2br w:val="nil"/>
                    <w:tr2bl w:val="nil"/>
                  </w:tcBorders>
                  <w:noWrap w:val="0"/>
                  <w:vAlign w:val="center"/>
                </w:tcPr>
                <w:p w14:paraId="4484E2C8">
                  <w:pPr>
                    <w:adjustRightInd w:val="0"/>
                    <w:snapToGrid w:val="0"/>
                    <w:spacing w:line="300" w:lineRule="exact"/>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szCs w:val="22"/>
                      <w:lang w:val="en-US" w:eastAsia="zh-CN"/>
                    </w:rPr>
                    <w:t>9</w:t>
                  </w:r>
                </w:p>
              </w:tc>
              <w:tc>
                <w:tcPr>
                  <w:tcW w:w="1244" w:type="dxa"/>
                  <w:tcBorders>
                    <w:tl2br w:val="nil"/>
                    <w:tr2bl w:val="nil"/>
                  </w:tcBorders>
                  <w:noWrap w:val="0"/>
                  <w:vAlign w:val="center"/>
                </w:tcPr>
                <w:p w14:paraId="03F0DA74">
                  <w:pPr>
                    <w:adjustRightInd w:val="0"/>
                    <w:snapToGrid w:val="0"/>
                    <w:spacing w:line="300" w:lineRule="exact"/>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szCs w:val="22"/>
                      <w:lang w:val="en-US" w:eastAsia="zh-CN"/>
                    </w:rPr>
                    <w:t>0.02</w:t>
                  </w:r>
                </w:p>
              </w:tc>
            </w:tr>
            <w:tr w14:paraId="552DF1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48" w:type="dxa"/>
                  <w:vMerge w:val="restart"/>
                  <w:tcBorders>
                    <w:tl2br w:val="nil"/>
                    <w:tr2bl w:val="nil"/>
                  </w:tcBorders>
                  <w:noWrap w:val="0"/>
                  <w:vAlign w:val="center"/>
                </w:tcPr>
                <w:p w14:paraId="26CD4E3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color w:val="auto"/>
                      <w:sz w:val="22"/>
                      <w:szCs w:val="22"/>
                      <w:lang w:val="en-US" w:eastAsia="zh-CN"/>
                    </w:rPr>
                    <w:t>DA004</w:t>
                  </w:r>
                </w:p>
              </w:tc>
              <w:tc>
                <w:tcPr>
                  <w:tcW w:w="558" w:type="dxa"/>
                  <w:vMerge w:val="restart"/>
                  <w:tcBorders>
                    <w:tl2br w:val="nil"/>
                    <w:tr2bl w:val="nil"/>
                  </w:tcBorders>
                  <w:noWrap w:val="0"/>
                  <w:vAlign w:val="center"/>
                </w:tcPr>
                <w:p w14:paraId="1A9EE35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均质废气排气筒</w:t>
                  </w:r>
                </w:p>
              </w:tc>
              <w:tc>
                <w:tcPr>
                  <w:tcW w:w="975" w:type="dxa"/>
                  <w:tcBorders>
                    <w:tl2br w:val="nil"/>
                    <w:tr2bl w:val="nil"/>
                  </w:tcBorders>
                  <w:noWrap w:val="0"/>
                  <w:vAlign w:val="center"/>
                </w:tcPr>
                <w:p w14:paraId="3595909B">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颗粒物</w:t>
                  </w:r>
                </w:p>
              </w:tc>
              <w:tc>
                <w:tcPr>
                  <w:tcW w:w="2294" w:type="dxa"/>
                  <w:vMerge w:val="restart"/>
                  <w:tcBorders>
                    <w:tl2br w:val="nil"/>
                    <w:tr2bl w:val="nil"/>
                  </w:tcBorders>
                  <w:noWrap w:val="0"/>
                  <w:vAlign w:val="center"/>
                </w:tcPr>
                <w:p w14:paraId="47EB23F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bCs/>
                      <w:color w:val="auto"/>
                      <w:sz w:val="22"/>
                      <w:szCs w:val="22"/>
                      <w:lang w:val="en-US" w:eastAsia="zh-CN"/>
                    </w:rPr>
                    <w:t>《铸造工业大气污染物排放标准》（GB 39726-2020）</w:t>
                  </w:r>
                </w:p>
              </w:tc>
              <w:tc>
                <w:tcPr>
                  <w:tcW w:w="844" w:type="dxa"/>
                  <w:tcBorders>
                    <w:tl2br w:val="nil"/>
                    <w:tr2bl w:val="nil"/>
                  </w:tcBorders>
                  <w:noWrap w:val="0"/>
                  <w:vAlign w:val="center"/>
                </w:tcPr>
                <w:p w14:paraId="431B20C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w:t>
                  </w:r>
                </w:p>
              </w:tc>
              <w:tc>
                <w:tcPr>
                  <w:tcW w:w="1042" w:type="dxa"/>
                  <w:tcBorders>
                    <w:tl2br w:val="nil"/>
                    <w:tr2bl w:val="nil"/>
                  </w:tcBorders>
                  <w:noWrap w:val="0"/>
                  <w:vAlign w:val="center"/>
                </w:tcPr>
                <w:p w14:paraId="5E1B3B4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30</w:t>
                  </w:r>
                </w:p>
              </w:tc>
              <w:tc>
                <w:tcPr>
                  <w:tcW w:w="1244" w:type="dxa"/>
                  <w:tcBorders>
                    <w:tl2br w:val="nil"/>
                    <w:tr2bl w:val="nil"/>
                  </w:tcBorders>
                  <w:noWrap w:val="0"/>
                  <w:vAlign w:val="center"/>
                </w:tcPr>
                <w:p w14:paraId="2096BF1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w:t>
                  </w:r>
                </w:p>
              </w:tc>
            </w:tr>
            <w:tr w14:paraId="780D26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948" w:type="dxa"/>
                  <w:vMerge w:val="continue"/>
                  <w:tcBorders>
                    <w:tl2br w:val="nil"/>
                    <w:tr2bl w:val="nil"/>
                  </w:tcBorders>
                  <w:noWrap w:val="0"/>
                  <w:vAlign w:val="center"/>
                </w:tcPr>
                <w:p w14:paraId="783A950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558" w:type="dxa"/>
                  <w:vMerge w:val="continue"/>
                  <w:tcBorders>
                    <w:tl2br w:val="nil"/>
                    <w:tr2bl w:val="nil"/>
                  </w:tcBorders>
                  <w:noWrap w:val="0"/>
                  <w:vAlign w:val="center"/>
                </w:tcPr>
                <w:p w14:paraId="6ACF6BA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p>
              </w:tc>
              <w:tc>
                <w:tcPr>
                  <w:tcW w:w="975" w:type="dxa"/>
                  <w:tcBorders>
                    <w:tl2br w:val="nil"/>
                    <w:tr2bl w:val="nil"/>
                  </w:tcBorders>
                  <w:noWrap w:val="0"/>
                  <w:vAlign w:val="center"/>
                </w:tcPr>
                <w:p w14:paraId="2B57FDAF">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NOx</w:t>
                  </w:r>
                </w:p>
              </w:tc>
              <w:tc>
                <w:tcPr>
                  <w:tcW w:w="2294" w:type="dxa"/>
                  <w:vMerge w:val="continue"/>
                  <w:tcBorders>
                    <w:tl2br w:val="nil"/>
                    <w:tr2bl w:val="nil"/>
                  </w:tcBorders>
                  <w:noWrap w:val="0"/>
                  <w:vAlign w:val="center"/>
                </w:tcPr>
                <w:p w14:paraId="3E24E73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p>
              </w:tc>
              <w:tc>
                <w:tcPr>
                  <w:tcW w:w="844" w:type="dxa"/>
                  <w:tcBorders>
                    <w:tl2br w:val="nil"/>
                    <w:tr2bl w:val="nil"/>
                  </w:tcBorders>
                  <w:noWrap w:val="0"/>
                  <w:vAlign w:val="center"/>
                </w:tcPr>
                <w:p w14:paraId="79FB08C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w:t>
                  </w:r>
                </w:p>
              </w:tc>
              <w:tc>
                <w:tcPr>
                  <w:tcW w:w="1042" w:type="dxa"/>
                  <w:tcBorders>
                    <w:tl2br w:val="nil"/>
                    <w:tr2bl w:val="nil"/>
                  </w:tcBorders>
                  <w:noWrap w:val="0"/>
                  <w:vAlign w:val="center"/>
                </w:tcPr>
                <w:p w14:paraId="2D5059B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300</w:t>
                  </w:r>
                </w:p>
              </w:tc>
              <w:tc>
                <w:tcPr>
                  <w:tcW w:w="1244" w:type="dxa"/>
                  <w:tcBorders>
                    <w:tl2br w:val="nil"/>
                    <w:tr2bl w:val="nil"/>
                  </w:tcBorders>
                  <w:noWrap w:val="0"/>
                  <w:vAlign w:val="center"/>
                </w:tcPr>
                <w:p w14:paraId="783DAE4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w:t>
                  </w:r>
                </w:p>
              </w:tc>
            </w:tr>
            <w:tr w14:paraId="72AF1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8" w:type="dxa"/>
                  <w:vMerge w:val="continue"/>
                  <w:tcBorders>
                    <w:tl2br w:val="nil"/>
                    <w:tr2bl w:val="nil"/>
                  </w:tcBorders>
                  <w:noWrap w:val="0"/>
                  <w:vAlign w:val="center"/>
                </w:tcPr>
                <w:p w14:paraId="41B2E78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558" w:type="dxa"/>
                  <w:vMerge w:val="continue"/>
                  <w:tcBorders>
                    <w:tl2br w:val="nil"/>
                    <w:tr2bl w:val="nil"/>
                  </w:tcBorders>
                  <w:noWrap w:val="0"/>
                  <w:vAlign w:val="center"/>
                </w:tcPr>
                <w:p w14:paraId="0C74747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p>
              </w:tc>
              <w:tc>
                <w:tcPr>
                  <w:tcW w:w="975" w:type="dxa"/>
                  <w:tcBorders>
                    <w:tl2br w:val="nil"/>
                    <w:tr2bl w:val="nil"/>
                  </w:tcBorders>
                  <w:noWrap w:val="0"/>
                  <w:vAlign w:val="center"/>
                </w:tcPr>
                <w:p w14:paraId="0D12620C">
                  <w:pPr>
                    <w:keepNext w:val="0"/>
                    <w:keepLines w:val="0"/>
                    <w:pageBreakBefore w:val="0"/>
                    <w:widowControl w:val="0"/>
                    <w:kinsoku/>
                    <w:wordWrap/>
                    <w:overflowPunct/>
                    <w:topLinePunct w:val="0"/>
                    <w:autoSpaceDE w:val="0"/>
                    <w:autoSpaceDN w:val="0"/>
                    <w:bidi w:val="0"/>
                    <w:spacing w:line="240" w:lineRule="auto"/>
                    <w:ind w:firstLine="0" w:firstLineChars="0"/>
                    <w:jc w:val="center"/>
                    <w:textAlignment w:val="auto"/>
                    <w:rPr>
                      <w:rFonts w:hint="default" w:ascii="Times New Roman" w:hAnsi="Times New Roman" w:eastAsia="宋体" w:cs="Times New Roman"/>
                      <w:bCs/>
                      <w:color w:val="auto"/>
                      <w:kern w:val="2"/>
                      <w:sz w:val="22"/>
                      <w:szCs w:val="22"/>
                      <w:vertAlign w:val="baseline"/>
                      <w:lang w:val="en-US" w:eastAsia="zh-CN" w:bidi="ar-SA"/>
                    </w:rPr>
                  </w:pPr>
                  <w:r>
                    <w:rPr>
                      <w:rFonts w:hint="default" w:ascii="Times New Roman" w:hAnsi="Times New Roman" w:eastAsia="宋体" w:cs="Times New Roman"/>
                      <w:bCs/>
                      <w:color w:val="auto"/>
                      <w:sz w:val="22"/>
                      <w:szCs w:val="22"/>
                      <w:lang w:val="en-US" w:eastAsia="zh-CN"/>
                    </w:rPr>
                    <w:t>SO</w:t>
                  </w:r>
                  <w:r>
                    <w:rPr>
                      <w:rFonts w:hint="default" w:ascii="Times New Roman" w:hAnsi="Times New Roman" w:eastAsia="宋体" w:cs="Times New Roman"/>
                      <w:bCs/>
                      <w:color w:val="auto"/>
                      <w:sz w:val="22"/>
                      <w:szCs w:val="22"/>
                      <w:vertAlign w:val="subscript"/>
                      <w:lang w:val="en-US" w:eastAsia="zh-CN"/>
                    </w:rPr>
                    <w:t>2</w:t>
                  </w:r>
                </w:p>
              </w:tc>
              <w:tc>
                <w:tcPr>
                  <w:tcW w:w="2294" w:type="dxa"/>
                  <w:vMerge w:val="continue"/>
                  <w:tcBorders>
                    <w:tl2br w:val="nil"/>
                    <w:tr2bl w:val="nil"/>
                  </w:tcBorders>
                  <w:noWrap w:val="0"/>
                  <w:vAlign w:val="center"/>
                </w:tcPr>
                <w:p w14:paraId="47B4ACE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p>
              </w:tc>
              <w:tc>
                <w:tcPr>
                  <w:tcW w:w="844" w:type="dxa"/>
                  <w:tcBorders>
                    <w:tl2br w:val="nil"/>
                    <w:tr2bl w:val="nil"/>
                  </w:tcBorders>
                  <w:noWrap w:val="0"/>
                  <w:vAlign w:val="center"/>
                </w:tcPr>
                <w:p w14:paraId="18BDB96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w:t>
                  </w:r>
                </w:p>
              </w:tc>
              <w:tc>
                <w:tcPr>
                  <w:tcW w:w="1042" w:type="dxa"/>
                  <w:tcBorders>
                    <w:tl2br w:val="nil"/>
                    <w:tr2bl w:val="nil"/>
                  </w:tcBorders>
                  <w:noWrap w:val="0"/>
                  <w:vAlign w:val="center"/>
                </w:tcPr>
                <w:p w14:paraId="3317E8E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100</w:t>
                  </w:r>
                </w:p>
              </w:tc>
              <w:tc>
                <w:tcPr>
                  <w:tcW w:w="1244" w:type="dxa"/>
                  <w:tcBorders>
                    <w:tl2br w:val="nil"/>
                    <w:tr2bl w:val="nil"/>
                  </w:tcBorders>
                  <w:noWrap w:val="0"/>
                  <w:vAlign w:val="center"/>
                </w:tcPr>
                <w:p w14:paraId="33B7AC2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sz w:val="22"/>
                      <w:szCs w:val="22"/>
                      <w:lang w:val="en-US" w:eastAsia="zh-CN"/>
                    </w:rPr>
                    <w:t>/</w:t>
                  </w:r>
                </w:p>
              </w:tc>
            </w:tr>
            <w:tr w14:paraId="5F82B0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48" w:type="dxa"/>
                  <w:tcBorders>
                    <w:tl2br w:val="nil"/>
                    <w:tr2bl w:val="nil"/>
                  </w:tcBorders>
                  <w:noWrap w:val="0"/>
                  <w:vAlign w:val="center"/>
                </w:tcPr>
                <w:p w14:paraId="7809D0A8">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default" w:ascii="Times New Roman" w:hAnsi="Times New Roman" w:eastAsia="宋体" w:cs="Times New Roman"/>
                      <w:bCs/>
                      <w:color w:val="auto"/>
                      <w:sz w:val="22"/>
                      <w:szCs w:val="22"/>
                      <w:highlight w:val="none"/>
                      <w:vertAlign w:val="baseline"/>
                      <w:lang w:val="en-US" w:eastAsia="zh-CN"/>
                    </w:rPr>
                    <w:t>/</w:t>
                  </w:r>
                </w:p>
              </w:tc>
              <w:tc>
                <w:tcPr>
                  <w:tcW w:w="558" w:type="dxa"/>
                  <w:tcBorders>
                    <w:tl2br w:val="nil"/>
                    <w:tr2bl w:val="nil"/>
                  </w:tcBorders>
                  <w:noWrap w:val="0"/>
                  <w:vAlign w:val="center"/>
                </w:tcPr>
                <w:p w14:paraId="5CA69C8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w:t>
                  </w:r>
                </w:p>
              </w:tc>
              <w:tc>
                <w:tcPr>
                  <w:tcW w:w="975" w:type="dxa"/>
                  <w:tcBorders>
                    <w:tl2br w:val="nil"/>
                    <w:tr2bl w:val="nil"/>
                  </w:tcBorders>
                  <w:noWrap w:val="0"/>
                  <w:vAlign w:val="center"/>
                </w:tcPr>
                <w:p w14:paraId="3B7D957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非甲烷总烃</w:t>
                  </w:r>
                </w:p>
              </w:tc>
              <w:tc>
                <w:tcPr>
                  <w:tcW w:w="2294" w:type="dxa"/>
                  <w:tcBorders>
                    <w:tl2br w:val="nil"/>
                    <w:tr2bl w:val="nil"/>
                  </w:tcBorders>
                  <w:noWrap w:val="0"/>
                  <w:vAlign w:val="center"/>
                </w:tcPr>
                <w:p w14:paraId="7FFB4F2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2"/>
                      <w:szCs w:val="22"/>
                      <w:lang w:val="en-US" w:eastAsia="zh-CN"/>
                    </w:rPr>
                  </w:pPr>
                  <w:r>
                    <w:rPr>
                      <w:rFonts w:hint="default" w:ascii="Times New Roman" w:hAnsi="Times New Roman" w:eastAsia="宋体" w:cs="Times New Roman"/>
                      <w:bCs/>
                      <w:color w:val="auto"/>
                      <w:sz w:val="22"/>
                      <w:szCs w:val="22"/>
                      <w:lang w:val="en-US" w:eastAsia="zh-CN"/>
                    </w:rPr>
                    <w:t>《挥发性有机物无组织排放控制标准》（GB 37822-2019）</w:t>
                  </w:r>
                </w:p>
              </w:tc>
              <w:tc>
                <w:tcPr>
                  <w:tcW w:w="844" w:type="dxa"/>
                  <w:tcBorders>
                    <w:tl2br w:val="nil"/>
                    <w:tr2bl w:val="nil"/>
                  </w:tcBorders>
                  <w:noWrap w:val="0"/>
                  <w:vAlign w:val="center"/>
                </w:tcPr>
                <w:p w14:paraId="6C1EF62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1042" w:type="dxa"/>
                  <w:tcBorders>
                    <w:tl2br w:val="nil"/>
                    <w:tr2bl w:val="nil"/>
                  </w:tcBorders>
                  <w:noWrap w:val="0"/>
                  <w:vAlign w:val="center"/>
                </w:tcPr>
                <w:p w14:paraId="7F6DF26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c>
                <w:tcPr>
                  <w:tcW w:w="1244" w:type="dxa"/>
                  <w:tcBorders>
                    <w:tl2br w:val="nil"/>
                    <w:tr2bl w:val="nil"/>
                  </w:tcBorders>
                  <w:noWrap w:val="0"/>
                  <w:vAlign w:val="center"/>
                </w:tcPr>
                <w:p w14:paraId="55EF509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color w:val="auto"/>
                      <w:kern w:val="2"/>
                      <w:sz w:val="22"/>
                      <w:szCs w:val="22"/>
                      <w:lang w:val="en-US" w:eastAsia="zh-CN" w:bidi="ar-SA"/>
                    </w:rPr>
                    <w:t>在厂房外设置监控点：监控点处1h平均浓度：6mg/m</w:t>
                  </w:r>
                  <w:r>
                    <w:rPr>
                      <w:rFonts w:hint="default" w:ascii="Times New Roman" w:hAnsi="Times New Roman" w:eastAsia="宋体" w:cs="Times New Roman"/>
                      <w:color w:val="auto"/>
                      <w:kern w:val="2"/>
                      <w:sz w:val="22"/>
                      <w:szCs w:val="22"/>
                      <w:vertAlign w:val="superscript"/>
                      <w:lang w:val="en-US" w:eastAsia="zh-CN" w:bidi="ar-SA"/>
                    </w:rPr>
                    <w:t>3</w:t>
                  </w:r>
                  <w:r>
                    <w:rPr>
                      <w:rFonts w:hint="default" w:ascii="Times New Roman" w:hAnsi="Times New Roman" w:eastAsia="宋体" w:cs="Times New Roman"/>
                      <w:color w:val="auto"/>
                      <w:kern w:val="2"/>
                      <w:sz w:val="22"/>
                      <w:szCs w:val="22"/>
                      <w:lang w:val="en-US" w:eastAsia="zh-CN" w:bidi="ar-SA"/>
                    </w:rPr>
                    <w:t>，监控点处任意1次浓度：20mg/m</w:t>
                  </w:r>
                  <w:r>
                    <w:rPr>
                      <w:rFonts w:hint="default" w:ascii="Times New Roman" w:hAnsi="Times New Roman" w:eastAsia="宋体" w:cs="Times New Roman"/>
                      <w:color w:val="auto"/>
                      <w:kern w:val="2"/>
                      <w:sz w:val="22"/>
                      <w:szCs w:val="22"/>
                      <w:vertAlign w:val="superscript"/>
                      <w:lang w:val="en-US" w:eastAsia="zh-CN" w:bidi="ar-SA"/>
                    </w:rPr>
                    <w:t>3</w:t>
                  </w:r>
                </w:p>
              </w:tc>
            </w:tr>
          </w:tbl>
          <w:p w14:paraId="54A87F1E">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p>
          <w:p w14:paraId="70742185">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default" w:ascii="Times New Roman" w:hAnsi="Times New Roman" w:eastAsia="宋体" w:cs="Times New Roman"/>
                <w:b/>
                <w:bCs/>
                <w:color w:val="auto"/>
                <w:sz w:val="26"/>
                <w:szCs w:val="26"/>
                <w:lang w:val="en-US" w:eastAsia="zh-CN"/>
              </w:rPr>
              <w:t>4.2.1.</w:t>
            </w:r>
            <w:r>
              <w:rPr>
                <w:rFonts w:hint="eastAsia" w:ascii="Times New Roman" w:hAnsi="Times New Roman" w:eastAsia="宋体" w:cs="Times New Roman"/>
                <w:b/>
                <w:bCs/>
                <w:color w:val="auto"/>
                <w:sz w:val="26"/>
                <w:szCs w:val="26"/>
                <w:lang w:val="en-US" w:eastAsia="zh-CN"/>
              </w:rPr>
              <w:t>4达标情况分析</w:t>
            </w:r>
          </w:p>
          <w:p w14:paraId="369F10F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b w:val="0"/>
                <w:bCs w:val="0"/>
                <w:color w:val="auto"/>
                <w:sz w:val="26"/>
                <w:szCs w:val="26"/>
                <w:lang w:val="en-US" w:eastAsia="zh-CN"/>
              </w:rPr>
            </w:pPr>
            <w:r>
              <w:rPr>
                <w:rFonts w:hint="eastAsia" w:ascii="Times New Roman" w:hAnsi="Times New Roman" w:eastAsia="宋体" w:cs="Times New Roman"/>
                <w:b w:val="0"/>
                <w:bCs w:val="0"/>
                <w:color w:val="auto"/>
                <w:sz w:val="26"/>
                <w:szCs w:val="26"/>
                <w:lang w:val="en-US" w:eastAsia="zh-CN"/>
              </w:rPr>
              <w:t>（1）DA002排气筒达标情况</w:t>
            </w:r>
          </w:p>
          <w:p w14:paraId="73D07614">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b w:val="0"/>
                <w:bCs w:val="0"/>
                <w:color w:val="auto"/>
                <w:sz w:val="26"/>
                <w:szCs w:val="26"/>
                <w:lang w:val="en-US" w:eastAsia="zh-CN"/>
              </w:rPr>
            </w:pPr>
            <w:r>
              <w:rPr>
                <w:rFonts w:hint="default" w:ascii="Times New Roman" w:hAnsi="Times New Roman" w:eastAsia="宋体" w:cs="Times New Roman"/>
                <w:b w:val="0"/>
                <w:bCs w:val="0"/>
                <w:color w:val="auto"/>
                <w:sz w:val="26"/>
                <w:szCs w:val="26"/>
                <w:lang w:val="en-US" w:eastAsia="zh-CN"/>
              </w:rPr>
              <w:t>本项目2个25吨熔炼炉和1个15吨熔炼炉产生的熔炼废气经“旋风+布袋”处理后依托现有DA002排气筒排放，现有“</w:t>
            </w:r>
            <w:r>
              <w:rPr>
                <w:rFonts w:hint="default" w:ascii="Times New Roman" w:hAnsi="Times New Roman" w:eastAsia="宋体" w:cs="Times New Roman"/>
                <w:b w:val="0"/>
                <w:bCs w:val="0"/>
                <w:color w:val="auto"/>
                <w:kern w:val="0"/>
                <w:sz w:val="26"/>
                <w:szCs w:val="26"/>
                <w:vertAlign w:val="baseline"/>
                <w:lang w:val="en-US" w:eastAsia="zh-CN"/>
              </w:rPr>
              <w:t>铝合金深加工智能化生产线建设项目</w:t>
            </w:r>
            <w:r>
              <w:rPr>
                <w:rFonts w:hint="default" w:ascii="Times New Roman" w:hAnsi="Times New Roman" w:eastAsia="宋体" w:cs="Times New Roman"/>
                <w:b w:val="0"/>
                <w:bCs w:val="0"/>
                <w:color w:val="auto"/>
                <w:sz w:val="26"/>
                <w:szCs w:val="26"/>
                <w:lang w:val="en-US" w:eastAsia="zh-CN"/>
              </w:rPr>
              <w:t>”的2#35t熔炼炉熔炼废气亦依托现有DA002排气筒处理后排放，本项目DA002排气筒排放情况见表4.2-4，依据《</w:t>
            </w:r>
            <w:r>
              <w:rPr>
                <w:rFonts w:hint="default" w:ascii="Times New Roman" w:hAnsi="Times New Roman" w:eastAsia="宋体" w:cs="Times New Roman"/>
                <w:b w:val="0"/>
                <w:bCs w:val="0"/>
                <w:color w:val="auto"/>
                <w:kern w:val="0"/>
                <w:sz w:val="26"/>
                <w:szCs w:val="26"/>
                <w:vertAlign w:val="baseline"/>
                <w:lang w:val="en-US" w:eastAsia="zh-CN"/>
              </w:rPr>
              <w:t>铝合金深加工智能化生产线建设项目（重新报批）环境影响报告表</w:t>
            </w:r>
            <w:r>
              <w:rPr>
                <w:rFonts w:hint="default" w:ascii="Times New Roman" w:hAnsi="Times New Roman" w:eastAsia="宋体" w:cs="Times New Roman"/>
                <w:b w:val="0"/>
                <w:bCs w:val="0"/>
                <w:color w:val="auto"/>
                <w:sz w:val="26"/>
                <w:szCs w:val="26"/>
                <w:lang w:val="en-US" w:eastAsia="zh-CN"/>
              </w:rPr>
              <w:t>》，现有“</w:t>
            </w:r>
            <w:r>
              <w:rPr>
                <w:rFonts w:hint="default" w:ascii="Times New Roman" w:hAnsi="Times New Roman" w:eastAsia="宋体" w:cs="Times New Roman"/>
                <w:b w:val="0"/>
                <w:bCs w:val="0"/>
                <w:color w:val="auto"/>
                <w:kern w:val="0"/>
                <w:sz w:val="26"/>
                <w:szCs w:val="26"/>
                <w:vertAlign w:val="baseline"/>
                <w:lang w:val="en-US" w:eastAsia="zh-CN"/>
              </w:rPr>
              <w:t>铝合金深加工智能化生产线建设项目</w:t>
            </w:r>
            <w:r>
              <w:rPr>
                <w:rFonts w:hint="default" w:ascii="Times New Roman" w:hAnsi="Times New Roman" w:eastAsia="宋体" w:cs="Times New Roman"/>
                <w:b w:val="0"/>
                <w:bCs w:val="0"/>
                <w:color w:val="auto"/>
                <w:sz w:val="26"/>
                <w:szCs w:val="26"/>
                <w:lang w:val="en-US" w:eastAsia="zh-CN"/>
              </w:rPr>
              <w:t>”DA002排气筒排放情况见下表4.2-</w:t>
            </w:r>
            <w:r>
              <w:rPr>
                <w:rFonts w:hint="eastAsia" w:ascii="Times New Roman" w:hAnsi="Times New Roman" w:eastAsia="宋体" w:cs="Times New Roman"/>
                <w:b w:val="0"/>
                <w:bCs w:val="0"/>
                <w:color w:val="auto"/>
                <w:sz w:val="26"/>
                <w:szCs w:val="26"/>
                <w:lang w:val="en-US" w:eastAsia="zh-CN"/>
              </w:rPr>
              <w:t>11</w:t>
            </w:r>
            <w:r>
              <w:rPr>
                <w:rFonts w:hint="default" w:ascii="Times New Roman" w:hAnsi="Times New Roman" w:eastAsia="宋体" w:cs="Times New Roman"/>
                <w:b w:val="0"/>
                <w:bCs w:val="0"/>
                <w:color w:val="auto"/>
                <w:sz w:val="26"/>
                <w:szCs w:val="26"/>
                <w:lang w:val="en-US" w:eastAsia="zh-CN"/>
              </w:rPr>
              <w:t>，合并后排放情况见下表4.2-1</w:t>
            </w:r>
            <w:r>
              <w:rPr>
                <w:rFonts w:hint="eastAsia" w:ascii="Times New Roman" w:hAnsi="Times New Roman" w:eastAsia="宋体" w:cs="Times New Roman"/>
                <w:b w:val="0"/>
                <w:bCs w:val="0"/>
                <w:color w:val="auto"/>
                <w:sz w:val="26"/>
                <w:szCs w:val="26"/>
                <w:lang w:val="en-US" w:eastAsia="zh-CN"/>
              </w:rPr>
              <w:t>2</w:t>
            </w:r>
            <w:r>
              <w:rPr>
                <w:rFonts w:hint="default" w:ascii="Times New Roman" w:hAnsi="Times New Roman" w:eastAsia="宋体" w:cs="Times New Roman"/>
                <w:b w:val="0"/>
                <w:bCs w:val="0"/>
                <w:color w:val="auto"/>
                <w:sz w:val="26"/>
                <w:szCs w:val="26"/>
                <w:lang w:val="en-US" w:eastAsia="zh-CN"/>
              </w:rPr>
              <w:t>。</w:t>
            </w:r>
          </w:p>
          <w:p w14:paraId="67ADF205">
            <w:pPr>
              <w:autoSpaceDE w:val="0"/>
              <w:autoSpaceDN w:val="0"/>
              <w:adjustRightInd w:val="0"/>
              <w:spacing w:line="460" w:lineRule="exact"/>
              <w:jc w:val="center"/>
              <w:rPr>
                <w:rFonts w:hint="eastAsia" w:ascii="Times New Roman" w:hAnsi="Times New Roman" w:eastAsia="宋体" w:cs="Times New Roman"/>
                <w:b/>
                <w:bCs w:val="0"/>
                <w:color w:val="auto"/>
                <w:sz w:val="26"/>
                <w:szCs w:val="26"/>
                <w:lang w:val="en-US" w:eastAsia="zh-CN"/>
              </w:rPr>
            </w:pPr>
            <w:r>
              <w:rPr>
                <w:rFonts w:hint="eastAsia" w:ascii="Times New Roman" w:hAnsi="Times New Roman" w:eastAsia="宋体" w:cs="Times New Roman"/>
                <w:b/>
                <w:bCs w:val="0"/>
                <w:color w:val="auto"/>
                <w:sz w:val="26"/>
                <w:szCs w:val="26"/>
                <w:lang w:val="en-US" w:eastAsia="zh-CN"/>
              </w:rPr>
              <w:t>表4.2-11 现有项目DA002排气筒排放情况表</w:t>
            </w:r>
          </w:p>
          <w:tbl>
            <w:tblPr>
              <w:tblStyle w:val="26"/>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320"/>
              <w:gridCol w:w="1321"/>
              <w:gridCol w:w="1321"/>
              <w:gridCol w:w="1322"/>
              <w:gridCol w:w="1322"/>
            </w:tblGrid>
            <w:tr w14:paraId="0166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4" w:type="dxa"/>
                  <w:noWrap w:val="0"/>
                  <w:vAlign w:val="center"/>
                </w:tcPr>
                <w:p w14:paraId="7FF793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排气筒编号</w:t>
                  </w:r>
                </w:p>
              </w:tc>
              <w:tc>
                <w:tcPr>
                  <w:tcW w:w="1324" w:type="dxa"/>
                  <w:noWrap w:val="0"/>
                  <w:vAlign w:val="center"/>
                </w:tcPr>
                <w:p w14:paraId="5CEEB7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废气量m</w:t>
                  </w:r>
                  <w:r>
                    <w:rPr>
                      <w:rFonts w:hint="default" w:ascii="Times New Roman" w:hAnsi="Times New Roman" w:eastAsia="宋体" w:cs="Times New Roman"/>
                      <w:b w:val="0"/>
                      <w:bCs w:val="0"/>
                      <w:color w:val="auto"/>
                      <w:sz w:val="22"/>
                      <w:szCs w:val="22"/>
                      <w:vertAlign w:val="superscript"/>
                      <w:lang w:val="en-US" w:eastAsia="zh-CN"/>
                    </w:rPr>
                    <w:t>3</w:t>
                  </w:r>
                  <w:r>
                    <w:rPr>
                      <w:rFonts w:hint="default" w:ascii="Times New Roman" w:hAnsi="Times New Roman" w:eastAsia="宋体" w:cs="Times New Roman"/>
                      <w:b w:val="0"/>
                      <w:bCs w:val="0"/>
                      <w:color w:val="auto"/>
                      <w:sz w:val="22"/>
                      <w:szCs w:val="22"/>
                      <w:vertAlign w:val="baseline"/>
                      <w:lang w:val="en-US" w:eastAsia="zh-CN"/>
                    </w:rPr>
                    <w:t>/h</w:t>
                  </w:r>
                </w:p>
              </w:tc>
              <w:tc>
                <w:tcPr>
                  <w:tcW w:w="1324" w:type="dxa"/>
                  <w:noWrap w:val="0"/>
                  <w:vAlign w:val="center"/>
                </w:tcPr>
                <w:p w14:paraId="7E4DD4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污染物种类</w:t>
                  </w:r>
                </w:p>
              </w:tc>
              <w:tc>
                <w:tcPr>
                  <w:tcW w:w="1324" w:type="dxa"/>
                  <w:noWrap w:val="0"/>
                  <w:vAlign w:val="center"/>
                </w:tcPr>
                <w:p w14:paraId="7B0BE7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排放浓度mg/m</w:t>
                  </w:r>
                  <w:r>
                    <w:rPr>
                      <w:rFonts w:hint="default" w:ascii="Times New Roman" w:hAnsi="Times New Roman" w:eastAsia="宋体" w:cs="Times New Roman"/>
                      <w:b w:val="0"/>
                      <w:bCs w:val="0"/>
                      <w:color w:val="auto"/>
                      <w:sz w:val="22"/>
                      <w:szCs w:val="22"/>
                      <w:vertAlign w:val="superscript"/>
                      <w:lang w:val="en-US" w:eastAsia="zh-CN"/>
                    </w:rPr>
                    <w:t>3</w:t>
                  </w:r>
                </w:p>
              </w:tc>
              <w:tc>
                <w:tcPr>
                  <w:tcW w:w="1325" w:type="dxa"/>
                  <w:noWrap w:val="0"/>
                  <w:vAlign w:val="center"/>
                </w:tcPr>
                <w:p w14:paraId="5E8820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排放速率kg/h</w:t>
                  </w:r>
                </w:p>
              </w:tc>
              <w:tc>
                <w:tcPr>
                  <w:tcW w:w="1325" w:type="dxa"/>
                  <w:noWrap w:val="0"/>
                  <w:vAlign w:val="center"/>
                </w:tcPr>
                <w:p w14:paraId="7B5031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排放量t/a</w:t>
                  </w:r>
                </w:p>
              </w:tc>
            </w:tr>
            <w:tr w14:paraId="3225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4" w:type="dxa"/>
                  <w:vMerge w:val="restart"/>
                  <w:noWrap w:val="0"/>
                  <w:vAlign w:val="center"/>
                </w:tcPr>
                <w:p w14:paraId="40C1B8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DA002</w:t>
                  </w:r>
                </w:p>
              </w:tc>
              <w:tc>
                <w:tcPr>
                  <w:tcW w:w="1324" w:type="dxa"/>
                  <w:vMerge w:val="restart"/>
                  <w:noWrap w:val="0"/>
                  <w:vAlign w:val="center"/>
                </w:tcPr>
                <w:p w14:paraId="2281B4D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43200</w:t>
                  </w:r>
                </w:p>
              </w:tc>
              <w:tc>
                <w:tcPr>
                  <w:tcW w:w="1324" w:type="dxa"/>
                  <w:noWrap w:val="0"/>
                  <w:vAlign w:val="center"/>
                </w:tcPr>
                <w:p w14:paraId="385D7ED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lang w:val="en-US" w:eastAsia="zh-CN"/>
                    </w:rPr>
                    <w:t>颗粒物</w:t>
                  </w:r>
                </w:p>
              </w:tc>
              <w:tc>
                <w:tcPr>
                  <w:tcW w:w="1324" w:type="dxa"/>
                  <w:noWrap w:val="0"/>
                  <w:vAlign w:val="center"/>
                </w:tcPr>
                <w:p w14:paraId="442AA2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9.6</w:t>
                  </w:r>
                </w:p>
              </w:tc>
              <w:tc>
                <w:tcPr>
                  <w:tcW w:w="1325" w:type="dxa"/>
                  <w:noWrap w:val="0"/>
                  <w:vAlign w:val="center"/>
                </w:tcPr>
                <w:p w14:paraId="048408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0.414</w:t>
                  </w:r>
                </w:p>
              </w:tc>
              <w:tc>
                <w:tcPr>
                  <w:tcW w:w="1325" w:type="dxa"/>
                  <w:noWrap w:val="0"/>
                  <w:vAlign w:val="center"/>
                </w:tcPr>
                <w:p w14:paraId="43B104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2.331</w:t>
                  </w:r>
                </w:p>
              </w:tc>
            </w:tr>
            <w:tr w14:paraId="59F2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4" w:type="dxa"/>
                  <w:vMerge w:val="continue"/>
                  <w:noWrap w:val="0"/>
                  <w:vAlign w:val="center"/>
                </w:tcPr>
                <w:p w14:paraId="228A50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1324" w:type="dxa"/>
                  <w:vMerge w:val="continue"/>
                  <w:noWrap w:val="0"/>
                  <w:vAlign w:val="center"/>
                </w:tcPr>
                <w:p w14:paraId="50CF4D4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2"/>
                      <w:szCs w:val="22"/>
                      <w:lang w:val="en-US" w:eastAsia="zh-CN"/>
                    </w:rPr>
                  </w:pPr>
                </w:p>
              </w:tc>
              <w:tc>
                <w:tcPr>
                  <w:tcW w:w="1324" w:type="dxa"/>
                  <w:noWrap w:val="0"/>
                  <w:vAlign w:val="center"/>
                </w:tcPr>
                <w:p w14:paraId="3068C08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lang w:val="en-US" w:eastAsia="zh-CN"/>
                    </w:rPr>
                    <w:t>NOx</w:t>
                  </w:r>
                </w:p>
              </w:tc>
              <w:tc>
                <w:tcPr>
                  <w:tcW w:w="1324" w:type="dxa"/>
                  <w:noWrap w:val="0"/>
                  <w:vAlign w:val="center"/>
                </w:tcPr>
                <w:p w14:paraId="7944EA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30.2</w:t>
                  </w:r>
                </w:p>
              </w:tc>
              <w:tc>
                <w:tcPr>
                  <w:tcW w:w="1325" w:type="dxa"/>
                  <w:noWrap w:val="0"/>
                  <w:vAlign w:val="center"/>
                </w:tcPr>
                <w:p w14:paraId="1F15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1.303</w:t>
                  </w:r>
                </w:p>
              </w:tc>
              <w:tc>
                <w:tcPr>
                  <w:tcW w:w="1325" w:type="dxa"/>
                  <w:noWrap w:val="0"/>
                  <w:vAlign w:val="center"/>
                </w:tcPr>
                <w:p w14:paraId="1F1A80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7.339</w:t>
                  </w:r>
                </w:p>
              </w:tc>
            </w:tr>
            <w:tr w14:paraId="34D6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4" w:type="dxa"/>
                  <w:vMerge w:val="continue"/>
                  <w:noWrap w:val="0"/>
                  <w:vAlign w:val="center"/>
                </w:tcPr>
                <w:p w14:paraId="2806A1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1324" w:type="dxa"/>
                  <w:vMerge w:val="continue"/>
                  <w:noWrap w:val="0"/>
                  <w:vAlign w:val="center"/>
                </w:tcPr>
                <w:p w14:paraId="10688B5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2"/>
                      <w:szCs w:val="22"/>
                      <w:lang w:val="en-US" w:eastAsia="zh-CN"/>
                    </w:rPr>
                  </w:pPr>
                </w:p>
              </w:tc>
              <w:tc>
                <w:tcPr>
                  <w:tcW w:w="1324" w:type="dxa"/>
                  <w:noWrap w:val="0"/>
                  <w:vAlign w:val="center"/>
                </w:tcPr>
                <w:p w14:paraId="50558317">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lang w:val="en-US" w:eastAsia="zh-CN"/>
                    </w:rPr>
                    <w:t>SO</w:t>
                  </w:r>
                  <w:r>
                    <w:rPr>
                      <w:rFonts w:hint="default" w:ascii="Times New Roman" w:hAnsi="Times New Roman" w:eastAsia="宋体" w:cs="Times New Roman"/>
                      <w:b w:val="0"/>
                      <w:bCs w:val="0"/>
                      <w:color w:val="auto"/>
                      <w:sz w:val="22"/>
                      <w:szCs w:val="22"/>
                      <w:vertAlign w:val="subscript"/>
                      <w:lang w:val="en-US" w:eastAsia="zh-CN"/>
                    </w:rPr>
                    <w:t>2</w:t>
                  </w:r>
                </w:p>
              </w:tc>
              <w:tc>
                <w:tcPr>
                  <w:tcW w:w="1324" w:type="dxa"/>
                  <w:noWrap w:val="0"/>
                  <w:vAlign w:val="center"/>
                </w:tcPr>
                <w:p w14:paraId="7CD1D6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2.7</w:t>
                  </w:r>
                </w:p>
              </w:tc>
              <w:tc>
                <w:tcPr>
                  <w:tcW w:w="1325" w:type="dxa"/>
                  <w:noWrap w:val="0"/>
                  <w:vAlign w:val="center"/>
                </w:tcPr>
                <w:p w14:paraId="2DB029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0.118</w:t>
                  </w:r>
                </w:p>
              </w:tc>
              <w:tc>
                <w:tcPr>
                  <w:tcW w:w="1325" w:type="dxa"/>
                  <w:noWrap w:val="0"/>
                  <w:vAlign w:val="center"/>
                </w:tcPr>
                <w:p w14:paraId="651D82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0.664</w:t>
                  </w:r>
                </w:p>
              </w:tc>
            </w:tr>
            <w:tr w14:paraId="6B0F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4" w:type="dxa"/>
                  <w:vMerge w:val="continue"/>
                  <w:noWrap w:val="0"/>
                  <w:vAlign w:val="center"/>
                </w:tcPr>
                <w:p w14:paraId="186DCB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1324" w:type="dxa"/>
                  <w:vMerge w:val="continue"/>
                  <w:noWrap w:val="0"/>
                  <w:vAlign w:val="center"/>
                </w:tcPr>
                <w:p w14:paraId="5F814D13">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2"/>
                      <w:szCs w:val="22"/>
                      <w:lang w:val="en-US" w:eastAsia="zh-CN"/>
                    </w:rPr>
                  </w:pPr>
                </w:p>
              </w:tc>
              <w:tc>
                <w:tcPr>
                  <w:tcW w:w="1324" w:type="dxa"/>
                  <w:noWrap w:val="0"/>
                  <w:vAlign w:val="center"/>
                </w:tcPr>
                <w:p w14:paraId="0DDC70D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lang w:val="en-US" w:eastAsia="zh-CN"/>
                    </w:rPr>
                    <w:t>HCl</w:t>
                  </w:r>
                </w:p>
              </w:tc>
              <w:tc>
                <w:tcPr>
                  <w:tcW w:w="1324" w:type="dxa"/>
                  <w:noWrap w:val="0"/>
                  <w:vAlign w:val="center"/>
                </w:tcPr>
                <w:p w14:paraId="242FBD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1.4</w:t>
                  </w:r>
                </w:p>
              </w:tc>
              <w:tc>
                <w:tcPr>
                  <w:tcW w:w="1325" w:type="dxa"/>
                  <w:noWrap w:val="0"/>
                  <w:vAlign w:val="center"/>
                </w:tcPr>
                <w:p w14:paraId="234CBF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0.317</w:t>
                  </w:r>
                </w:p>
              </w:tc>
              <w:tc>
                <w:tcPr>
                  <w:tcW w:w="1325" w:type="dxa"/>
                  <w:noWrap w:val="0"/>
                  <w:vAlign w:val="center"/>
                </w:tcPr>
                <w:p w14:paraId="2DE552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1.786</w:t>
                  </w:r>
                </w:p>
              </w:tc>
            </w:tr>
            <w:tr w14:paraId="1518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4" w:type="dxa"/>
                  <w:vMerge w:val="continue"/>
                  <w:noWrap w:val="0"/>
                  <w:vAlign w:val="center"/>
                </w:tcPr>
                <w:p w14:paraId="3A3CEA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1324" w:type="dxa"/>
                  <w:vMerge w:val="continue"/>
                  <w:noWrap w:val="0"/>
                  <w:vAlign w:val="center"/>
                </w:tcPr>
                <w:p w14:paraId="19418AF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2"/>
                      <w:szCs w:val="22"/>
                      <w:lang w:val="en-US" w:eastAsia="zh-CN"/>
                    </w:rPr>
                  </w:pPr>
                </w:p>
              </w:tc>
              <w:tc>
                <w:tcPr>
                  <w:tcW w:w="1324" w:type="dxa"/>
                  <w:noWrap w:val="0"/>
                  <w:vAlign w:val="center"/>
                </w:tcPr>
                <w:p w14:paraId="3D02451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lang w:val="en-US" w:eastAsia="zh-CN"/>
                    </w:rPr>
                    <w:t>氟化物</w:t>
                  </w:r>
                </w:p>
              </w:tc>
              <w:tc>
                <w:tcPr>
                  <w:tcW w:w="1324" w:type="dxa"/>
                  <w:noWrap w:val="0"/>
                  <w:vAlign w:val="center"/>
                </w:tcPr>
                <w:p w14:paraId="083AE4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7.3</w:t>
                  </w:r>
                </w:p>
              </w:tc>
              <w:tc>
                <w:tcPr>
                  <w:tcW w:w="1325" w:type="dxa"/>
                  <w:noWrap w:val="0"/>
                  <w:vAlign w:val="center"/>
                </w:tcPr>
                <w:p w14:paraId="457588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0.062</w:t>
                  </w:r>
                </w:p>
              </w:tc>
              <w:tc>
                <w:tcPr>
                  <w:tcW w:w="1325" w:type="dxa"/>
                  <w:noWrap w:val="0"/>
                  <w:vAlign w:val="center"/>
                </w:tcPr>
                <w:p w14:paraId="502DA6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0.351</w:t>
                  </w:r>
                </w:p>
              </w:tc>
            </w:tr>
          </w:tbl>
          <w:p w14:paraId="794DA801">
            <w:pPr>
              <w:keepNext w:val="0"/>
              <w:keepLines w:val="0"/>
              <w:pageBreakBefore w:val="0"/>
              <w:widowControl w:val="0"/>
              <w:kinsoku/>
              <w:wordWrap/>
              <w:overflowPunct/>
              <w:topLinePunct w:val="0"/>
              <w:autoSpaceDE/>
              <w:autoSpaceDN/>
              <w:bidi w:val="0"/>
              <w:adjustRightInd/>
              <w:snapToGrid/>
              <w:spacing w:line="460" w:lineRule="exact"/>
              <w:ind w:firstLine="1305" w:firstLineChars="500"/>
              <w:textAlignment w:val="auto"/>
              <w:rPr>
                <w:rFonts w:hint="eastAsia" w:ascii="Times New Roman" w:hAnsi="Times New Roman" w:eastAsia="宋体" w:cs="Times New Roman"/>
                <w:b/>
                <w:bCs/>
                <w:color w:val="auto"/>
                <w:sz w:val="26"/>
                <w:szCs w:val="26"/>
                <w:lang w:val="en-US" w:eastAsia="zh-CN"/>
              </w:rPr>
            </w:pPr>
          </w:p>
          <w:p w14:paraId="1C6C682E">
            <w:pPr>
              <w:autoSpaceDE w:val="0"/>
              <w:autoSpaceDN w:val="0"/>
              <w:adjustRightInd w:val="0"/>
              <w:spacing w:line="460" w:lineRule="exact"/>
              <w:jc w:val="center"/>
              <w:rPr>
                <w:rFonts w:hint="eastAsia" w:ascii="Times New Roman" w:hAnsi="Times New Roman" w:eastAsia="宋体" w:cs="Times New Roman"/>
                <w:b/>
                <w:bCs w:val="0"/>
                <w:color w:val="auto"/>
                <w:sz w:val="26"/>
                <w:szCs w:val="26"/>
                <w:lang w:val="en-US" w:eastAsia="zh-CN"/>
              </w:rPr>
            </w:pPr>
            <w:r>
              <w:rPr>
                <w:rFonts w:hint="eastAsia" w:ascii="Times New Roman" w:hAnsi="Times New Roman" w:eastAsia="宋体" w:cs="Times New Roman"/>
                <w:b/>
                <w:bCs w:val="0"/>
                <w:color w:val="auto"/>
                <w:sz w:val="26"/>
                <w:szCs w:val="26"/>
                <w:lang w:val="en-US" w:eastAsia="zh-CN"/>
              </w:rPr>
              <w:t>表4.2-12 合并后DA002排气筒排放情况表</w:t>
            </w:r>
          </w:p>
          <w:tbl>
            <w:tblPr>
              <w:tblStyle w:val="26"/>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798"/>
              <w:gridCol w:w="798"/>
              <w:gridCol w:w="900"/>
              <w:gridCol w:w="696"/>
              <w:gridCol w:w="1331"/>
              <w:gridCol w:w="1120"/>
              <w:gridCol w:w="684"/>
              <w:gridCol w:w="801"/>
            </w:tblGrid>
            <w:tr w14:paraId="3AE0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vMerge w:val="restart"/>
                  <w:noWrap w:val="0"/>
                  <w:vAlign w:val="center"/>
                </w:tcPr>
                <w:p w14:paraId="7F3B6D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排放口编号</w:t>
                  </w:r>
                </w:p>
              </w:tc>
              <w:tc>
                <w:tcPr>
                  <w:tcW w:w="775" w:type="dxa"/>
                  <w:vMerge w:val="restart"/>
                  <w:noWrap w:val="0"/>
                  <w:vAlign w:val="center"/>
                </w:tcPr>
                <w:p w14:paraId="024800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废气量m</w:t>
                  </w:r>
                  <w:r>
                    <w:rPr>
                      <w:rFonts w:hint="default" w:ascii="Times New Roman" w:hAnsi="Times New Roman" w:eastAsia="宋体" w:cs="Times New Roman"/>
                      <w:b w:val="0"/>
                      <w:bCs w:val="0"/>
                      <w:color w:val="auto"/>
                      <w:sz w:val="22"/>
                      <w:szCs w:val="22"/>
                      <w:vertAlign w:val="superscript"/>
                      <w:lang w:val="en-US" w:eastAsia="zh-CN"/>
                    </w:rPr>
                    <w:t>3</w:t>
                  </w:r>
                  <w:r>
                    <w:rPr>
                      <w:rFonts w:hint="default" w:ascii="Times New Roman" w:hAnsi="Times New Roman" w:eastAsia="宋体" w:cs="Times New Roman"/>
                      <w:b w:val="0"/>
                      <w:bCs w:val="0"/>
                      <w:color w:val="auto"/>
                      <w:sz w:val="22"/>
                      <w:szCs w:val="22"/>
                      <w:vertAlign w:val="baseline"/>
                      <w:lang w:val="en-US" w:eastAsia="zh-CN"/>
                    </w:rPr>
                    <w:t>/h</w:t>
                  </w:r>
                </w:p>
              </w:tc>
              <w:tc>
                <w:tcPr>
                  <w:tcW w:w="775" w:type="dxa"/>
                  <w:vMerge w:val="restart"/>
                  <w:noWrap w:val="0"/>
                  <w:vAlign w:val="center"/>
                </w:tcPr>
                <w:p w14:paraId="127D2E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污染物种类</w:t>
                  </w:r>
                </w:p>
              </w:tc>
              <w:tc>
                <w:tcPr>
                  <w:tcW w:w="2843" w:type="dxa"/>
                  <w:gridSpan w:val="3"/>
                  <w:noWrap w:val="0"/>
                  <w:vAlign w:val="center"/>
                </w:tcPr>
                <w:p w14:paraId="36E6D0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排放情况</w:t>
                  </w:r>
                </w:p>
              </w:tc>
              <w:tc>
                <w:tcPr>
                  <w:tcW w:w="1752" w:type="dxa"/>
                  <w:gridSpan w:val="2"/>
                  <w:noWrap w:val="0"/>
                  <w:vAlign w:val="center"/>
                </w:tcPr>
                <w:p w14:paraId="24A59E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标准限值</w:t>
                  </w:r>
                </w:p>
              </w:tc>
              <w:tc>
                <w:tcPr>
                  <w:tcW w:w="778" w:type="dxa"/>
                  <w:vMerge w:val="restart"/>
                  <w:noWrap w:val="0"/>
                  <w:vAlign w:val="center"/>
                </w:tcPr>
                <w:p w14:paraId="7A56DE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达标情况</w:t>
                  </w:r>
                </w:p>
              </w:tc>
            </w:tr>
            <w:tr w14:paraId="25DF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vMerge w:val="continue"/>
                  <w:noWrap w:val="0"/>
                  <w:vAlign w:val="center"/>
                </w:tcPr>
                <w:p w14:paraId="4DEEC1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775" w:type="dxa"/>
                  <w:vMerge w:val="continue"/>
                  <w:noWrap w:val="0"/>
                  <w:vAlign w:val="center"/>
                </w:tcPr>
                <w:p w14:paraId="0C7A41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775" w:type="dxa"/>
                  <w:vMerge w:val="continue"/>
                  <w:noWrap w:val="0"/>
                  <w:vAlign w:val="center"/>
                </w:tcPr>
                <w:p w14:paraId="693F50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874" w:type="dxa"/>
                  <w:noWrap w:val="0"/>
                  <w:vAlign w:val="center"/>
                </w:tcPr>
                <w:p w14:paraId="6110E0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vertAlign w:val="baseline"/>
                      <w:lang w:val="en-US" w:eastAsia="zh-CN"/>
                    </w:rPr>
                    <w:t>排放浓度mg/m</w:t>
                  </w:r>
                  <w:r>
                    <w:rPr>
                      <w:rFonts w:hint="default" w:ascii="Times New Roman" w:hAnsi="Times New Roman" w:eastAsia="宋体" w:cs="Times New Roman"/>
                      <w:b w:val="0"/>
                      <w:bCs w:val="0"/>
                      <w:color w:val="auto"/>
                      <w:sz w:val="22"/>
                      <w:szCs w:val="22"/>
                      <w:vertAlign w:val="superscript"/>
                      <w:lang w:val="en-US" w:eastAsia="zh-CN"/>
                    </w:rPr>
                    <w:t>3</w:t>
                  </w:r>
                </w:p>
              </w:tc>
              <w:tc>
                <w:tcPr>
                  <w:tcW w:w="676" w:type="dxa"/>
                  <w:noWrap w:val="0"/>
                  <w:vAlign w:val="center"/>
                </w:tcPr>
                <w:p w14:paraId="78BB0C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vertAlign w:val="baseline"/>
                      <w:lang w:val="en-US" w:eastAsia="zh-CN"/>
                    </w:rPr>
                    <w:t>排放速率kg/h</w:t>
                  </w:r>
                </w:p>
              </w:tc>
              <w:tc>
                <w:tcPr>
                  <w:tcW w:w="1293" w:type="dxa"/>
                  <w:noWrap w:val="0"/>
                  <w:vAlign w:val="center"/>
                </w:tcPr>
                <w:p w14:paraId="6F7859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排放量t/a</w:t>
                  </w:r>
                </w:p>
              </w:tc>
              <w:tc>
                <w:tcPr>
                  <w:tcW w:w="1088" w:type="dxa"/>
                  <w:noWrap w:val="0"/>
                  <w:vAlign w:val="center"/>
                </w:tcPr>
                <w:p w14:paraId="18EAFB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vertAlign w:val="baseline"/>
                      <w:lang w:val="en-US" w:eastAsia="zh-CN"/>
                    </w:rPr>
                    <w:t>排放浓度mg/m</w:t>
                  </w:r>
                  <w:r>
                    <w:rPr>
                      <w:rFonts w:hint="default" w:ascii="Times New Roman" w:hAnsi="Times New Roman" w:eastAsia="宋体" w:cs="Times New Roman"/>
                      <w:b w:val="0"/>
                      <w:bCs w:val="0"/>
                      <w:color w:val="auto"/>
                      <w:sz w:val="22"/>
                      <w:szCs w:val="22"/>
                      <w:vertAlign w:val="superscript"/>
                      <w:lang w:val="en-US" w:eastAsia="zh-CN"/>
                    </w:rPr>
                    <w:t>3</w:t>
                  </w:r>
                </w:p>
              </w:tc>
              <w:tc>
                <w:tcPr>
                  <w:tcW w:w="664" w:type="dxa"/>
                  <w:noWrap w:val="0"/>
                  <w:vAlign w:val="center"/>
                </w:tcPr>
                <w:p w14:paraId="0C824F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vertAlign w:val="baseline"/>
                      <w:lang w:val="en-US" w:eastAsia="zh-CN"/>
                    </w:rPr>
                    <w:t>排放速率kg/h</w:t>
                  </w:r>
                </w:p>
              </w:tc>
              <w:tc>
                <w:tcPr>
                  <w:tcW w:w="778" w:type="dxa"/>
                  <w:vMerge w:val="continue"/>
                  <w:noWrap w:val="0"/>
                  <w:vAlign w:val="center"/>
                </w:tcPr>
                <w:p w14:paraId="540080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r>
            <w:tr w14:paraId="23A98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vMerge w:val="restart"/>
                  <w:noWrap w:val="0"/>
                  <w:vAlign w:val="center"/>
                </w:tcPr>
                <w:p w14:paraId="200B5C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DA002</w:t>
                  </w:r>
                </w:p>
              </w:tc>
              <w:tc>
                <w:tcPr>
                  <w:tcW w:w="775" w:type="dxa"/>
                  <w:vMerge w:val="restart"/>
                  <w:noWrap w:val="0"/>
                  <w:vAlign w:val="center"/>
                </w:tcPr>
                <w:p w14:paraId="4D05D2FD">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2"/>
                      <w:szCs w:val="22"/>
                      <w:lang w:val="en-US" w:eastAsia="zh-CN"/>
                    </w:rPr>
                  </w:pPr>
                  <w:r>
                    <w:rPr>
                      <w:rFonts w:hint="default" w:ascii="Times New Roman" w:hAnsi="Times New Roman" w:eastAsia="宋体" w:cs="Times New Roman"/>
                      <w:b w:val="0"/>
                      <w:bCs w:val="0"/>
                      <w:color w:val="auto"/>
                      <w:sz w:val="22"/>
                      <w:szCs w:val="22"/>
                      <w:lang w:val="en-US" w:eastAsia="zh-CN"/>
                    </w:rPr>
                    <w:t>84900</w:t>
                  </w:r>
                </w:p>
              </w:tc>
              <w:tc>
                <w:tcPr>
                  <w:tcW w:w="775" w:type="dxa"/>
                  <w:noWrap w:val="0"/>
                  <w:vAlign w:val="center"/>
                </w:tcPr>
                <w:p w14:paraId="3ECCB6A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lang w:val="en-US" w:eastAsia="zh-CN"/>
                    </w:rPr>
                    <w:t>颗粒物</w:t>
                  </w:r>
                </w:p>
              </w:tc>
              <w:tc>
                <w:tcPr>
                  <w:tcW w:w="874" w:type="dxa"/>
                  <w:noWrap w:val="0"/>
                  <w:vAlign w:val="center"/>
                </w:tcPr>
                <w:p w14:paraId="290A7A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 xml:space="preserve">16.84 </w:t>
                  </w:r>
                </w:p>
              </w:tc>
              <w:tc>
                <w:tcPr>
                  <w:tcW w:w="676" w:type="dxa"/>
                  <w:noWrap w:val="0"/>
                  <w:vAlign w:val="center"/>
                </w:tcPr>
                <w:p w14:paraId="3A600A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 xml:space="preserve">1.43 </w:t>
                  </w:r>
                </w:p>
              </w:tc>
              <w:tc>
                <w:tcPr>
                  <w:tcW w:w="1293" w:type="dxa"/>
                  <w:noWrap w:val="0"/>
                  <w:vAlign w:val="center"/>
                </w:tcPr>
                <w:p w14:paraId="1A7D9C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 xml:space="preserve">5.88 </w:t>
                  </w:r>
                </w:p>
              </w:tc>
              <w:tc>
                <w:tcPr>
                  <w:tcW w:w="1088" w:type="dxa"/>
                  <w:noWrap w:val="0"/>
                  <w:vAlign w:val="center"/>
                </w:tcPr>
                <w:p w14:paraId="1D6F66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30</w:t>
                  </w:r>
                </w:p>
              </w:tc>
              <w:tc>
                <w:tcPr>
                  <w:tcW w:w="664" w:type="dxa"/>
                  <w:noWrap w:val="0"/>
                  <w:vAlign w:val="center"/>
                </w:tcPr>
                <w:p w14:paraId="5F1DA6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w:t>
                  </w:r>
                </w:p>
              </w:tc>
              <w:tc>
                <w:tcPr>
                  <w:tcW w:w="778" w:type="dxa"/>
                  <w:noWrap w:val="0"/>
                  <w:vAlign w:val="center"/>
                </w:tcPr>
                <w:p w14:paraId="4E097D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达标</w:t>
                  </w:r>
                </w:p>
              </w:tc>
            </w:tr>
            <w:tr w14:paraId="7483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vMerge w:val="continue"/>
                  <w:noWrap w:val="0"/>
                  <w:vAlign w:val="center"/>
                </w:tcPr>
                <w:p w14:paraId="7ED6A5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775" w:type="dxa"/>
                  <w:vMerge w:val="continue"/>
                  <w:noWrap w:val="0"/>
                  <w:vAlign w:val="center"/>
                </w:tcPr>
                <w:p w14:paraId="5C68B86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2"/>
                      <w:szCs w:val="22"/>
                      <w:lang w:val="en-US" w:eastAsia="zh-CN"/>
                    </w:rPr>
                  </w:pPr>
                </w:p>
              </w:tc>
              <w:tc>
                <w:tcPr>
                  <w:tcW w:w="775" w:type="dxa"/>
                  <w:noWrap w:val="0"/>
                  <w:vAlign w:val="center"/>
                </w:tcPr>
                <w:p w14:paraId="607A189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lang w:val="en-US" w:eastAsia="zh-CN"/>
                    </w:rPr>
                    <w:t>NOx</w:t>
                  </w:r>
                </w:p>
              </w:tc>
              <w:tc>
                <w:tcPr>
                  <w:tcW w:w="874" w:type="dxa"/>
                  <w:noWrap w:val="0"/>
                  <w:vAlign w:val="center"/>
                </w:tcPr>
                <w:p w14:paraId="673B94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 xml:space="preserve">40.52 </w:t>
                  </w:r>
                </w:p>
              </w:tc>
              <w:tc>
                <w:tcPr>
                  <w:tcW w:w="676" w:type="dxa"/>
                  <w:noWrap w:val="0"/>
                  <w:vAlign w:val="center"/>
                </w:tcPr>
                <w:p w14:paraId="729A49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 xml:space="preserve">3.44 </w:t>
                  </w:r>
                </w:p>
              </w:tc>
              <w:tc>
                <w:tcPr>
                  <w:tcW w:w="1293" w:type="dxa"/>
                  <w:noWrap w:val="0"/>
                  <w:vAlign w:val="center"/>
                </w:tcPr>
                <w:p w14:paraId="7F53DA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 xml:space="preserve">18.51 </w:t>
                  </w:r>
                </w:p>
              </w:tc>
              <w:tc>
                <w:tcPr>
                  <w:tcW w:w="1088" w:type="dxa"/>
                  <w:noWrap w:val="0"/>
                  <w:vAlign w:val="center"/>
                </w:tcPr>
                <w:p w14:paraId="604DA7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300</w:t>
                  </w:r>
                </w:p>
              </w:tc>
              <w:tc>
                <w:tcPr>
                  <w:tcW w:w="664" w:type="dxa"/>
                  <w:noWrap w:val="0"/>
                  <w:vAlign w:val="center"/>
                </w:tcPr>
                <w:p w14:paraId="0150C4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w:t>
                  </w:r>
                </w:p>
              </w:tc>
              <w:tc>
                <w:tcPr>
                  <w:tcW w:w="778" w:type="dxa"/>
                  <w:noWrap w:val="0"/>
                  <w:vAlign w:val="center"/>
                </w:tcPr>
                <w:p w14:paraId="07832B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达标</w:t>
                  </w:r>
                </w:p>
              </w:tc>
            </w:tr>
            <w:tr w14:paraId="2E6A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vMerge w:val="continue"/>
                  <w:noWrap w:val="0"/>
                  <w:vAlign w:val="center"/>
                </w:tcPr>
                <w:p w14:paraId="4A1B71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775" w:type="dxa"/>
                  <w:vMerge w:val="continue"/>
                  <w:noWrap w:val="0"/>
                  <w:vAlign w:val="center"/>
                </w:tcPr>
                <w:p w14:paraId="4901FEB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2"/>
                      <w:szCs w:val="22"/>
                      <w:lang w:val="en-US" w:eastAsia="zh-CN"/>
                    </w:rPr>
                  </w:pPr>
                </w:p>
              </w:tc>
              <w:tc>
                <w:tcPr>
                  <w:tcW w:w="775" w:type="dxa"/>
                  <w:noWrap w:val="0"/>
                  <w:vAlign w:val="center"/>
                </w:tcPr>
                <w:p w14:paraId="57C6A15F">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lang w:val="en-US" w:eastAsia="zh-CN"/>
                    </w:rPr>
                    <w:t>SO</w:t>
                  </w:r>
                  <w:r>
                    <w:rPr>
                      <w:rFonts w:hint="default" w:ascii="Times New Roman" w:hAnsi="Times New Roman" w:eastAsia="宋体" w:cs="Times New Roman"/>
                      <w:b w:val="0"/>
                      <w:bCs w:val="0"/>
                      <w:color w:val="auto"/>
                      <w:sz w:val="22"/>
                      <w:szCs w:val="22"/>
                      <w:vertAlign w:val="subscript"/>
                      <w:lang w:val="en-US" w:eastAsia="zh-CN"/>
                    </w:rPr>
                    <w:t>2</w:t>
                  </w:r>
                </w:p>
              </w:tc>
              <w:tc>
                <w:tcPr>
                  <w:tcW w:w="874" w:type="dxa"/>
                  <w:noWrap w:val="0"/>
                  <w:vAlign w:val="center"/>
                </w:tcPr>
                <w:p w14:paraId="2DAC41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 xml:space="preserve">3.42 </w:t>
                  </w:r>
                </w:p>
              </w:tc>
              <w:tc>
                <w:tcPr>
                  <w:tcW w:w="676" w:type="dxa"/>
                  <w:noWrap w:val="0"/>
                  <w:vAlign w:val="center"/>
                </w:tcPr>
                <w:p w14:paraId="14AC94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 xml:space="preserve">0.29 </w:t>
                  </w:r>
                </w:p>
              </w:tc>
              <w:tc>
                <w:tcPr>
                  <w:tcW w:w="1293" w:type="dxa"/>
                  <w:noWrap w:val="0"/>
                  <w:vAlign w:val="center"/>
                </w:tcPr>
                <w:p w14:paraId="4123CB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 xml:space="preserve">1.51 </w:t>
                  </w:r>
                </w:p>
              </w:tc>
              <w:tc>
                <w:tcPr>
                  <w:tcW w:w="1088" w:type="dxa"/>
                  <w:noWrap w:val="0"/>
                  <w:vAlign w:val="center"/>
                </w:tcPr>
                <w:p w14:paraId="16D18C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100</w:t>
                  </w:r>
                </w:p>
              </w:tc>
              <w:tc>
                <w:tcPr>
                  <w:tcW w:w="664" w:type="dxa"/>
                  <w:noWrap w:val="0"/>
                  <w:vAlign w:val="center"/>
                </w:tcPr>
                <w:p w14:paraId="4C808F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w:t>
                  </w:r>
                </w:p>
              </w:tc>
              <w:tc>
                <w:tcPr>
                  <w:tcW w:w="778" w:type="dxa"/>
                  <w:noWrap w:val="0"/>
                  <w:vAlign w:val="center"/>
                </w:tcPr>
                <w:p w14:paraId="6E6432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达标</w:t>
                  </w:r>
                </w:p>
              </w:tc>
            </w:tr>
            <w:tr w14:paraId="302B0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vMerge w:val="continue"/>
                  <w:noWrap w:val="0"/>
                  <w:vAlign w:val="center"/>
                </w:tcPr>
                <w:p w14:paraId="0174DC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775" w:type="dxa"/>
                  <w:vMerge w:val="continue"/>
                  <w:noWrap w:val="0"/>
                  <w:vAlign w:val="center"/>
                </w:tcPr>
                <w:p w14:paraId="03FF731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2"/>
                      <w:szCs w:val="22"/>
                      <w:lang w:val="en-US" w:eastAsia="zh-CN"/>
                    </w:rPr>
                  </w:pPr>
                </w:p>
              </w:tc>
              <w:tc>
                <w:tcPr>
                  <w:tcW w:w="775" w:type="dxa"/>
                  <w:noWrap w:val="0"/>
                  <w:vAlign w:val="center"/>
                </w:tcPr>
                <w:p w14:paraId="5F1D196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lang w:val="en-US" w:eastAsia="zh-CN"/>
                    </w:rPr>
                    <w:t>HCl</w:t>
                  </w:r>
                </w:p>
              </w:tc>
              <w:tc>
                <w:tcPr>
                  <w:tcW w:w="874" w:type="dxa"/>
                  <w:noWrap w:val="0"/>
                  <w:vAlign w:val="center"/>
                </w:tcPr>
                <w:p w14:paraId="0382B0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 xml:space="preserve">5.89 </w:t>
                  </w:r>
                </w:p>
              </w:tc>
              <w:tc>
                <w:tcPr>
                  <w:tcW w:w="676" w:type="dxa"/>
                  <w:noWrap w:val="0"/>
                  <w:vAlign w:val="center"/>
                </w:tcPr>
                <w:p w14:paraId="6615CC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 xml:space="preserve">0.50 </w:t>
                  </w:r>
                </w:p>
              </w:tc>
              <w:tc>
                <w:tcPr>
                  <w:tcW w:w="1293" w:type="dxa"/>
                  <w:noWrap w:val="0"/>
                  <w:vAlign w:val="center"/>
                </w:tcPr>
                <w:p w14:paraId="5E6BDF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 xml:space="preserve">2.71 </w:t>
                  </w:r>
                </w:p>
              </w:tc>
              <w:tc>
                <w:tcPr>
                  <w:tcW w:w="1088" w:type="dxa"/>
                  <w:noWrap w:val="0"/>
                  <w:vAlign w:val="center"/>
                </w:tcPr>
                <w:p w14:paraId="6BB1D9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vertAlign w:val="baseline"/>
                      <w:lang w:val="en-US" w:eastAsia="zh-CN"/>
                    </w:rPr>
                    <w:t>100</w:t>
                  </w:r>
                </w:p>
              </w:tc>
              <w:tc>
                <w:tcPr>
                  <w:tcW w:w="664" w:type="dxa"/>
                  <w:noWrap w:val="0"/>
                  <w:vAlign w:val="center"/>
                </w:tcPr>
                <w:p w14:paraId="71ACA7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vertAlign w:val="baseline"/>
                      <w:lang w:val="en-US" w:eastAsia="zh-CN"/>
                    </w:rPr>
                    <w:t>0.53</w:t>
                  </w:r>
                </w:p>
              </w:tc>
              <w:tc>
                <w:tcPr>
                  <w:tcW w:w="778" w:type="dxa"/>
                  <w:noWrap w:val="0"/>
                  <w:vAlign w:val="center"/>
                </w:tcPr>
                <w:p w14:paraId="0CCCC1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vertAlign w:val="baseline"/>
                      <w:lang w:val="en-US" w:eastAsia="zh-CN"/>
                    </w:rPr>
                    <w:t>达标</w:t>
                  </w:r>
                </w:p>
              </w:tc>
            </w:tr>
            <w:tr w14:paraId="790F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vMerge w:val="continue"/>
                  <w:noWrap w:val="0"/>
                  <w:vAlign w:val="center"/>
                </w:tcPr>
                <w:p w14:paraId="5F4A5F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775" w:type="dxa"/>
                  <w:vMerge w:val="continue"/>
                  <w:noWrap w:val="0"/>
                  <w:vAlign w:val="center"/>
                </w:tcPr>
                <w:p w14:paraId="0ECA3935">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2"/>
                      <w:szCs w:val="22"/>
                      <w:lang w:val="en-US" w:eastAsia="zh-CN"/>
                    </w:rPr>
                  </w:pPr>
                </w:p>
              </w:tc>
              <w:tc>
                <w:tcPr>
                  <w:tcW w:w="775" w:type="dxa"/>
                  <w:noWrap w:val="0"/>
                  <w:vAlign w:val="center"/>
                </w:tcPr>
                <w:p w14:paraId="55FEFD3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lang w:val="en-US" w:eastAsia="zh-CN"/>
                    </w:rPr>
                    <w:t>氟化物</w:t>
                  </w:r>
                </w:p>
              </w:tc>
              <w:tc>
                <w:tcPr>
                  <w:tcW w:w="874" w:type="dxa"/>
                  <w:noWrap w:val="0"/>
                  <w:vAlign w:val="center"/>
                </w:tcPr>
                <w:p w14:paraId="6C6C72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 xml:space="preserve">1.18 </w:t>
                  </w:r>
                </w:p>
              </w:tc>
              <w:tc>
                <w:tcPr>
                  <w:tcW w:w="676" w:type="dxa"/>
                  <w:noWrap w:val="0"/>
                  <w:vAlign w:val="center"/>
                </w:tcPr>
                <w:p w14:paraId="699670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 xml:space="preserve">0.10 </w:t>
                  </w:r>
                </w:p>
              </w:tc>
              <w:tc>
                <w:tcPr>
                  <w:tcW w:w="1293" w:type="dxa"/>
                  <w:noWrap w:val="0"/>
                  <w:vAlign w:val="center"/>
                </w:tcPr>
                <w:p w14:paraId="1C3DC0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 xml:space="preserve">0.56 </w:t>
                  </w:r>
                </w:p>
              </w:tc>
              <w:tc>
                <w:tcPr>
                  <w:tcW w:w="1088" w:type="dxa"/>
                  <w:noWrap w:val="0"/>
                  <w:vAlign w:val="center"/>
                </w:tcPr>
                <w:p w14:paraId="47F54A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6</w:t>
                  </w:r>
                </w:p>
              </w:tc>
              <w:tc>
                <w:tcPr>
                  <w:tcW w:w="664" w:type="dxa"/>
                  <w:noWrap w:val="0"/>
                  <w:vAlign w:val="center"/>
                </w:tcPr>
                <w:p w14:paraId="4973B4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w:t>
                  </w:r>
                </w:p>
              </w:tc>
              <w:tc>
                <w:tcPr>
                  <w:tcW w:w="778" w:type="dxa"/>
                  <w:noWrap w:val="0"/>
                  <w:vAlign w:val="center"/>
                </w:tcPr>
                <w:p w14:paraId="0436FF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达标</w:t>
                  </w:r>
                </w:p>
              </w:tc>
            </w:tr>
          </w:tbl>
          <w:p w14:paraId="7C3C0839">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宋体" w:cs="Times New Roman"/>
                <w:b/>
                <w:bCs/>
                <w:color w:val="auto"/>
                <w:sz w:val="26"/>
                <w:szCs w:val="26"/>
                <w:lang w:val="en-US" w:eastAsia="zh-CN"/>
              </w:rPr>
            </w:pPr>
          </w:p>
          <w:p w14:paraId="29A41E8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b w:val="0"/>
                <w:bCs w:val="0"/>
                <w:color w:val="auto"/>
                <w:kern w:val="0"/>
                <w:sz w:val="26"/>
                <w:szCs w:val="26"/>
                <w:vertAlign w:val="baseline"/>
                <w:lang w:val="en-US" w:eastAsia="zh-CN"/>
              </w:rPr>
            </w:pPr>
            <w:r>
              <w:rPr>
                <w:rFonts w:hint="eastAsia" w:ascii="Times New Roman" w:hAnsi="Times New Roman" w:eastAsia="宋体" w:cs="Times New Roman"/>
                <w:b w:val="0"/>
                <w:bCs w:val="0"/>
                <w:color w:val="auto"/>
                <w:kern w:val="0"/>
                <w:sz w:val="26"/>
                <w:szCs w:val="26"/>
                <w:vertAlign w:val="baseline"/>
                <w:lang w:val="en-US" w:eastAsia="zh-CN"/>
              </w:rPr>
              <w:t>综上，本项目建成后，DA002排气筒能够满足达标排放要求。</w:t>
            </w:r>
          </w:p>
          <w:p w14:paraId="6B1DFE3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b w:val="0"/>
                <w:bCs w:val="0"/>
                <w:color w:val="auto"/>
                <w:kern w:val="0"/>
                <w:sz w:val="26"/>
                <w:szCs w:val="26"/>
                <w:vertAlign w:val="baseline"/>
                <w:lang w:val="en-US" w:eastAsia="zh-CN"/>
              </w:rPr>
            </w:pPr>
            <w:r>
              <w:rPr>
                <w:rFonts w:hint="eastAsia" w:ascii="Times New Roman" w:hAnsi="Times New Roman" w:eastAsia="宋体" w:cs="Times New Roman"/>
                <w:b w:val="0"/>
                <w:bCs w:val="0"/>
                <w:color w:val="auto"/>
                <w:kern w:val="0"/>
                <w:sz w:val="26"/>
                <w:szCs w:val="26"/>
                <w:vertAlign w:val="baseline"/>
                <w:lang w:val="en-US" w:eastAsia="zh-CN"/>
              </w:rPr>
              <w:t>（2）DA004达标情况</w:t>
            </w:r>
          </w:p>
          <w:p w14:paraId="6295088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b w:val="0"/>
                <w:bCs w:val="0"/>
                <w:color w:val="auto"/>
                <w:kern w:val="0"/>
                <w:sz w:val="26"/>
                <w:szCs w:val="26"/>
                <w:vertAlign w:val="baseline"/>
                <w:lang w:val="en-US" w:eastAsia="zh-CN"/>
              </w:rPr>
            </w:pPr>
            <w:r>
              <w:rPr>
                <w:rFonts w:hint="eastAsia" w:ascii="Times New Roman" w:hAnsi="Times New Roman" w:eastAsia="宋体" w:cs="Times New Roman"/>
                <w:b w:val="0"/>
                <w:bCs w:val="0"/>
                <w:color w:val="auto"/>
                <w:kern w:val="0"/>
                <w:sz w:val="26"/>
                <w:szCs w:val="26"/>
                <w:vertAlign w:val="baseline"/>
                <w:lang w:val="en-US" w:eastAsia="zh-CN"/>
              </w:rPr>
              <w:t>本项目均质废气依托现有DA004排气筒排放，</w:t>
            </w:r>
            <w:r>
              <w:rPr>
                <w:rFonts w:hint="default" w:ascii="Times New Roman" w:hAnsi="Times New Roman" w:eastAsia="宋体" w:cs="Times New Roman"/>
                <w:b w:val="0"/>
                <w:bCs w:val="0"/>
                <w:color w:val="auto"/>
                <w:kern w:val="0"/>
                <w:sz w:val="26"/>
                <w:szCs w:val="26"/>
                <w:vertAlign w:val="baseline"/>
                <w:lang w:val="en-US" w:eastAsia="zh-CN"/>
              </w:rPr>
              <w:t>现有“铝合金深加工智能化生产线建设项目”的</w:t>
            </w:r>
            <w:r>
              <w:rPr>
                <w:rFonts w:hint="eastAsia" w:ascii="Times New Roman" w:hAnsi="Times New Roman" w:eastAsia="宋体" w:cs="Times New Roman"/>
                <w:b w:val="0"/>
                <w:bCs w:val="0"/>
                <w:color w:val="auto"/>
                <w:kern w:val="0"/>
                <w:sz w:val="26"/>
                <w:szCs w:val="26"/>
                <w:vertAlign w:val="baseline"/>
                <w:lang w:val="en-US" w:eastAsia="zh-CN"/>
              </w:rPr>
              <w:t>均质</w:t>
            </w:r>
            <w:r>
              <w:rPr>
                <w:rFonts w:hint="default" w:ascii="Times New Roman" w:hAnsi="Times New Roman" w:eastAsia="宋体" w:cs="Times New Roman"/>
                <w:b w:val="0"/>
                <w:bCs w:val="0"/>
                <w:color w:val="auto"/>
                <w:kern w:val="0"/>
                <w:sz w:val="26"/>
                <w:szCs w:val="26"/>
                <w:vertAlign w:val="baseline"/>
                <w:lang w:val="en-US" w:eastAsia="zh-CN"/>
              </w:rPr>
              <w:t>废气亦依托现有DA00</w:t>
            </w:r>
            <w:r>
              <w:rPr>
                <w:rFonts w:hint="eastAsia" w:ascii="Times New Roman" w:hAnsi="Times New Roman" w:eastAsia="宋体" w:cs="Times New Roman"/>
                <w:b w:val="0"/>
                <w:bCs w:val="0"/>
                <w:color w:val="auto"/>
                <w:kern w:val="0"/>
                <w:sz w:val="26"/>
                <w:szCs w:val="26"/>
                <w:vertAlign w:val="baseline"/>
                <w:lang w:val="en-US" w:eastAsia="zh-CN"/>
              </w:rPr>
              <w:t>4</w:t>
            </w:r>
            <w:r>
              <w:rPr>
                <w:rFonts w:hint="default" w:ascii="Times New Roman" w:hAnsi="Times New Roman" w:eastAsia="宋体" w:cs="Times New Roman"/>
                <w:b w:val="0"/>
                <w:bCs w:val="0"/>
                <w:color w:val="auto"/>
                <w:kern w:val="0"/>
                <w:sz w:val="26"/>
                <w:szCs w:val="26"/>
                <w:vertAlign w:val="baseline"/>
                <w:lang w:val="en-US" w:eastAsia="zh-CN"/>
              </w:rPr>
              <w:t>排气筒排放</w:t>
            </w:r>
            <w:r>
              <w:rPr>
                <w:rFonts w:hint="eastAsia" w:ascii="Times New Roman" w:hAnsi="Times New Roman" w:eastAsia="宋体" w:cs="Times New Roman"/>
                <w:b w:val="0"/>
                <w:bCs w:val="0"/>
                <w:color w:val="auto"/>
                <w:kern w:val="0"/>
                <w:sz w:val="26"/>
                <w:szCs w:val="26"/>
                <w:vertAlign w:val="baseline"/>
                <w:lang w:val="en-US" w:eastAsia="zh-CN"/>
              </w:rPr>
              <w:t>，</w:t>
            </w:r>
            <w:r>
              <w:rPr>
                <w:rFonts w:hint="default" w:ascii="Times New Roman" w:hAnsi="Times New Roman" w:eastAsia="宋体" w:cs="Times New Roman"/>
                <w:b w:val="0"/>
                <w:bCs w:val="0"/>
                <w:color w:val="auto"/>
                <w:kern w:val="0"/>
                <w:sz w:val="26"/>
                <w:szCs w:val="26"/>
                <w:vertAlign w:val="baseline"/>
                <w:lang w:val="en-US" w:eastAsia="zh-CN"/>
              </w:rPr>
              <w:t>本项目DA00</w:t>
            </w:r>
            <w:r>
              <w:rPr>
                <w:rFonts w:hint="eastAsia" w:ascii="Times New Roman" w:hAnsi="Times New Roman" w:eastAsia="宋体" w:cs="Times New Roman"/>
                <w:b w:val="0"/>
                <w:bCs w:val="0"/>
                <w:color w:val="auto"/>
                <w:kern w:val="0"/>
                <w:sz w:val="26"/>
                <w:szCs w:val="26"/>
                <w:vertAlign w:val="baseline"/>
                <w:lang w:val="en-US" w:eastAsia="zh-CN"/>
              </w:rPr>
              <w:t>4</w:t>
            </w:r>
            <w:r>
              <w:rPr>
                <w:rFonts w:hint="default" w:ascii="Times New Roman" w:hAnsi="Times New Roman" w:eastAsia="宋体" w:cs="Times New Roman"/>
                <w:b w:val="0"/>
                <w:bCs w:val="0"/>
                <w:color w:val="auto"/>
                <w:kern w:val="0"/>
                <w:sz w:val="26"/>
                <w:szCs w:val="26"/>
                <w:vertAlign w:val="baseline"/>
                <w:lang w:val="en-US" w:eastAsia="zh-CN"/>
              </w:rPr>
              <w:t>排气筒排放情况见表4.2-</w:t>
            </w:r>
            <w:r>
              <w:rPr>
                <w:rFonts w:hint="eastAsia" w:ascii="Times New Roman" w:hAnsi="Times New Roman" w:eastAsia="宋体" w:cs="Times New Roman"/>
                <w:b w:val="0"/>
                <w:bCs w:val="0"/>
                <w:color w:val="auto"/>
                <w:kern w:val="0"/>
                <w:sz w:val="26"/>
                <w:szCs w:val="26"/>
                <w:vertAlign w:val="baseline"/>
                <w:lang w:val="en-US" w:eastAsia="zh-CN"/>
              </w:rPr>
              <w:t>5</w:t>
            </w:r>
            <w:r>
              <w:rPr>
                <w:rFonts w:hint="default" w:ascii="Times New Roman" w:hAnsi="Times New Roman" w:eastAsia="宋体" w:cs="Times New Roman"/>
                <w:b w:val="0"/>
                <w:bCs w:val="0"/>
                <w:color w:val="auto"/>
                <w:kern w:val="0"/>
                <w:sz w:val="26"/>
                <w:szCs w:val="26"/>
                <w:vertAlign w:val="baseline"/>
                <w:lang w:val="en-US" w:eastAsia="zh-CN"/>
              </w:rPr>
              <w:t>，依据《铝合金深加工智能化生产线建设项目（重新报批）环境影响报告表》，现有“铝合金深加工智能化生产线建设项目”DA00</w:t>
            </w:r>
            <w:r>
              <w:rPr>
                <w:rFonts w:hint="eastAsia" w:ascii="Times New Roman" w:hAnsi="Times New Roman" w:eastAsia="宋体" w:cs="Times New Roman"/>
                <w:b w:val="0"/>
                <w:bCs w:val="0"/>
                <w:color w:val="auto"/>
                <w:kern w:val="0"/>
                <w:sz w:val="26"/>
                <w:szCs w:val="26"/>
                <w:vertAlign w:val="baseline"/>
                <w:lang w:val="en-US" w:eastAsia="zh-CN"/>
              </w:rPr>
              <w:t>4</w:t>
            </w:r>
            <w:r>
              <w:rPr>
                <w:rFonts w:hint="default" w:ascii="Times New Roman" w:hAnsi="Times New Roman" w:eastAsia="宋体" w:cs="Times New Roman"/>
                <w:b w:val="0"/>
                <w:bCs w:val="0"/>
                <w:color w:val="auto"/>
                <w:kern w:val="0"/>
                <w:sz w:val="26"/>
                <w:szCs w:val="26"/>
                <w:vertAlign w:val="baseline"/>
                <w:lang w:val="en-US" w:eastAsia="zh-CN"/>
              </w:rPr>
              <w:t>排气筒排放情况见下表4.2-</w:t>
            </w:r>
            <w:r>
              <w:rPr>
                <w:rFonts w:hint="eastAsia" w:ascii="Times New Roman" w:hAnsi="Times New Roman" w:eastAsia="宋体" w:cs="Times New Roman"/>
                <w:b w:val="0"/>
                <w:bCs w:val="0"/>
                <w:color w:val="auto"/>
                <w:kern w:val="0"/>
                <w:sz w:val="26"/>
                <w:szCs w:val="26"/>
                <w:vertAlign w:val="baseline"/>
                <w:lang w:val="en-US" w:eastAsia="zh-CN"/>
              </w:rPr>
              <w:t>13</w:t>
            </w:r>
            <w:r>
              <w:rPr>
                <w:rFonts w:hint="default" w:ascii="Times New Roman" w:hAnsi="Times New Roman" w:eastAsia="宋体" w:cs="Times New Roman"/>
                <w:b w:val="0"/>
                <w:bCs w:val="0"/>
                <w:color w:val="auto"/>
                <w:kern w:val="0"/>
                <w:sz w:val="26"/>
                <w:szCs w:val="26"/>
                <w:vertAlign w:val="baseline"/>
                <w:lang w:val="en-US" w:eastAsia="zh-CN"/>
              </w:rPr>
              <w:t>，合并后排放情况见下表4.2-1</w:t>
            </w:r>
            <w:r>
              <w:rPr>
                <w:rFonts w:hint="eastAsia" w:ascii="Times New Roman" w:hAnsi="Times New Roman" w:eastAsia="宋体" w:cs="Times New Roman"/>
                <w:b w:val="0"/>
                <w:bCs w:val="0"/>
                <w:color w:val="auto"/>
                <w:kern w:val="0"/>
                <w:sz w:val="26"/>
                <w:szCs w:val="26"/>
                <w:vertAlign w:val="baseline"/>
                <w:lang w:val="en-US" w:eastAsia="zh-CN"/>
              </w:rPr>
              <w:t>4</w:t>
            </w:r>
            <w:r>
              <w:rPr>
                <w:rFonts w:hint="default" w:ascii="Times New Roman" w:hAnsi="Times New Roman" w:eastAsia="宋体" w:cs="Times New Roman"/>
                <w:b w:val="0"/>
                <w:bCs w:val="0"/>
                <w:color w:val="auto"/>
                <w:kern w:val="0"/>
                <w:sz w:val="26"/>
                <w:szCs w:val="26"/>
                <w:vertAlign w:val="baseline"/>
                <w:lang w:val="en-US" w:eastAsia="zh-CN"/>
              </w:rPr>
              <w:t>。</w:t>
            </w:r>
          </w:p>
          <w:p w14:paraId="190A61A3">
            <w:pPr>
              <w:autoSpaceDE w:val="0"/>
              <w:autoSpaceDN w:val="0"/>
              <w:adjustRightInd w:val="0"/>
              <w:spacing w:line="460" w:lineRule="exact"/>
              <w:jc w:val="center"/>
              <w:rPr>
                <w:rFonts w:hint="eastAsia" w:ascii="Times New Roman" w:hAnsi="Times New Roman" w:eastAsia="宋体" w:cs="Times New Roman"/>
                <w:b/>
                <w:bCs w:val="0"/>
                <w:color w:val="auto"/>
                <w:sz w:val="26"/>
                <w:szCs w:val="26"/>
                <w:lang w:val="en-US" w:eastAsia="zh-CN"/>
              </w:rPr>
            </w:pPr>
          </w:p>
          <w:p w14:paraId="48B47700">
            <w:pPr>
              <w:autoSpaceDE w:val="0"/>
              <w:autoSpaceDN w:val="0"/>
              <w:adjustRightInd w:val="0"/>
              <w:spacing w:line="460" w:lineRule="exact"/>
              <w:jc w:val="center"/>
              <w:rPr>
                <w:rFonts w:hint="eastAsia" w:ascii="Times New Roman" w:hAnsi="Times New Roman" w:eastAsia="宋体" w:cs="Times New Roman"/>
                <w:b/>
                <w:bCs w:val="0"/>
                <w:color w:val="auto"/>
                <w:sz w:val="26"/>
                <w:szCs w:val="26"/>
                <w:lang w:val="en-US" w:eastAsia="zh-CN"/>
              </w:rPr>
            </w:pPr>
            <w:r>
              <w:rPr>
                <w:rFonts w:hint="eastAsia" w:ascii="Times New Roman" w:hAnsi="Times New Roman" w:eastAsia="宋体" w:cs="Times New Roman"/>
                <w:b/>
                <w:bCs w:val="0"/>
                <w:color w:val="auto"/>
                <w:sz w:val="26"/>
                <w:szCs w:val="26"/>
                <w:lang w:val="en-US" w:eastAsia="zh-CN"/>
              </w:rPr>
              <w:t>表4.2-13 现有项目DA004排气筒排放情况表</w:t>
            </w:r>
          </w:p>
          <w:tbl>
            <w:tblPr>
              <w:tblStyle w:val="26"/>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320"/>
              <w:gridCol w:w="1321"/>
              <w:gridCol w:w="1321"/>
              <w:gridCol w:w="1322"/>
              <w:gridCol w:w="1322"/>
            </w:tblGrid>
            <w:tr w14:paraId="1A0C9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2" w:type="dxa"/>
                  <w:noWrap w:val="0"/>
                  <w:vAlign w:val="center"/>
                </w:tcPr>
                <w:p w14:paraId="28C23B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排气筒编号</w:t>
                  </w:r>
                </w:p>
              </w:tc>
              <w:tc>
                <w:tcPr>
                  <w:tcW w:w="1282" w:type="dxa"/>
                  <w:noWrap w:val="0"/>
                  <w:vAlign w:val="center"/>
                </w:tcPr>
                <w:p w14:paraId="509676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废气量m</w:t>
                  </w:r>
                  <w:r>
                    <w:rPr>
                      <w:rFonts w:hint="default" w:ascii="Times New Roman" w:hAnsi="Times New Roman" w:eastAsia="宋体" w:cs="Times New Roman"/>
                      <w:b w:val="0"/>
                      <w:bCs w:val="0"/>
                      <w:color w:val="auto"/>
                      <w:sz w:val="22"/>
                      <w:szCs w:val="22"/>
                      <w:vertAlign w:val="superscript"/>
                      <w:lang w:val="en-US" w:eastAsia="zh-CN"/>
                    </w:rPr>
                    <w:t>3</w:t>
                  </w:r>
                  <w:r>
                    <w:rPr>
                      <w:rFonts w:hint="default" w:ascii="Times New Roman" w:hAnsi="Times New Roman" w:eastAsia="宋体" w:cs="Times New Roman"/>
                      <w:b w:val="0"/>
                      <w:bCs w:val="0"/>
                      <w:color w:val="auto"/>
                      <w:sz w:val="22"/>
                      <w:szCs w:val="22"/>
                      <w:vertAlign w:val="baseline"/>
                      <w:lang w:val="en-US" w:eastAsia="zh-CN"/>
                    </w:rPr>
                    <w:t>/h</w:t>
                  </w:r>
                </w:p>
              </w:tc>
              <w:tc>
                <w:tcPr>
                  <w:tcW w:w="1283" w:type="dxa"/>
                  <w:noWrap w:val="0"/>
                  <w:vAlign w:val="center"/>
                </w:tcPr>
                <w:p w14:paraId="3ED95C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污染物种类</w:t>
                  </w:r>
                </w:p>
              </w:tc>
              <w:tc>
                <w:tcPr>
                  <w:tcW w:w="1283" w:type="dxa"/>
                  <w:noWrap w:val="0"/>
                  <w:vAlign w:val="center"/>
                </w:tcPr>
                <w:p w14:paraId="1E1C8E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排放浓度mg/m</w:t>
                  </w:r>
                  <w:r>
                    <w:rPr>
                      <w:rFonts w:hint="default" w:ascii="Times New Roman" w:hAnsi="Times New Roman" w:eastAsia="宋体" w:cs="Times New Roman"/>
                      <w:b w:val="0"/>
                      <w:bCs w:val="0"/>
                      <w:color w:val="auto"/>
                      <w:sz w:val="22"/>
                      <w:szCs w:val="22"/>
                      <w:vertAlign w:val="superscript"/>
                      <w:lang w:val="en-US" w:eastAsia="zh-CN"/>
                    </w:rPr>
                    <w:t>3</w:t>
                  </w:r>
                </w:p>
              </w:tc>
              <w:tc>
                <w:tcPr>
                  <w:tcW w:w="1284" w:type="dxa"/>
                  <w:noWrap w:val="0"/>
                  <w:vAlign w:val="center"/>
                </w:tcPr>
                <w:p w14:paraId="029D61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排放速率kg/h</w:t>
                  </w:r>
                </w:p>
              </w:tc>
              <w:tc>
                <w:tcPr>
                  <w:tcW w:w="1284" w:type="dxa"/>
                  <w:noWrap w:val="0"/>
                  <w:vAlign w:val="center"/>
                </w:tcPr>
                <w:p w14:paraId="5FB814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排放量t/a</w:t>
                  </w:r>
                </w:p>
              </w:tc>
            </w:tr>
            <w:tr w14:paraId="2A87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2" w:type="dxa"/>
                  <w:vMerge w:val="restart"/>
                  <w:noWrap w:val="0"/>
                  <w:vAlign w:val="center"/>
                </w:tcPr>
                <w:p w14:paraId="1D3421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DA00</w:t>
                  </w:r>
                  <w:r>
                    <w:rPr>
                      <w:rFonts w:hint="eastAsia" w:ascii="Times New Roman" w:hAnsi="Times New Roman" w:eastAsia="宋体" w:cs="Times New Roman"/>
                      <w:b w:val="0"/>
                      <w:bCs w:val="0"/>
                      <w:color w:val="auto"/>
                      <w:sz w:val="22"/>
                      <w:szCs w:val="22"/>
                      <w:vertAlign w:val="baseline"/>
                      <w:lang w:val="en-US" w:eastAsia="zh-CN"/>
                    </w:rPr>
                    <w:t>4</w:t>
                  </w:r>
                </w:p>
              </w:tc>
              <w:tc>
                <w:tcPr>
                  <w:tcW w:w="1282" w:type="dxa"/>
                  <w:vMerge w:val="restart"/>
                  <w:noWrap w:val="0"/>
                  <w:vAlign w:val="center"/>
                </w:tcPr>
                <w:p w14:paraId="544F7B8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z w:val="22"/>
                      <w:szCs w:val="22"/>
                      <w:lang w:val="en-US" w:eastAsia="zh-CN"/>
                    </w:rPr>
                    <w:t>975</w:t>
                  </w:r>
                </w:p>
              </w:tc>
              <w:tc>
                <w:tcPr>
                  <w:tcW w:w="1283" w:type="dxa"/>
                  <w:noWrap w:val="0"/>
                  <w:vAlign w:val="center"/>
                </w:tcPr>
                <w:p w14:paraId="051F09C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lang w:val="en-US" w:eastAsia="zh-CN"/>
                    </w:rPr>
                    <w:t>颗粒物</w:t>
                  </w:r>
                </w:p>
              </w:tc>
              <w:tc>
                <w:tcPr>
                  <w:tcW w:w="1283" w:type="dxa"/>
                  <w:noWrap w:val="0"/>
                  <w:vAlign w:val="center"/>
                </w:tcPr>
                <w:p w14:paraId="3C74F5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16</w:t>
                  </w:r>
                </w:p>
              </w:tc>
              <w:tc>
                <w:tcPr>
                  <w:tcW w:w="1284" w:type="dxa"/>
                  <w:noWrap w:val="0"/>
                  <w:vAlign w:val="center"/>
                </w:tcPr>
                <w:p w14:paraId="6F4B32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0.016</w:t>
                  </w:r>
                </w:p>
              </w:tc>
              <w:tc>
                <w:tcPr>
                  <w:tcW w:w="1284" w:type="dxa"/>
                  <w:noWrap w:val="0"/>
                  <w:vAlign w:val="center"/>
                </w:tcPr>
                <w:p w14:paraId="717F29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0.106</w:t>
                  </w:r>
                </w:p>
              </w:tc>
            </w:tr>
            <w:tr w14:paraId="5814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2" w:type="dxa"/>
                  <w:vMerge w:val="continue"/>
                  <w:noWrap w:val="0"/>
                  <w:vAlign w:val="center"/>
                </w:tcPr>
                <w:p w14:paraId="6D1619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1282" w:type="dxa"/>
                  <w:vMerge w:val="continue"/>
                  <w:noWrap w:val="0"/>
                  <w:vAlign w:val="center"/>
                </w:tcPr>
                <w:p w14:paraId="2D6F598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2"/>
                      <w:szCs w:val="22"/>
                      <w:lang w:val="en-US" w:eastAsia="zh-CN"/>
                    </w:rPr>
                  </w:pPr>
                </w:p>
              </w:tc>
              <w:tc>
                <w:tcPr>
                  <w:tcW w:w="1283" w:type="dxa"/>
                  <w:noWrap w:val="0"/>
                  <w:vAlign w:val="center"/>
                </w:tcPr>
                <w:p w14:paraId="456F7DF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lang w:val="en-US" w:eastAsia="zh-CN"/>
                    </w:rPr>
                    <w:t>NOx</w:t>
                  </w:r>
                </w:p>
              </w:tc>
              <w:tc>
                <w:tcPr>
                  <w:tcW w:w="1283" w:type="dxa"/>
                  <w:noWrap w:val="0"/>
                  <w:vAlign w:val="center"/>
                </w:tcPr>
                <w:p w14:paraId="4BDE88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243</w:t>
                  </w:r>
                </w:p>
              </w:tc>
              <w:tc>
                <w:tcPr>
                  <w:tcW w:w="1284" w:type="dxa"/>
                  <w:noWrap w:val="0"/>
                  <w:vAlign w:val="center"/>
                </w:tcPr>
                <w:p w14:paraId="170191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0.237</w:t>
                  </w:r>
                </w:p>
              </w:tc>
              <w:tc>
                <w:tcPr>
                  <w:tcW w:w="1284" w:type="dxa"/>
                  <w:noWrap w:val="0"/>
                  <w:vAlign w:val="center"/>
                </w:tcPr>
                <w:p w14:paraId="7695E7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1.59</w:t>
                  </w:r>
                </w:p>
              </w:tc>
            </w:tr>
            <w:tr w14:paraId="34A5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2" w:type="dxa"/>
                  <w:vMerge w:val="continue"/>
                  <w:noWrap w:val="0"/>
                  <w:vAlign w:val="center"/>
                </w:tcPr>
                <w:p w14:paraId="23EDD9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1282" w:type="dxa"/>
                  <w:vMerge w:val="continue"/>
                  <w:noWrap w:val="0"/>
                  <w:vAlign w:val="center"/>
                </w:tcPr>
                <w:p w14:paraId="0E44200E">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2"/>
                      <w:szCs w:val="22"/>
                      <w:lang w:val="en-US" w:eastAsia="zh-CN"/>
                    </w:rPr>
                  </w:pPr>
                </w:p>
              </w:tc>
              <w:tc>
                <w:tcPr>
                  <w:tcW w:w="1283" w:type="dxa"/>
                  <w:noWrap w:val="0"/>
                  <w:vAlign w:val="center"/>
                </w:tcPr>
                <w:p w14:paraId="4FA5E818">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lang w:val="en-US" w:eastAsia="zh-CN"/>
                    </w:rPr>
                    <w:t>SO</w:t>
                  </w:r>
                  <w:r>
                    <w:rPr>
                      <w:rFonts w:hint="default" w:ascii="Times New Roman" w:hAnsi="Times New Roman" w:eastAsia="宋体" w:cs="Times New Roman"/>
                      <w:b w:val="0"/>
                      <w:bCs w:val="0"/>
                      <w:color w:val="auto"/>
                      <w:sz w:val="22"/>
                      <w:szCs w:val="22"/>
                      <w:vertAlign w:val="subscript"/>
                      <w:lang w:val="en-US" w:eastAsia="zh-CN"/>
                    </w:rPr>
                    <w:t>2</w:t>
                  </w:r>
                </w:p>
              </w:tc>
              <w:tc>
                <w:tcPr>
                  <w:tcW w:w="1283" w:type="dxa"/>
                  <w:noWrap w:val="0"/>
                  <w:vAlign w:val="center"/>
                </w:tcPr>
                <w:p w14:paraId="2F1692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16</w:t>
                  </w:r>
                </w:p>
              </w:tc>
              <w:tc>
                <w:tcPr>
                  <w:tcW w:w="1284" w:type="dxa"/>
                  <w:noWrap w:val="0"/>
                  <w:vAlign w:val="center"/>
                </w:tcPr>
                <w:p w14:paraId="0B5ED2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0.016</w:t>
                  </w:r>
                </w:p>
              </w:tc>
              <w:tc>
                <w:tcPr>
                  <w:tcW w:w="1284" w:type="dxa"/>
                  <w:noWrap w:val="0"/>
                  <w:vAlign w:val="center"/>
                </w:tcPr>
                <w:p w14:paraId="728CCA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0.106</w:t>
                  </w:r>
                </w:p>
              </w:tc>
            </w:tr>
          </w:tbl>
          <w:p w14:paraId="18EDAFEB">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宋体" w:cs="Times New Roman"/>
                <w:b/>
                <w:bCs/>
                <w:color w:val="auto"/>
                <w:sz w:val="26"/>
                <w:szCs w:val="26"/>
                <w:lang w:val="en-US" w:eastAsia="zh-CN"/>
              </w:rPr>
            </w:pPr>
          </w:p>
          <w:p w14:paraId="1CA07C0D">
            <w:pPr>
              <w:autoSpaceDE w:val="0"/>
              <w:autoSpaceDN w:val="0"/>
              <w:adjustRightInd w:val="0"/>
              <w:spacing w:line="460" w:lineRule="exact"/>
              <w:jc w:val="center"/>
              <w:rPr>
                <w:rFonts w:hint="eastAsia" w:ascii="Times New Roman" w:hAnsi="Times New Roman" w:eastAsia="宋体" w:cs="Times New Roman"/>
                <w:b/>
                <w:bCs w:val="0"/>
                <w:color w:val="auto"/>
                <w:sz w:val="26"/>
                <w:szCs w:val="26"/>
                <w:lang w:val="en-US" w:eastAsia="zh-CN"/>
              </w:rPr>
            </w:pPr>
            <w:r>
              <w:rPr>
                <w:rFonts w:hint="eastAsia" w:ascii="Times New Roman" w:hAnsi="Times New Roman" w:eastAsia="宋体" w:cs="Times New Roman"/>
                <w:b/>
                <w:bCs w:val="0"/>
                <w:color w:val="auto"/>
                <w:sz w:val="26"/>
                <w:szCs w:val="26"/>
                <w:lang w:val="en-US" w:eastAsia="zh-CN"/>
              </w:rPr>
              <w:t>表4.2-14 合并后DA004排气筒排放情况表</w:t>
            </w:r>
          </w:p>
          <w:tbl>
            <w:tblPr>
              <w:tblStyle w:val="26"/>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789"/>
              <w:gridCol w:w="789"/>
              <w:gridCol w:w="1114"/>
              <w:gridCol w:w="900"/>
              <w:gridCol w:w="880"/>
              <w:gridCol w:w="1107"/>
              <w:gridCol w:w="676"/>
              <w:gridCol w:w="792"/>
            </w:tblGrid>
            <w:tr w14:paraId="3ADA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restart"/>
                  <w:noWrap w:val="0"/>
                  <w:vAlign w:val="center"/>
                </w:tcPr>
                <w:p w14:paraId="4031B7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排放口编号</w:t>
                  </w:r>
                </w:p>
              </w:tc>
              <w:tc>
                <w:tcPr>
                  <w:tcW w:w="789" w:type="dxa"/>
                  <w:vMerge w:val="restart"/>
                  <w:noWrap w:val="0"/>
                  <w:vAlign w:val="center"/>
                </w:tcPr>
                <w:p w14:paraId="105C45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废气量m</w:t>
                  </w:r>
                  <w:r>
                    <w:rPr>
                      <w:rFonts w:hint="default" w:ascii="Times New Roman" w:hAnsi="Times New Roman" w:eastAsia="宋体" w:cs="Times New Roman"/>
                      <w:b w:val="0"/>
                      <w:bCs w:val="0"/>
                      <w:color w:val="auto"/>
                      <w:sz w:val="22"/>
                      <w:szCs w:val="22"/>
                      <w:vertAlign w:val="superscript"/>
                      <w:lang w:val="en-US" w:eastAsia="zh-CN"/>
                    </w:rPr>
                    <w:t>3</w:t>
                  </w:r>
                  <w:r>
                    <w:rPr>
                      <w:rFonts w:hint="default" w:ascii="Times New Roman" w:hAnsi="Times New Roman" w:eastAsia="宋体" w:cs="Times New Roman"/>
                      <w:b w:val="0"/>
                      <w:bCs w:val="0"/>
                      <w:color w:val="auto"/>
                      <w:sz w:val="22"/>
                      <w:szCs w:val="22"/>
                      <w:vertAlign w:val="baseline"/>
                      <w:lang w:val="en-US" w:eastAsia="zh-CN"/>
                    </w:rPr>
                    <w:t>/h</w:t>
                  </w:r>
                </w:p>
              </w:tc>
              <w:tc>
                <w:tcPr>
                  <w:tcW w:w="789" w:type="dxa"/>
                  <w:vMerge w:val="restart"/>
                  <w:noWrap w:val="0"/>
                  <w:vAlign w:val="center"/>
                </w:tcPr>
                <w:p w14:paraId="341CFC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污染物种类</w:t>
                  </w:r>
                </w:p>
              </w:tc>
              <w:tc>
                <w:tcPr>
                  <w:tcW w:w="2894" w:type="dxa"/>
                  <w:gridSpan w:val="3"/>
                  <w:noWrap w:val="0"/>
                  <w:vAlign w:val="center"/>
                </w:tcPr>
                <w:p w14:paraId="6E5381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排放情况</w:t>
                  </w:r>
                </w:p>
              </w:tc>
              <w:tc>
                <w:tcPr>
                  <w:tcW w:w="1783" w:type="dxa"/>
                  <w:gridSpan w:val="2"/>
                  <w:noWrap w:val="0"/>
                  <w:vAlign w:val="center"/>
                </w:tcPr>
                <w:p w14:paraId="03AC2C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标准限值</w:t>
                  </w:r>
                </w:p>
              </w:tc>
              <w:tc>
                <w:tcPr>
                  <w:tcW w:w="792" w:type="dxa"/>
                  <w:vMerge w:val="restart"/>
                  <w:noWrap w:val="0"/>
                  <w:vAlign w:val="center"/>
                </w:tcPr>
                <w:p w14:paraId="710277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达标情况</w:t>
                  </w:r>
                </w:p>
              </w:tc>
            </w:tr>
            <w:tr w14:paraId="18A2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continue"/>
                  <w:noWrap w:val="0"/>
                  <w:vAlign w:val="center"/>
                </w:tcPr>
                <w:p w14:paraId="46A0B5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789" w:type="dxa"/>
                  <w:vMerge w:val="continue"/>
                  <w:noWrap w:val="0"/>
                  <w:vAlign w:val="center"/>
                </w:tcPr>
                <w:p w14:paraId="394855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789" w:type="dxa"/>
                  <w:vMerge w:val="continue"/>
                  <w:noWrap w:val="0"/>
                  <w:vAlign w:val="center"/>
                </w:tcPr>
                <w:p w14:paraId="41A695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1114" w:type="dxa"/>
                  <w:noWrap w:val="0"/>
                  <w:vAlign w:val="center"/>
                </w:tcPr>
                <w:p w14:paraId="46111D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vertAlign w:val="baseline"/>
                      <w:lang w:val="en-US" w:eastAsia="zh-CN"/>
                    </w:rPr>
                    <w:t>排放浓度mg/m</w:t>
                  </w:r>
                  <w:r>
                    <w:rPr>
                      <w:rFonts w:hint="default" w:ascii="Times New Roman" w:hAnsi="Times New Roman" w:eastAsia="宋体" w:cs="Times New Roman"/>
                      <w:b w:val="0"/>
                      <w:bCs w:val="0"/>
                      <w:color w:val="auto"/>
                      <w:sz w:val="22"/>
                      <w:szCs w:val="22"/>
                      <w:vertAlign w:val="superscript"/>
                      <w:lang w:val="en-US" w:eastAsia="zh-CN"/>
                    </w:rPr>
                    <w:t>3</w:t>
                  </w:r>
                </w:p>
              </w:tc>
              <w:tc>
                <w:tcPr>
                  <w:tcW w:w="900" w:type="dxa"/>
                  <w:noWrap w:val="0"/>
                  <w:vAlign w:val="center"/>
                </w:tcPr>
                <w:p w14:paraId="53E167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vertAlign w:val="baseline"/>
                      <w:lang w:val="en-US" w:eastAsia="zh-CN"/>
                    </w:rPr>
                    <w:t>排放速率kg/h</w:t>
                  </w:r>
                </w:p>
              </w:tc>
              <w:tc>
                <w:tcPr>
                  <w:tcW w:w="880" w:type="dxa"/>
                  <w:noWrap w:val="0"/>
                  <w:vAlign w:val="center"/>
                </w:tcPr>
                <w:p w14:paraId="1259B3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排放量t/a</w:t>
                  </w:r>
                </w:p>
              </w:tc>
              <w:tc>
                <w:tcPr>
                  <w:tcW w:w="1107" w:type="dxa"/>
                  <w:noWrap w:val="0"/>
                  <w:vAlign w:val="center"/>
                </w:tcPr>
                <w:p w14:paraId="5212BC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vertAlign w:val="baseline"/>
                      <w:lang w:val="en-US" w:eastAsia="zh-CN"/>
                    </w:rPr>
                    <w:t>排放浓度mg/m</w:t>
                  </w:r>
                  <w:r>
                    <w:rPr>
                      <w:rFonts w:hint="default" w:ascii="Times New Roman" w:hAnsi="Times New Roman" w:eastAsia="宋体" w:cs="Times New Roman"/>
                      <w:b w:val="0"/>
                      <w:bCs w:val="0"/>
                      <w:color w:val="auto"/>
                      <w:sz w:val="22"/>
                      <w:szCs w:val="22"/>
                      <w:vertAlign w:val="superscript"/>
                      <w:lang w:val="en-US" w:eastAsia="zh-CN"/>
                    </w:rPr>
                    <w:t>3</w:t>
                  </w:r>
                </w:p>
              </w:tc>
              <w:tc>
                <w:tcPr>
                  <w:tcW w:w="676" w:type="dxa"/>
                  <w:noWrap w:val="0"/>
                  <w:vAlign w:val="center"/>
                </w:tcPr>
                <w:p w14:paraId="17DA01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vertAlign w:val="baseline"/>
                      <w:lang w:val="en-US" w:eastAsia="zh-CN"/>
                    </w:rPr>
                    <w:t>排放速率kg/h</w:t>
                  </w:r>
                </w:p>
              </w:tc>
              <w:tc>
                <w:tcPr>
                  <w:tcW w:w="792" w:type="dxa"/>
                  <w:vMerge w:val="continue"/>
                  <w:noWrap w:val="0"/>
                  <w:vAlign w:val="center"/>
                </w:tcPr>
                <w:p w14:paraId="007687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r>
            <w:tr w14:paraId="1B5B6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restart"/>
                  <w:noWrap w:val="0"/>
                  <w:vAlign w:val="center"/>
                </w:tcPr>
                <w:p w14:paraId="186CF0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DA00</w:t>
                  </w:r>
                  <w:r>
                    <w:rPr>
                      <w:rFonts w:hint="eastAsia" w:ascii="Times New Roman" w:hAnsi="Times New Roman" w:eastAsia="宋体" w:cs="Times New Roman"/>
                      <w:b w:val="0"/>
                      <w:bCs w:val="0"/>
                      <w:color w:val="auto"/>
                      <w:sz w:val="22"/>
                      <w:szCs w:val="22"/>
                      <w:vertAlign w:val="baseline"/>
                      <w:lang w:val="en-US" w:eastAsia="zh-CN"/>
                    </w:rPr>
                    <w:t>4</w:t>
                  </w:r>
                </w:p>
              </w:tc>
              <w:tc>
                <w:tcPr>
                  <w:tcW w:w="789" w:type="dxa"/>
                  <w:vMerge w:val="restart"/>
                  <w:noWrap w:val="0"/>
                  <w:vAlign w:val="center"/>
                </w:tcPr>
                <w:p w14:paraId="76BCBD84">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2"/>
                      <w:szCs w:val="22"/>
                      <w:lang w:val="en-US" w:eastAsia="zh-CN"/>
                    </w:rPr>
                  </w:pPr>
                  <w:r>
                    <w:rPr>
                      <w:rFonts w:hint="eastAsia" w:ascii="Times New Roman" w:hAnsi="Times New Roman" w:eastAsia="宋体" w:cs="Times New Roman"/>
                      <w:b w:val="0"/>
                      <w:bCs w:val="0"/>
                      <w:color w:val="auto"/>
                      <w:sz w:val="22"/>
                      <w:szCs w:val="22"/>
                      <w:lang w:val="en-US" w:eastAsia="zh-CN"/>
                    </w:rPr>
                    <w:t>3377</w:t>
                  </w:r>
                </w:p>
              </w:tc>
              <w:tc>
                <w:tcPr>
                  <w:tcW w:w="789" w:type="dxa"/>
                  <w:noWrap w:val="0"/>
                  <w:vAlign w:val="center"/>
                </w:tcPr>
                <w:p w14:paraId="4B700690">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lang w:val="en-US" w:eastAsia="zh-CN"/>
                    </w:rPr>
                    <w:t>颗粒物</w:t>
                  </w:r>
                </w:p>
              </w:tc>
              <w:tc>
                <w:tcPr>
                  <w:tcW w:w="1114" w:type="dxa"/>
                  <w:noWrap w:val="0"/>
                  <w:vAlign w:val="center"/>
                </w:tcPr>
                <w:p w14:paraId="11D91B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16.29</w:t>
                  </w:r>
                </w:p>
              </w:tc>
              <w:tc>
                <w:tcPr>
                  <w:tcW w:w="900" w:type="dxa"/>
                  <w:noWrap w:val="0"/>
                  <w:vAlign w:val="center"/>
                </w:tcPr>
                <w:p w14:paraId="5E285D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0.055</w:t>
                  </w:r>
                </w:p>
              </w:tc>
              <w:tc>
                <w:tcPr>
                  <w:tcW w:w="880" w:type="dxa"/>
                  <w:noWrap w:val="0"/>
                  <w:vAlign w:val="center"/>
                </w:tcPr>
                <w:p w14:paraId="75BEF4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0.382</w:t>
                  </w:r>
                </w:p>
              </w:tc>
              <w:tc>
                <w:tcPr>
                  <w:tcW w:w="1107" w:type="dxa"/>
                  <w:noWrap w:val="0"/>
                  <w:vAlign w:val="center"/>
                </w:tcPr>
                <w:p w14:paraId="3776BC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30</w:t>
                  </w:r>
                </w:p>
              </w:tc>
              <w:tc>
                <w:tcPr>
                  <w:tcW w:w="676" w:type="dxa"/>
                  <w:noWrap w:val="0"/>
                  <w:vAlign w:val="center"/>
                </w:tcPr>
                <w:p w14:paraId="2A44DC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w:t>
                  </w:r>
                </w:p>
              </w:tc>
              <w:tc>
                <w:tcPr>
                  <w:tcW w:w="792" w:type="dxa"/>
                  <w:noWrap w:val="0"/>
                  <w:vAlign w:val="center"/>
                </w:tcPr>
                <w:p w14:paraId="7B701A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达标</w:t>
                  </w:r>
                </w:p>
              </w:tc>
            </w:tr>
            <w:tr w14:paraId="6ABC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continue"/>
                  <w:noWrap w:val="0"/>
                  <w:vAlign w:val="center"/>
                </w:tcPr>
                <w:p w14:paraId="52638E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789" w:type="dxa"/>
                  <w:vMerge w:val="continue"/>
                  <w:noWrap w:val="0"/>
                  <w:vAlign w:val="center"/>
                </w:tcPr>
                <w:p w14:paraId="68553141">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2"/>
                      <w:szCs w:val="22"/>
                      <w:lang w:val="en-US" w:eastAsia="zh-CN"/>
                    </w:rPr>
                  </w:pPr>
                </w:p>
              </w:tc>
              <w:tc>
                <w:tcPr>
                  <w:tcW w:w="789" w:type="dxa"/>
                  <w:noWrap w:val="0"/>
                  <w:vAlign w:val="center"/>
                </w:tcPr>
                <w:p w14:paraId="67A11246">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lang w:val="en-US" w:eastAsia="zh-CN"/>
                    </w:rPr>
                    <w:t>NOx</w:t>
                  </w:r>
                </w:p>
              </w:tc>
              <w:tc>
                <w:tcPr>
                  <w:tcW w:w="1114" w:type="dxa"/>
                  <w:noWrap w:val="0"/>
                  <w:vAlign w:val="center"/>
                </w:tcPr>
                <w:p w14:paraId="77CCCD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244.9</w:t>
                  </w:r>
                </w:p>
              </w:tc>
              <w:tc>
                <w:tcPr>
                  <w:tcW w:w="900" w:type="dxa"/>
                  <w:noWrap w:val="0"/>
                  <w:vAlign w:val="center"/>
                </w:tcPr>
                <w:p w14:paraId="7C745B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0.817</w:t>
                  </w:r>
                </w:p>
              </w:tc>
              <w:tc>
                <w:tcPr>
                  <w:tcW w:w="880" w:type="dxa"/>
                  <w:noWrap w:val="0"/>
                  <w:vAlign w:val="center"/>
                </w:tcPr>
                <w:p w14:paraId="24C831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5.73</w:t>
                  </w:r>
                </w:p>
              </w:tc>
              <w:tc>
                <w:tcPr>
                  <w:tcW w:w="1107" w:type="dxa"/>
                  <w:noWrap w:val="0"/>
                  <w:vAlign w:val="center"/>
                </w:tcPr>
                <w:p w14:paraId="0E4CA7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300</w:t>
                  </w:r>
                </w:p>
              </w:tc>
              <w:tc>
                <w:tcPr>
                  <w:tcW w:w="676" w:type="dxa"/>
                  <w:noWrap w:val="0"/>
                  <w:vAlign w:val="center"/>
                </w:tcPr>
                <w:p w14:paraId="75B708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w:t>
                  </w:r>
                </w:p>
              </w:tc>
              <w:tc>
                <w:tcPr>
                  <w:tcW w:w="792" w:type="dxa"/>
                  <w:noWrap w:val="0"/>
                  <w:vAlign w:val="center"/>
                </w:tcPr>
                <w:p w14:paraId="093CF1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达标</w:t>
                  </w:r>
                </w:p>
              </w:tc>
            </w:tr>
            <w:tr w14:paraId="26F09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Merge w:val="continue"/>
                  <w:noWrap w:val="0"/>
                  <w:vAlign w:val="center"/>
                </w:tcPr>
                <w:p w14:paraId="6265FA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p>
              </w:tc>
              <w:tc>
                <w:tcPr>
                  <w:tcW w:w="789" w:type="dxa"/>
                  <w:vMerge w:val="continue"/>
                  <w:noWrap w:val="0"/>
                  <w:vAlign w:val="center"/>
                </w:tcPr>
                <w:p w14:paraId="63E1484A">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sz w:val="22"/>
                      <w:szCs w:val="22"/>
                      <w:lang w:val="en-US" w:eastAsia="zh-CN"/>
                    </w:rPr>
                  </w:pPr>
                </w:p>
              </w:tc>
              <w:tc>
                <w:tcPr>
                  <w:tcW w:w="789" w:type="dxa"/>
                  <w:noWrap w:val="0"/>
                  <w:vAlign w:val="center"/>
                </w:tcPr>
                <w:p w14:paraId="090D15CC">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lang w:val="en-US" w:eastAsia="zh-CN"/>
                    </w:rPr>
                    <w:t>SO</w:t>
                  </w:r>
                  <w:r>
                    <w:rPr>
                      <w:rFonts w:hint="default" w:ascii="Times New Roman" w:hAnsi="Times New Roman" w:eastAsia="宋体" w:cs="Times New Roman"/>
                      <w:b w:val="0"/>
                      <w:bCs w:val="0"/>
                      <w:color w:val="auto"/>
                      <w:sz w:val="22"/>
                      <w:szCs w:val="22"/>
                      <w:vertAlign w:val="subscript"/>
                      <w:lang w:val="en-US" w:eastAsia="zh-CN"/>
                    </w:rPr>
                    <w:t>2</w:t>
                  </w:r>
                </w:p>
              </w:tc>
              <w:tc>
                <w:tcPr>
                  <w:tcW w:w="1114" w:type="dxa"/>
                  <w:noWrap w:val="0"/>
                  <w:vAlign w:val="center"/>
                </w:tcPr>
                <w:p w14:paraId="7EADFB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16.29</w:t>
                  </w:r>
                </w:p>
              </w:tc>
              <w:tc>
                <w:tcPr>
                  <w:tcW w:w="900" w:type="dxa"/>
                  <w:noWrap w:val="0"/>
                  <w:vAlign w:val="center"/>
                </w:tcPr>
                <w:p w14:paraId="295B7F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0.055</w:t>
                  </w:r>
                </w:p>
              </w:tc>
              <w:tc>
                <w:tcPr>
                  <w:tcW w:w="880" w:type="dxa"/>
                  <w:noWrap w:val="0"/>
                  <w:vAlign w:val="center"/>
                </w:tcPr>
                <w:p w14:paraId="1255C4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0.382</w:t>
                  </w:r>
                </w:p>
              </w:tc>
              <w:tc>
                <w:tcPr>
                  <w:tcW w:w="1107" w:type="dxa"/>
                  <w:noWrap w:val="0"/>
                  <w:vAlign w:val="center"/>
                </w:tcPr>
                <w:p w14:paraId="28C52D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100</w:t>
                  </w:r>
                </w:p>
              </w:tc>
              <w:tc>
                <w:tcPr>
                  <w:tcW w:w="676" w:type="dxa"/>
                  <w:noWrap w:val="0"/>
                  <w:vAlign w:val="center"/>
                </w:tcPr>
                <w:p w14:paraId="3C4068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w:t>
                  </w:r>
                </w:p>
              </w:tc>
              <w:tc>
                <w:tcPr>
                  <w:tcW w:w="792" w:type="dxa"/>
                  <w:noWrap w:val="0"/>
                  <w:vAlign w:val="center"/>
                </w:tcPr>
                <w:p w14:paraId="3E3570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2"/>
                      <w:szCs w:val="22"/>
                      <w:vertAlign w:val="baseline"/>
                      <w:lang w:val="en-US" w:eastAsia="zh-CN"/>
                    </w:rPr>
                  </w:pPr>
                  <w:r>
                    <w:rPr>
                      <w:rFonts w:hint="default" w:ascii="Times New Roman" w:hAnsi="Times New Roman" w:eastAsia="宋体" w:cs="Times New Roman"/>
                      <w:b w:val="0"/>
                      <w:bCs w:val="0"/>
                      <w:color w:val="auto"/>
                      <w:sz w:val="22"/>
                      <w:szCs w:val="22"/>
                      <w:vertAlign w:val="baseline"/>
                      <w:lang w:val="en-US" w:eastAsia="zh-CN"/>
                    </w:rPr>
                    <w:t>达标</w:t>
                  </w:r>
                </w:p>
              </w:tc>
            </w:tr>
          </w:tbl>
          <w:p w14:paraId="69EEF15C">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宋体" w:cs="Times New Roman"/>
                <w:b/>
                <w:bCs/>
                <w:color w:val="auto"/>
                <w:sz w:val="26"/>
                <w:szCs w:val="26"/>
                <w:lang w:val="en-US" w:eastAsia="zh-CN"/>
              </w:rPr>
            </w:pPr>
          </w:p>
          <w:p w14:paraId="0F6C1BE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b w:val="0"/>
                <w:bCs w:val="0"/>
                <w:color w:val="auto"/>
                <w:kern w:val="0"/>
                <w:sz w:val="26"/>
                <w:szCs w:val="26"/>
                <w:vertAlign w:val="baseline"/>
                <w:lang w:val="en-US" w:eastAsia="zh-CN"/>
              </w:rPr>
            </w:pPr>
            <w:r>
              <w:rPr>
                <w:rFonts w:hint="eastAsia" w:ascii="Times New Roman" w:hAnsi="Times New Roman" w:eastAsia="宋体" w:cs="Times New Roman"/>
                <w:b w:val="0"/>
                <w:bCs w:val="0"/>
                <w:color w:val="auto"/>
                <w:kern w:val="0"/>
                <w:sz w:val="26"/>
                <w:szCs w:val="26"/>
                <w:vertAlign w:val="baseline"/>
                <w:lang w:val="en-US" w:eastAsia="zh-CN"/>
              </w:rPr>
              <w:t>综上，本项目建成后DA004排气筒能够满足达标排放要求。</w:t>
            </w:r>
          </w:p>
          <w:p w14:paraId="143B588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b w:val="0"/>
                <w:bCs w:val="0"/>
                <w:color w:val="auto"/>
                <w:kern w:val="0"/>
                <w:sz w:val="26"/>
                <w:szCs w:val="26"/>
                <w:vertAlign w:val="baseline"/>
                <w:lang w:val="en-US" w:eastAsia="zh-CN"/>
              </w:rPr>
            </w:pPr>
            <w:r>
              <w:rPr>
                <w:rFonts w:hint="eastAsia" w:ascii="Times New Roman" w:hAnsi="Times New Roman" w:eastAsia="宋体" w:cs="Times New Roman"/>
                <w:b w:val="0"/>
                <w:bCs w:val="0"/>
                <w:color w:val="auto"/>
                <w:kern w:val="0"/>
                <w:sz w:val="26"/>
                <w:szCs w:val="26"/>
                <w:vertAlign w:val="baseline"/>
                <w:lang w:val="en-US" w:eastAsia="zh-CN"/>
              </w:rPr>
              <w:t>（3）DA003达标情况</w:t>
            </w:r>
          </w:p>
          <w:p w14:paraId="4F556DD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b w:val="0"/>
                <w:bCs w:val="0"/>
                <w:color w:val="auto"/>
                <w:kern w:val="0"/>
                <w:sz w:val="26"/>
                <w:szCs w:val="26"/>
                <w:vertAlign w:val="baseline"/>
                <w:lang w:val="en-US" w:eastAsia="zh-CN"/>
              </w:rPr>
            </w:pPr>
            <w:r>
              <w:rPr>
                <w:rFonts w:hint="eastAsia" w:ascii="Times New Roman" w:hAnsi="Times New Roman" w:eastAsia="宋体" w:cs="Times New Roman"/>
                <w:b w:val="0"/>
                <w:bCs w:val="0"/>
                <w:color w:val="auto"/>
                <w:kern w:val="0"/>
                <w:sz w:val="26"/>
                <w:szCs w:val="26"/>
                <w:vertAlign w:val="baseline"/>
                <w:lang w:val="en-US" w:eastAsia="zh-CN"/>
              </w:rPr>
              <w:t>本项目扩建完成后，DA003排气筒的污染物产排情况核算如下：</w:t>
            </w:r>
          </w:p>
          <w:p w14:paraId="0E0F87C4">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b w:val="0"/>
                <w:bCs w:val="0"/>
                <w:color w:val="auto"/>
                <w:kern w:val="0"/>
                <w:sz w:val="26"/>
                <w:szCs w:val="26"/>
                <w:vertAlign w:val="baseline"/>
                <w:lang w:val="en-US" w:eastAsia="zh-CN"/>
              </w:rPr>
            </w:pPr>
            <w:r>
              <w:rPr>
                <w:rFonts w:hint="eastAsia" w:ascii="Times New Roman" w:hAnsi="Times New Roman" w:eastAsia="宋体" w:cs="Times New Roman"/>
                <w:b w:val="0"/>
                <w:bCs w:val="0"/>
                <w:color w:val="auto"/>
                <w:kern w:val="0"/>
                <w:sz w:val="26"/>
                <w:szCs w:val="26"/>
                <w:vertAlign w:val="baseline"/>
                <w:lang w:val="en-US" w:eastAsia="zh-CN"/>
              </w:rPr>
              <w:t>根据</w:t>
            </w:r>
            <w:r>
              <w:rPr>
                <w:rFonts w:hint="default" w:ascii="Times New Roman" w:hAnsi="Times New Roman" w:eastAsia="宋体" w:cs="Times New Roman"/>
                <w:b w:val="0"/>
                <w:bCs w:val="0"/>
                <w:color w:val="auto"/>
                <w:kern w:val="0"/>
                <w:sz w:val="26"/>
                <w:szCs w:val="26"/>
                <w:vertAlign w:val="baseline"/>
                <w:lang w:val="en-US" w:eastAsia="zh-CN"/>
              </w:rPr>
              <w:t>《铝合金深加工智能化生产线建设项目（重新报批）环境影响报告表》</w:t>
            </w:r>
            <w:r>
              <w:rPr>
                <w:rFonts w:hint="eastAsia" w:ascii="Times New Roman" w:hAnsi="Times New Roman" w:eastAsia="宋体" w:cs="Times New Roman"/>
                <w:b w:val="0"/>
                <w:bCs w:val="0"/>
                <w:color w:val="auto"/>
                <w:kern w:val="0"/>
                <w:sz w:val="26"/>
                <w:szCs w:val="26"/>
                <w:vertAlign w:val="baseline"/>
                <w:lang w:val="en-US" w:eastAsia="zh-CN"/>
              </w:rPr>
              <w:t>，现有智能化生产线项目铝灰渣产生量约2627.647t/a，本项目产生量为4038.53t/a，合计约6666.18t/a，精炼剂投加量按1%计，则精炼剂合计约66.66t/a。现有智能化生产线项目铝灰渣产生约5730批次/a，本项目5192批次/a，合计约10922批次/a，每批次用时0.75h，则铝回收装置运行时间为8191.5h/a。</w:t>
            </w:r>
          </w:p>
          <w:p w14:paraId="53395DF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b w:val="0"/>
                <w:bCs w:val="0"/>
                <w:color w:val="auto"/>
                <w:kern w:val="0"/>
                <w:sz w:val="26"/>
                <w:szCs w:val="26"/>
                <w:vertAlign w:val="baseline"/>
                <w:lang w:val="en-US" w:eastAsia="zh-CN"/>
              </w:rPr>
            </w:pPr>
            <w:r>
              <w:rPr>
                <w:rFonts w:hint="eastAsia" w:ascii="Times New Roman" w:hAnsi="Times New Roman" w:eastAsia="宋体" w:cs="Times New Roman"/>
                <w:b w:val="0"/>
                <w:bCs w:val="0"/>
                <w:color w:val="auto"/>
                <w:kern w:val="0"/>
                <w:sz w:val="26"/>
                <w:szCs w:val="26"/>
                <w:vertAlign w:val="baseline"/>
                <w:lang w:val="en-US" w:eastAsia="zh-CN"/>
              </w:rPr>
              <w:t>铝回收装置铝综合回收效率约29.75%，即回收铝1983.188t/a（智能化项目781.725t/a，本项目1201.463t/a），产生二次铝灰4580.887t/a（智能化项目1805.503t/a，本项目2775.384t/a）。</w:t>
            </w:r>
          </w:p>
          <w:p w14:paraId="1E82F023">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b w:val="0"/>
                <w:bCs w:val="0"/>
                <w:color w:val="auto"/>
                <w:kern w:val="0"/>
                <w:sz w:val="26"/>
                <w:szCs w:val="26"/>
                <w:vertAlign w:val="baseline"/>
                <w:lang w:val="en-US" w:eastAsia="zh-CN"/>
              </w:rPr>
              <w:t>颗粒物产生量约为铝灰渣的2.5%，即颗粒物产生量为166.65t/a，</w:t>
            </w:r>
            <w:r>
              <w:rPr>
                <w:rFonts w:hint="default" w:ascii="Times New Roman" w:hAnsi="Times New Roman" w:eastAsia="宋体" w:cs="Times New Roman"/>
                <w:color w:val="auto"/>
                <w:kern w:val="0"/>
                <w:sz w:val="26"/>
                <w:szCs w:val="26"/>
                <w:lang w:val="en-US" w:eastAsia="zh-CN"/>
              </w:rPr>
              <w:t>氯化氢及氟化物来源于精炼剂，按照前述取值原则F、Cl-进入废气比例</w:t>
            </w:r>
            <w:r>
              <w:rPr>
                <w:rFonts w:hint="eastAsia" w:ascii="Times New Roman" w:hAnsi="Times New Roman" w:eastAsia="宋体" w:cs="Times New Roman"/>
                <w:color w:val="auto"/>
                <w:kern w:val="0"/>
                <w:sz w:val="26"/>
                <w:szCs w:val="26"/>
                <w:lang w:val="en-US" w:eastAsia="zh-CN"/>
              </w:rPr>
              <w:t>1.5</w:t>
            </w:r>
            <w:r>
              <w:rPr>
                <w:rFonts w:hint="default" w:ascii="Times New Roman" w:hAnsi="Times New Roman" w:eastAsia="宋体" w:cs="Times New Roman"/>
                <w:color w:val="auto"/>
                <w:kern w:val="0"/>
                <w:sz w:val="26"/>
                <w:szCs w:val="26"/>
                <w:lang w:val="en-US" w:eastAsia="zh-CN"/>
              </w:rPr>
              <w:t>%、1</w:t>
            </w:r>
            <w:r>
              <w:rPr>
                <w:rFonts w:hint="eastAsia" w:ascii="Times New Roman" w:hAnsi="Times New Roman" w:eastAsia="宋体" w:cs="Times New Roman"/>
                <w:color w:val="auto"/>
                <w:kern w:val="0"/>
                <w:sz w:val="26"/>
                <w:szCs w:val="26"/>
                <w:lang w:val="en-US" w:eastAsia="zh-CN"/>
              </w:rPr>
              <w:t>1</w:t>
            </w:r>
            <w:r>
              <w:rPr>
                <w:rFonts w:hint="default" w:ascii="Times New Roman" w:hAnsi="Times New Roman" w:eastAsia="宋体" w:cs="Times New Roman"/>
                <w:color w:val="auto"/>
                <w:kern w:val="0"/>
                <w:sz w:val="26"/>
                <w:szCs w:val="26"/>
                <w:lang w:val="en-US" w:eastAsia="zh-CN"/>
              </w:rPr>
              <w:t>%计，即氯化氢产生量为</w:t>
            </w:r>
            <w:r>
              <w:rPr>
                <w:rFonts w:hint="eastAsia" w:ascii="Times New Roman" w:hAnsi="Times New Roman" w:eastAsia="宋体" w:cs="Times New Roman"/>
                <w:color w:val="auto"/>
                <w:kern w:val="0"/>
                <w:sz w:val="26"/>
                <w:szCs w:val="26"/>
                <w:lang w:val="en-US" w:eastAsia="zh-CN"/>
              </w:rPr>
              <w:t>1.51</w:t>
            </w:r>
            <w:r>
              <w:rPr>
                <w:rFonts w:hint="default" w:ascii="Times New Roman" w:hAnsi="Times New Roman" w:eastAsia="宋体" w:cs="Times New Roman"/>
                <w:color w:val="auto"/>
                <w:kern w:val="0"/>
                <w:sz w:val="26"/>
                <w:szCs w:val="26"/>
                <w:lang w:val="en-US" w:eastAsia="zh-CN"/>
              </w:rPr>
              <w:t>t/a，氟化物产生量为0</w:t>
            </w:r>
            <w:r>
              <w:rPr>
                <w:rFonts w:hint="eastAsia" w:ascii="Times New Roman" w:hAnsi="Times New Roman" w:eastAsia="宋体" w:cs="Times New Roman"/>
                <w:color w:val="auto"/>
                <w:kern w:val="0"/>
                <w:sz w:val="26"/>
                <w:szCs w:val="26"/>
                <w:lang w:val="en-US" w:eastAsia="zh-CN"/>
              </w:rPr>
              <w:t>.32</w:t>
            </w:r>
            <w:r>
              <w:rPr>
                <w:rFonts w:hint="default" w:ascii="Times New Roman" w:hAnsi="Times New Roman" w:eastAsia="宋体" w:cs="Times New Roman"/>
                <w:color w:val="auto"/>
                <w:kern w:val="0"/>
                <w:sz w:val="26"/>
                <w:szCs w:val="26"/>
                <w:lang w:val="en-US" w:eastAsia="zh-CN"/>
              </w:rPr>
              <w:t>t/a。</w:t>
            </w:r>
            <w:r>
              <w:rPr>
                <w:rFonts w:hint="eastAsia" w:ascii="Times New Roman" w:hAnsi="Times New Roman" w:eastAsia="宋体" w:cs="Times New Roman"/>
                <w:color w:val="auto"/>
                <w:kern w:val="0"/>
                <w:sz w:val="26"/>
                <w:szCs w:val="26"/>
                <w:lang w:val="en-US" w:eastAsia="zh-CN"/>
              </w:rPr>
              <w:t>废气收集效率按99%计，颗粒物处理效率按99%计，风量为60000m3/h。</w:t>
            </w:r>
          </w:p>
          <w:p w14:paraId="1CCC2D73">
            <w:pPr>
              <w:keepNext w:val="0"/>
              <w:keepLines w:val="0"/>
              <w:pageBreakBefore w:val="0"/>
              <w:widowControl w:val="0"/>
              <w:kinsoku/>
              <w:wordWrap/>
              <w:overflowPunct/>
              <w:topLinePunct w:val="0"/>
              <w:bidi w:val="0"/>
              <w:snapToGrid/>
              <w:spacing w:line="460" w:lineRule="exact"/>
              <w:ind w:firstLine="520" w:firstLineChars="200"/>
              <w:textAlignment w:val="auto"/>
              <w:rPr>
                <w:rFonts w:hint="default"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综上，扩建完成后DA003污染物产排情况如下表所示。</w:t>
            </w:r>
          </w:p>
          <w:p w14:paraId="6E4195D1">
            <w:pPr>
              <w:autoSpaceDE w:val="0"/>
              <w:autoSpaceDN w:val="0"/>
              <w:adjustRightInd w:val="0"/>
              <w:spacing w:line="460" w:lineRule="exact"/>
              <w:jc w:val="center"/>
              <w:rPr>
                <w:rFonts w:hint="eastAsia" w:ascii="Times New Roman" w:hAnsi="Times New Roman" w:eastAsia="宋体" w:cs="Times New Roman"/>
                <w:b/>
                <w:bCs w:val="0"/>
                <w:color w:val="auto"/>
                <w:sz w:val="26"/>
                <w:szCs w:val="26"/>
                <w:lang w:val="en-US" w:eastAsia="zh-CN"/>
              </w:rPr>
            </w:pPr>
            <w:r>
              <w:rPr>
                <w:rFonts w:hint="eastAsia" w:ascii="Times New Roman" w:hAnsi="Times New Roman" w:eastAsia="宋体" w:cs="Times New Roman"/>
                <w:b/>
                <w:bCs w:val="0"/>
                <w:color w:val="auto"/>
                <w:sz w:val="26"/>
                <w:szCs w:val="26"/>
                <w:lang w:val="en-US" w:eastAsia="zh-CN"/>
              </w:rPr>
              <w:t>表4.2-15 本项目扩建完成后DA003排气筒排放情况表</w:t>
            </w:r>
          </w:p>
          <w:tbl>
            <w:tblPr>
              <w:tblStyle w:val="26"/>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8"/>
              <w:gridCol w:w="745"/>
              <w:gridCol w:w="665"/>
              <w:gridCol w:w="518"/>
              <w:gridCol w:w="710"/>
              <w:gridCol w:w="621"/>
              <w:gridCol w:w="621"/>
              <w:gridCol w:w="547"/>
              <w:gridCol w:w="694"/>
              <w:gridCol w:w="621"/>
              <w:gridCol w:w="533"/>
              <w:gridCol w:w="694"/>
              <w:gridCol w:w="539"/>
            </w:tblGrid>
            <w:tr w14:paraId="30E8C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91" w:type="dxa"/>
                  <w:vMerge w:val="restart"/>
                  <w:tcBorders>
                    <w:tl2br w:val="nil"/>
                    <w:tr2bl w:val="nil"/>
                  </w:tcBorders>
                  <w:noWrap w:val="0"/>
                  <w:vAlign w:val="center"/>
                </w:tcPr>
                <w:p w14:paraId="74B5AA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废气类别</w:t>
                  </w:r>
                </w:p>
              </w:tc>
              <w:tc>
                <w:tcPr>
                  <w:tcW w:w="731" w:type="dxa"/>
                  <w:vMerge w:val="restart"/>
                  <w:tcBorders>
                    <w:tl2br w:val="nil"/>
                    <w:tr2bl w:val="nil"/>
                  </w:tcBorders>
                  <w:noWrap w:val="0"/>
                  <w:vAlign w:val="center"/>
                </w:tcPr>
                <w:p w14:paraId="0F0B6E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排气筒</w:t>
                  </w:r>
                </w:p>
              </w:tc>
              <w:tc>
                <w:tcPr>
                  <w:tcW w:w="653" w:type="dxa"/>
                  <w:vMerge w:val="restart"/>
                  <w:tcBorders>
                    <w:tl2br w:val="nil"/>
                    <w:tr2bl w:val="nil"/>
                  </w:tcBorders>
                  <w:noWrap w:val="0"/>
                  <w:vAlign w:val="center"/>
                </w:tcPr>
                <w:p w14:paraId="339C53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废气产生量m</w:t>
                  </w:r>
                  <w:r>
                    <w:rPr>
                      <w:rFonts w:hint="default" w:ascii="Times New Roman" w:hAnsi="Times New Roman" w:eastAsia="宋体" w:cs="Times New Roman"/>
                      <w:color w:val="auto"/>
                      <w:sz w:val="22"/>
                      <w:szCs w:val="22"/>
                      <w:vertAlign w:val="superscript"/>
                      <w:lang w:val="en-US" w:eastAsia="zh-CN"/>
                    </w:rPr>
                    <w:t>3</w:t>
                  </w:r>
                  <w:r>
                    <w:rPr>
                      <w:rFonts w:hint="default" w:ascii="Times New Roman" w:hAnsi="Times New Roman" w:eastAsia="宋体" w:cs="Times New Roman"/>
                      <w:color w:val="auto"/>
                      <w:sz w:val="22"/>
                      <w:szCs w:val="22"/>
                      <w:lang w:val="en-US" w:eastAsia="zh-CN"/>
                    </w:rPr>
                    <w:t>/h</w:t>
                  </w:r>
                </w:p>
              </w:tc>
              <w:tc>
                <w:tcPr>
                  <w:tcW w:w="508" w:type="dxa"/>
                  <w:vMerge w:val="restart"/>
                  <w:tcBorders>
                    <w:tl2br w:val="nil"/>
                    <w:tr2bl w:val="nil"/>
                  </w:tcBorders>
                  <w:noWrap w:val="0"/>
                  <w:vAlign w:val="center"/>
                </w:tcPr>
                <w:p w14:paraId="5B0670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污染</w:t>
                  </w:r>
                </w:p>
                <w:p w14:paraId="245419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因子</w:t>
                  </w:r>
                </w:p>
              </w:tc>
              <w:tc>
                <w:tcPr>
                  <w:tcW w:w="1917" w:type="dxa"/>
                  <w:gridSpan w:val="3"/>
                  <w:tcBorders>
                    <w:tl2br w:val="nil"/>
                    <w:tr2bl w:val="nil"/>
                  </w:tcBorders>
                  <w:noWrap w:val="0"/>
                  <w:vAlign w:val="center"/>
                </w:tcPr>
                <w:p w14:paraId="076CBB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产生情况</w:t>
                  </w:r>
                </w:p>
              </w:tc>
              <w:tc>
                <w:tcPr>
                  <w:tcW w:w="537" w:type="dxa"/>
                  <w:tcBorders>
                    <w:tl2br w:val="nil"/>
                    <w:tr2bl w:val="nil"/>
                  </w:tcBorders>
                  <w:noWrap w:val="0"/>
                  <w:vAlign w:val="center"/>
                </w:tcPr>
                <w:p w14:paraId="38CA3F0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1814" w:type="dxa"/>
                  <w:gridSpan w:val="3"/>
                  <w:tcBorders>
                    <w:tl2br w:val="nil"/>
                    <w:tr2bl w:val="nil"/>
                  </w:tcBorders>
                  <w:noWrap w:val="0"/>
                  <w:vAlign w:val="center"/>
                </w:tcPr>
                <w:p w14:paraId="7DFDA3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排放情况</w:t>
                  </w:r>
                </w:p>
              </w:tc>
              <w:tc>
                <w:tcPr>
                  <w:tcW w:w="1209" w:type="dxa"/>
                  <w:gridSpan w:val="2"/>
                  <w:tcBorders>
                    <w:tl2br w:val="nil"/>
                    <w:tr2bl w:val="nil"/>
                  </w:tcBorders>
                  <w:noWrap w:val="0"/>
                  <w:vAlign w:val="center"/>
                </w:tcPr>
                <w:p w14:paraId="7BA0EC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排放标准</w:t>
                  </w:r>
                </w:p>
              </w:tc>
            </w:tr>
            <w:tr w14:paraId="68EFCA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91" w:type="dxa"/>
                  <w:vMerge w:val="continue"/>
                  <w:tcBorders>
                    <w:tl2br w:val="nil"/>
                    <w:tr2bl w:val="nil"/>
                  </w:tcBorders>
                  <w:noWrap w:val="0"/>
                  <w:vAlign w:val="center"/>
                </w:tcPr>
                <w:p w14:paraId="2C5B39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731" w:type="dxa"/>
                  <w:vMerge w:val="continue"/>
                  <w:tcBorders>
                    <w:tl2br w:val="nil"/>
                    <w:tr2bl w:val="nil"/>
                  </w:tcBorders>
                  <w:noWrap w:val="0"/>
                  <w:vAlign w:val="center"/>
                </w:tcPr>
                <w:p w14:paraId="1AD55A3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653" w:type="dxa"/>
                  <w:vMerge w:val="continue"/>
                  <w:tcBorders>
                    <w:tl2br w:val="nil"/>
                    <w:tr2bl w:val="nil"/>
                  </w:tcBorders>
                  <w:noWrap w:val="0"/>
                  <w:vAlign w:val="center"/>
                </w:tcPr>
                <w:p w14:paraId="728F6AB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508" w:type="dxa"/>
                  <w:vMerge w:val="continue"/>
                  <w:tcBorders>
                    <w:tl2br w:val="nil"/>
                    <w:tr2bl w:val="nil"/>
                  </w:tcBorders>
                  <w:noWrap w:val="0"/>
                  <w:vAlign w:val="center"/>
                </w:tcPr>
                <w:p w14:paraId="1C0865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697" w:type="dxa"/>
                  <w:tcBorders>
                    <w:tl2br w:val="nil"/>
                    <w:tr2bl w:val="nil"/>
                  </w:tcBorders>
                  <w:noWrap w:val="0"/>
                  <w:vAlign w:val="center"/>
                </w:tcPr>
                <w:p w14:paraId="7CB460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产生浓度mg/m</w:t>
                  </w:r>
                  <w:r>
                    <w:rPr>
                      <w:rFonts w:hint="default" w:ascii="Times New Roman" w:hAnsi="Times New Roman" w:eastAsia="宋体" w:cs="Times New Roman"/>
                      <w:color w:val="auto"/>
                      <w:sz w:val="22"/>
                      <w:szCs w:val="22"/>
                      <w:vertAlign w:val="superscript"/>
                      <w:lang w:val="en-US" w:eastAsia="zh-CN"/>
                    </w:rPr>
                    <w:t>3</w:t>
                  </w:r>
                </w:p>
              </w:tc>
              <w:tc>
                <w:tcPr>
                  <w:tcW w:w="610" w:type="dxa"/>
                  <w:tcBorders>
                    <w:tl2br w:val="nil"/>
                    <w:tr2bl w:val="nil"/>
                  </w:tcBorders>
                  <w:noWrap w:val="0"/>
                  <w:vAlign w:val="center"/>
                </w:tcPr>
                <w:p w14:paraId="1347E62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产生速率kg/h</w:t>
                  </w:r>
                </w:p>
              </w:tc>
              <w:tc>
                <w:tcPr>
                  <w:tcW w:w="610" w:type="dxa"/>
                  <w:tcBorders>
                    <w:tl2br w:val="nil"/>
                    <w:tr2bl w:val="nil"/>
                  </w:tcBorders>
                  <w:noWrap w:val="0"/>
                  <w:vAlign w:val="center"/>
                </w:tcPr>
                <w:p w14:paraId="61B355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产生量t/a</w:t>
                  </w:r>
                </w:p>
              </w:tc>
              <w:tc>
                <w:tcPr>
                  <w:tcW w:w="537" w:type="dxa"/>
                  <w:tcBorders>
                    <w:tl2br w:val="nil"/>
                    <w:tr2bl w:val="nil"/>
                  </w:tcBorders>
                  <w:noWrap w:val="0"/>
                  <w:vAlign w:val="center"/>
                </w:tcPr>
                <w:p w14:paraId="70BD712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治理效率%</w:t>
                  </w:r>
                </w:p>
              </w:tc>
              <w:tc>
                <w:tcPr>
                  <w:tcW w:w="681" w:type="dxa"/>
                  <w:tcBorders>
                    <w:tl2br w:val="nil"/>
                    <w:tr2bl w:val="nil"/>
                  </w:tcBorders>
                  <w:noWrap w:val="0"/>
                  <w:vAlign w:val="center"/>
                </w:tcPr>
                <w:p w14:paraId="393AFF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排放浓度mg/m</w:t>
                  </w:r>
                  <w:r>
                    <w:rPr>
                      <w:rFonts w:hint="default" w:ascii="Times New Roman" w:hAnsi="Times New Roman" w:eastAsia="宋体" w:cs="Times New Roman"/>
                      <w:color w:val="auto"/>
                      <w:sz w:val="22"/>
                      <w:szCs w:val="22"/>
                      <w:vertAlign w:val="superscript"/>
                      <w:lang w:val="en-US" w:eastAsia="zh-CN"/>
                    </w:rPr>
                    <w:t>3</w:t>
                  </w:r>
                </w:p>
              </w:tc>
              <w:tc>
                <w:tcPr>
                  <w:tcW w:w="610" w:type="dxa"/>
                  <w:tcBorders>
                    <w:tl2br w:val="nil"/>
                    <w:tr2bl w:val="nil"/>
                  </w:tcBorders>
                  <w:noWrap w:val="0"/>
                  <w:vAlign w:val="center"/>
                </w:tcPr>
                <w:p w14:paraId="669A127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排放速率kg/h</w:t>
                  </w:r>
                </w:p>
              </w:tc>
              <w:tc>
                <w:tcPr>
                  <w:tcW w:w="523" w:type="dxa"/>
                  <w:tcBorders>
                    <w:tl2br w:val="nil"/>
                    <w:tr2bl w:val="nil"/>
                  </w:tcBorders>
                  <w:noWrap w:val="0"/>
                  <w:vAlign w:val="center"/>
                </w:tcPr>
                <w:p w14:paraId="00272E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排放量t/a</w:t>
                  </w:r>
                </w:p>
              </w:tc>
              <w:tc>
                <w:tcPr>
                  <w:tcW w:w="681" w:type="dxa"/>
                  <w:tcBorders>
                    <w:tl2br w:val="nil"/>
                    <w:tr2bl w:val="nil"/>
                  </w:tcBorders>
                  <w:noWrap w:val="0"/>
                  <w:vAlign w:val="center"/>
                </w:tcPr>
                <w:p w14:paraId="4044E80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排放浓度mg/m</w:t>
                  </w:r>
                  <w:r>
                    <w:rPr>
                      <w:rFonts w:hint="default" w:ascii="Times New Roman" w:hAnsi="Times New Roman" w:eastAsia="宋体" w:cs="Times New Roman"/>
                      <w:color w:val="auto"/>
                      <w:sz w:val="22"/>
                      <w:szCs w:val="22"/>
                      <w:vertAlign w:val="superscript"/>
                      <w:lang w:val="en-US" w:eastAsia="zh-CN"/>
                    </w:rPr>
                    <w:t>3</w:t>
                  </w:r>
                </w:p>
              </w:tc>
              <w:tc>
                <w:tcPr>
                  <w:tcW w:w="528" w:type="dxa"/>
                  <w:tcBorders>
                    <w:tl2br w:val="nil"/>
                    <w:tr2bl w:val="nil"/>
                  </w:tcBorders>
                  <w:noWrap w:val="0"/>
                  <w:vAlign w:val="center"/>
                </w:tcPr>
                <w:p w14:paraId="4A6DE9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排放速率kg/h</w:t>
                  </w:r>
                </w:p>
              </w:tc>
            </w:tr>
            <w:tr w14:paraId="1E4E5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91" w:type="dxa"/>
                  <w:vMerge w:val="restart"/>
                  <w:tcBorders>
                    <w:tl2br w:val="nil"/>
                    <w:tr2bl w:val="nil"/>
                  </w:tcBorders>
                  <w:noWrap w:val="0"/>
                  <w:vAlign w:val="center"/>
                </w:tcPr>
                <w:p w14:paraId="1EA7CA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铝回收装置废气</w:t>
                  </w:r>
                </w:p>
              </w:tc>
              <w:tc>
                <w:tcPr>
                  <w:tcW w:w="731" w:type="dxa"/>
                  <w:vMerge w:val="restart"/>
                  <w:tcBorders>
                    <w:tl2br w:val="nil"/>
                    <w:tr2bl w:val="nil"/>
                  </w:tcBorders>
                  <w:noWrap w:val="0"/>
                  <w:vAlign w:val="center"/>
                </w:tcPr>
                <w:p w14:paraId="0887BB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DA003</w:t>
                  </w:r>
                </w:p>
              </w:tc>
              <w:tc>
                <w:tcPr>
                  <w:tcW w:w="653" w:type="dxa"/>
                  <w:vMerge w:val="restart"/>
                  <w:tcBorders>
                    <w:tl2br w:val="nil"/>
                    <w:tr2bl w:val="nil"/>
                  </w:tcBorders>
                  <w:noWrap w:val="0"/>
                  <w:vAlign w:val="center"/>
                </w:tcPr>
                <w:p w14:paraId="5B9D8E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60000</w:t>
                  </w:r>
                </w:p>
              </w:tc>
              <w:tc>
                <w:tcPr>
                  <w:tcW w:w="508" w:type="dxa"/>
                  <w:tcBorders>
                    <w:tl2br w:val="nil"/>
                    <w:tr2bl w:val="nil"/>
                  </w:tcBorders>
                  <w:noWrap w:val="0"/>
                  <w:vAlign w:val="center"/>
                </w:tcPr>
                <w:p w14:paraId="58BD1E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颗粒物</w:t>
                  </w:r>
                </w:p>
              </w:tc>
              <w:tc>
                <w:tcPr>
                  <w:tcW w:w="697" w:type="dxa"/>
                  <w:tcBorders>
                    <w:tl2br w:val="nil"/>
                    <w:tr2bl w:val="nil"/>
                  </w:tcBorders>
                  <w:noWrap w:val="0"/>
                  <w:vAlign w:val="center"/>
                </w:tcPr>
                <w:p w14:paraId="14A4CE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335.69</w:t>
                  </w:r>
                </w:p>
              </w:tc>
              <w:tc>
                <w:tcPr>
                  <w:tcW w:w="610" w:type="dxa"/>
                  <w:tcBorders>
                    <w:tl2br w:val="nil"/>
                    <w:tr2bl w:val="nil"/>
                  </w:tcBorders>
                  <w:noWrap w:val="0"/>
                  <w:vAlign w:val="center"/>
                </w:tcPr>
                <w:p w14:paraId="35D2FF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20.14</w:t>
                  </w:r>
                </w:p>
              </w:tc>
              <w:tc>
                <w:tcPr>
                  <w:tcW w:w="610" w:type="dxa"/>
                  <w:tcBorders>
                    <w:tl2br w:val="nil"/>
                    <w:tr2bl w:val="nil"/>
                  </w:tcBorders>
                  <w:noWrap w:val="0"/>
                  <w:vAlign w:val="center"/>
                </w:tcPr>
                <w:p w14:paraId="34B53B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164.99</w:t>
                  </w:r>
                </w:p>
              </w:tc>
              <w:tc>
                <w:tcPr>
                  <w:tcW w:w="537" w:type="dxa"/>
                  <w:tcBorders>
                    <w:tl2br w:val="nil"/>
                    <w:tr2bl w:val="nil"/>
                  </w:tcBorders>
                  <w:noWrap w:val="0"/>
                  <w:vAlign w:val="center"/>
                </w:tcPr>
                <w:p w14:paraId="2417C4F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99%</w:t>
                  </w:r>
                </w:p>
              </w:tc>
              <w:tc>
                <w:tcPr>
                  <w:tcW w:w="681" w:type="dxa"/>
                  <w:tcBorders>
                    <w:tl2br w:val="nil"/>
                    <w:tr2bl w:val="nil"/>
                  </w:tcBorders>
                  <w:noWrap w:val="0"/>
                  <w:vAlign w:val="center"/>
                </w:tcPr>
                <w:p w14:paraId="655F0E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3.36</w:t>
                  </w:r>
                </w:p>
              </w:tc>
              <w:tc>
                <w:tcPr>
                  <w:tcW w:w="610" w:type="dxa"/>
                  <w:tcBorders>
                    <w:tl2br w:val="nil"/>
                    <w:tr2bl w:val="nil"/>
                  </w:tcBorders>
                  <w:noWrap w:val="0"/>
                  <w:vAlign w:val="center"/>
                </w:tcPr>
                <w:p w14:paraId="2055E5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0.2</w:t>
                  </w:r>
                </w:p>
              </w:tc>
              <w:tc>
                <w:tcPr>
                  <w:tcW w:w="523" w:type="dxa"/>
                  <w:tcBorders>
                    <w:tl2br w:val="nil"/>
                    <w:tr2bl w:val="nil"/>
                  </w:tcBorders>
                  <w:noWrap w:val="0"/>
                  <w:vAlign w:val="center"/>
                </w:tcPr>
                <w:p w14:paraId="4006FD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1.65</w:t>
                  </w:r>
                </w:p>
              </w:tc>
              <w:tc>
                <w:tcPr>
                  <w:tcW w:w="681" w:type="dxa"/>
                  <w:tcBorders>
                    <w:tl2br w:val="nil"/>
                    <w:tr2bl w:val="nil"/>
                  </w:tcBorders>
                  <w:noWrap w:val="0"/>
                  <w:vAlign w:val="center"/>
                </w:tcPr>
                <w:p w14:paraId="2ECD57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30</w:t>
                  </w:r>
                </w:p>
              </w:tc>
              <w:tc>
                <w:tcPr>
                  <w:tcW w:w="528" w:type="dxa"/>
                  <w:tcBorders>
                    <w:tl2br w:val="nil"/>
                    <w:tr2bl w:val="nil"/>
                  </w:tcBorders>
                  <w:noWrap w:val="0"/>
                  <w:vAlign w:val="center"/>
                </w:tcPr>
                <w:p w14:paraId="3CCEC0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w:t>
                  </w:r>
                </w:p>
              </w:tc>
            </w:tr>
            <w:tr w14:paraId="27B2D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91" w:type="dxa"/>
                  <w:vMerge w:val="continue"/>
                  <w:tcBorders>
                    <w:tl2br w:val="nil"/>
                    <w:tr2bl w:val="nil"/>
                  </w:tcBorders>
                  <w:noWrap w:val="0"/>
                  <w:vAlign w:val="center"/>
                </w:tcPr>
                <w:p w14:paraId="3E4840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731" w:type="dxa"/>
                  <w:vMerge w:val="continue"/>
                  <w:tcBorders>
                    <w:tl2br w:val="nil"/>
                    <w:tr2bl w:val="nil"/>
                  </w:tcBorders>
                  <w:noWrap w:val="0"/>
                  <w:vAlign w:val="center"/>
                </w:tcPr>
                <w:p w14:paraId="207B7A9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653" w:type="dxa"/>
                  <w:vMerge w:val="continue"/>
                  <w:tcBorders>
                    <w:tl2br w:val="nil"/>
                    <w:tr2bl w:val="nil"/>
                  </w:tcBorders>
                  <w:noWrap w:val="0"/>
                  <w:vAlign w:val="center"/>
                </w:tcPr>
                <w:p w14:paraId="0E2BC7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508" w:type="dxa"/>
                  <w:tcBorders>
                    <w:tl2br w:val="nil"/>
                    <w:tr2bl w:val="nil"/>
                  </w:tcBorders>
                  <w:noWrap w:val="0"/>
                  <w:vAlign w:val="center"/>
                </w:tcPr>
                <w:p w14:paraId="78C0CCE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HCl</w:t>
                  </w:r>
                </w:p>
              </w:tc>
              <w:tc>
                <w:tcPr>
                  <w:tcW w:w="697" w:type="dxa"/>
                  <w:tcBorders>
                    <w:tl2br w:val="nil"/>
                    <w:tr2bl w:val="nil"/>
                  </w:tcBorders>
                  <w:noWrap w:val="0"/>
                  <w:vAlign w:val="center"/>
                </w:tcPr>
                <w:p w14:paraId="21A77E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3.04</w:t>
                  </w:r>
                </w:p>
              </w:tc>
              <w:tc>
                <w:tcPr>
                  <w:tcW w:w="610" w:type="dxa"/>
                  <w:tcBorders>
                    <w:tl2br w:val="nil"/>
                    <w:tr2bl w:val="nil"/>
                  </w:tcBorders>
                  <w:noWrap w:val="0"/>
                  <w:vAlign w:val="center"/>
                </w:tcPr>
                <w:p w14:paraId="66248C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0.18</w:t>
                  </w:r>
                </w:p>
              </w:tc>
              <w:tc>
                <w:tcPr>
                  <w:tcW w:w="610" w:type="dxa"/>
                  <w:tcBorders>
                    <w:tl2br w:val="nil"/>
                    <w:tr2bl w:val="nil"/>
                  </w:tcBorders>
                  <w:noWrap w:val="0"/>
                  <w:vAlign w:val="center"/>
                </w:tcPr>
                <w:p w14:paraId="0886A6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1.49</w:t>
                  </w:r>
                </w:p>
              </w:tc>
              <w:tc>
                <w:tcPr>
                  <w:tcW w:w="537" w:type="dxa"/>
                  <w:tcBorders>
                    <w:tl2br w:val="nil"/>
                    <w:tr2bl w:val="nil"/>
                  </w:tcBorders>
                  <w:noWrap w:val="0"/>
                  <w:vAlign w:val="center"/>
                </w:tcPr>
                <w:p w14:paraId="2C2F76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w:t>
                  </w:r>
                </w:p>
              </w:tc>
              <w:tc>
                <w:tcPr>
                  <w:tcW w:w="681" w:type="dxa"/>
                  <w:tcBorders>
                    <w:tl2br w:val="nil"/>
                    <w:tr2bl w:val="nil"/>
                  </w:tcBorders>
                  <w:noWrap w:val="0"/>
                  <w:vAlign w:val="center"/>
                </w:tcPr>
                <w:p w14:paraId="254A3D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3.04</w:t>
                  </w:r>
                </w:p>
              </w:tc>
              <w:tc>
                <w:tcPr>
                  <w:tcW w:w="610" w:type="dxa"/>
                  <w:tcBorders>
                    <w:tl2br w:val="nil"/>
                    <w:tr2bl w:val="nil"/>
                  </w:tcBorders>
                  <w:noWrap w:val="0"/>
                  <w:vAlign w:val="center"/>
                </w:tcPr>
                <w:p w14:paraId="3A6BD3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0.18</w:t>
                  </w:r>
                </w:p>
              </w:tc>
              <w:tc>
                <w:tcPr>
                  <w:tcW w:w="523" w:type="dxa"/>
                  <w:tcBorders>
                    <w:tl2br w:val="nil"/>
                    <w:tr2bl w:val="nil"/>
                  </w:tcBorders>
                  <w:noWrap w:val="0"/>
                  <w:vAlign w:val="center"/>
                </w:tcPr>
                <w:p w14:paraId="50F0FB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1.49</w:t>
                  </w:r>
                </w:p>
              </w:tc>
              <w:tc>
                <w:tcPr>
                  <w:tcW w:w="681" w:type="dxa"/>
                  <w:tcBorders>
                    <w:tl2br w:val="nil"/>
                    <w:tr2bl w:val="nil"/>
                  </w:tcBorders>
                  <w:noWrap w:val="0"/>
                  <w:vAlign w:val="center"/>
                </w:tcPr>
                <w:p w14:paraId="5C9887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100</w:t>
                  </w:r>
                </w:p>
              </w:tc>
              <w:tc>
                <w:tcPr>
                  <w:tcW w:w="528" w:type="dxa"/>
                  <w:tcBorders>
                    <w:tl2br w:val="nil"/>
                    <w:tr2bl w:val="nil"/>
                  </w:tcBorders>
                  <w:noWrap w:val="0"/>
                  <w:vAlign w:val="center"/>
                </w:tcPr>
                <w:p w14:paraId="617A3B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0.43</w:t>
                  </w:r>
                </w:p>
              </w:tc>
            </w:tr>
            <w:tr w14:paraId="2C39B0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91" w:type="dxa"/>
                  <w:vMerge w:val="continue"/>
                  <w:tcBorders>
                    <w:tl2br w:val="nil"/>
                    <w:tr2bl w:val="nil"/>
                  </w:tcBorders>
                  <w:noWrap w:val="0"/>
                  <w:vAlign w:val="center"/>
                </w:tcPr>
                <w:p w14:paraId="57EAD01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731" w:type="dxa"/>
                  <w:vMerge w:val="continue"/>
                  <w:tcBorders>
                    <w:tl2br w:val="nil"/>
                    <w:tr2bl w:val="nil"/>
                  </w:tcBorders>
                  <w:noWrap w:val="0"/>
                  <w:vAlign w:val="center"/>
                </w:tcPr>
                <w:p w14:paraId="44EFF1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653" w:type="dxa"/>
                  <w:vMerge w:val="continue"/>
                  <w:tcBorders>
                    <w:tl2br w:val="nil"/>
                    <w:tr2bl w:val="nil"/>
                  </w:tcBorders>
                  <w:noWrap w:val="0"/>
                  <w:vAlign w:val="center"/>
                </w:tcPr>
                <w:p w14:paraId="110B69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p>
              </w:tc>
              <w:tc>
                <w:tcPr>
                  <w:tcW w:w="508" w:type="dxa"/>
                  <w:tcBorders>
                    <w:tl2br w:val="nil"/>
                    <w:tr2bl w:val="nil"/>
                  </w:tcBorders>
                  <w:noWrap w:val="0"/>
                  <w:vAlign w:val="center"/>
                </w:tcPr>
                <w:p w14:paraId="20E7D8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氟化物</w:t>
                  </w:r>
                </w:p>
              </w:tc>
              <w:tc>
                <w:tcPr>
                  <w:tcW w:w="697" w:type="dxa"/>
                  <w:tcBorders>
                    <w:tl2br w:val="nil"/>
                    <w:tr2bl w:val="nil"/>
                  </w:tcBorders>
                  <w:noWrap w:val="0"/>
                  <w:vAlign w:val="center"/>
                </w:tcPr>
                <w:p w14:paraId="5C3037C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0.64</w:t>
                  </w:r>
                </w:p>
              </w:tc>
              <w:tc>
                <w:tcPr>
                  <w:tcW w:w="610" w:type="dxa"/>
                  <w:tcBorders>
                    <w:tl2br w:val="nil"/>
                    <w:tr2bl w:val="nil"/>
                  </w:tcBorders>
                  <w:noWrap w:val="0"/>
                  <w:vAlign w:val="center"/>
                </w:tcPr>
                <w:p w14:paraId="552860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0.038</w:t>
                  </w:r>
                </w:p>
              </w:tc>
              <w:tc>
                <w:tcPr>
                  <w:tcW w:w="610" w:type="dxa"/>
                  <w:tcBorders>
                    <w:tl2br w:val="nil"/>
                    <w:tr2bl w:val="nil"/>
                  </w:tcBorders>
                  <w:noWrap w:val="0"/>
                  <w:vAlign w:val="center"/>
                </w:tcPr>
                <w:p w14:paraId="0691CC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0.31</w:t>
                  </w:r>
                </w:p>
              </w:tc>
              <w:tc>
                <w:tcPr>
                  <w:tcW w:w="537" w:type="dxa"/>
                  <w:tcBorders>
                    <w:tl2br w:val="nil"/>
                    <w:tr2bl w:val="nil"/>
                  </w:tcBorders>
                  <w:noWrap w:val="0"/>
                  <w:vAlign w:val="center"/>
                </w:tcPr>
                <w:p w14:paraId="35BC8F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w:t>
                  </w:r>
                </w:p>
              </w:tc>
              <w:tc>
                <w:tcPr>
                  <w:tcW w:w="681" w:type="dxa"/>
                  <w:tcBorders>
                    <w:tl2br w:val="nil"/>
                    <w:tr2bl w:val="nil"/>
                  </w:tcBorders>
                  <w:noWrap w:val="0"/>
                  <w:vAlign w:val="center"/>
                </w:tcPr>
                <w:p w14:paraId="482609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0.64</w:t>
                  </w:r>
                </w:p>
              </w:tc>
              <w:tc>
                <w:tcPr>
                  <w:tcW w:w="610" w:type="dxa"/>
                  <w:tcBorders>
                    <w:tl2br w:val="nil"/>
                    <w:tr2bl w:val="nil"/>
                  </w:tcBorders>
                  <w:noWrap w:val="0"/>
                  <w:vAlign w:val="center"/>
                </w:tcPr>
                <w:p w14:paraId="41A6A4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0.038</w:t>
                  </w:r>
                </w:p>
              </w:tc>
              <w:tc>
                <w:tcPr>
                  <w:tcW w:w="523" w:type="dxa"/>
                  <w:tcBorders>
                    <w:tl2br w:val="nil"/>
                    <w:tr2bl w:val="nil"/>
                  </w:tcBorders>
                  <w:noWrap w:val="0"/>
                  <w:vAlign w:val="center"/>
                </w:tcPr>
                <w:p w14:paraId="63FF57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0.31</w:t>
                  </w:r>
                </w:p>
              </w:tc>
              <w:tc>
                <w:tcPr>
                  <w:tcW w:w="681" w:type="dxa"/>
                  <w:tcBorders>
                    <w:tl2br w:val="nil"/>
                    <w:tr2bl w:val="nil"/>
                  </w:tcBorders>
                  <w:noWrap w:val="0"/>
                  <w:vAlign w:val="center"/>
                </w:tcPr>
                <w:p w14:paraId="6AC04E4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9</w:t>
                  </w:r>
                </w:p>
              </w:tc>
              <w:tc>
                <w:tcPr>
                  <w:tcW w:w="528" w:type="dxa"/>
                  <w:tcBorders>
                    <w:tl2br w:val="nil"/>
                    <w:tr2bl w:val="nil"/>
                  </w:tcBorders>
                  <w:noWrap w:val="0"/>
                  <w:vAlign w:val="center"/>
                </w:tcPr>
                <w:p w14:paraId="200CC4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0.17</w:t>
                  </w:r>
                </w:p>
              </w:tc>
            </w:tr>
          </w:tbl>
          <w:p w14:paraId="465AC146">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Times New Roman" w:hAnsi="Times New Roman" w:eastAsia="宋体" w:cs="Times New Roman"/>
                <w:color w:val="auto"/>
                <w:kern w:val="0"/>
                <w:sz w:val="26"/>
                <w:szCs w:val="26"/>
                <w:lang w:val="en-US" w:eastAsia="zh-CN"/>
              </w:rPr>
            </w:pPr>
          </w:p>
          <w:p w14:paraId="647B0623">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b w:val="0"/>
                <w:bCs w:val="0"/>
                <w:color w:val="auto"/>
                <w:kern w:val="0"/>
                <w:sz w:val="26"/>
                <w:szCs w:val="26"/>
                <w:vertAlign w:val="baseline"/>
                <w:lang w:val="en-US" w:eastAsia="zh-CN"/>
              </w:rPr>
              <w:t>综上，本项目建成后DA003排气筒能够满足达标排放要求。</w:t>
            </w:r>
          </w:p>
          <w:p w14:paraId="6FFDF4B3">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Times New Roman" w:hAnsi="Times New Roman" w:eastAsia="宋体" w:cs="Times New Roman"/>
                <w:color w:val="auto"/>
                <w:kern w:val="0"/>
                <w:sz w:val="26"/>
                <w:szCs w:val="26"/>
                <w:lang w:val="en-US" w:eastAsia="zh-CN"/>
              </w:rPr>
            </w:pPr>
          </w:p>
          <w:p w14:paraId="2E18B278">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Times New Roman" w:hAnsi="Times New Roman" w:eastAsia="宋体" w:cs="Times New Roman"/>
                <w:color w:val="auto"/>
                <w:kern w:val="0"/>
                <w:sz w:val="26"/>
                <w:szCs w:val="26"/>
                <w:lang w:val="en-US" w:eastAsia="zh-CN"/>
              </w:rPr>
            </w:pPr>
          </w:p>
          <w:p w14:paraId="5AD44283">
            <w:pPr>
              <w:keepNext w:val="0"/>
              <w:keepLines w:val="0"/>
              <w:pageBreakBefore w:val="0"/>
              <w:widowControl w:val="0"/>
              <w:kinsoku/>
              <w:wordWrap/>
              <w:overflowPunct/>
              <w:topLinePunct w:val="0"/>
              <w:bidi w:val="0"/>
              <w:snapToGrid/>
              <w:spacing w:line="460" w:lineRule="exact"/>
              <w:ind w:firstLine="520" w:firstLineChars="200"/>
              <w:textAlignment w:val="auto"/>
              <w:rPr>
                <w:rFonts w:hint="eastAsia" w:ascii="Times New Roman" w:hAnsi="Times New Roman" w:eastAsia="宋体" w:cs="Times New Roman"/>
                <w:color w:val="auto"/>
                <w:kern w:val="0"/>
                <w:sz w:val="26"/>
                <w:szCs w:val="26"/>
                <w:lang w:val="en-US" w:eastAsia="zh-CN"/>
              </w:rPr>
            </w:pPr>
          </w:p>
          <w:p w14:paraId="354E2E3C">
            <w:pPr>
              <w:keepNext w:val="0"/>
              <w:keepLines w:val="0"/>
              <w:pageBreakBefore w:val="0"/>
              <w:widowControl w:val="0"/>
              <w:kinsoku/>
              <w:wordWrap/>
              <w:overflowPunct/>
              <w:topLinePunct w:val="0"/>
              <w:bidi w:val="0"/>
              <w:snapToGrid/>
              <w:spacing w:line="460" w:lineRule="exact"/>
              <w:textAlignment w:val="auto"/>
              <w:rPr>
                <w:rFonts w:hint="eastAsia" w:ascii="Times New Roman" w:hAnsi="Times New Roman" w:eastAsia="宋体" w:cs="Times New Roman"/>
                <w:color w:val="auto"/>
                <w:kern w:val="0"/>
                <w:sz w:val="26"/>
                <w:szCs w:val="26"/>
                <w:lang w:val="en-US" w:eastAsia="zh-CN"/>
              </w:rPr>
            </w:pPr>
          </w:p>
          <w:p w14:paraId="1F04578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b w:val="0"/>
                <w:bCs w:val="0"/>
                <w:color w:val="auto"/>
                <w:kern w:val="0"/>
                <w:sz w:val="26"/>
                <w:szCs w:val="26"/>
                <w:vertAlign w:val="baseline"/>
                <w:lang w:val="en-US" w:eastAsia="zh-CN"/>
              </w:rPr>
            </w:pPr>
          </w:p>
          <w:p w14:paraId="6A900D3C">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4.2.1.4</w:t>
            </w:r>
            <w:r>
              <w:rPr>
                <w:rFonts w:hint="default" w:ascii="Times New Roman" w:hAnsi="Times New Roman" w:eastAsia="宋体" w:cs="Times New Roman"/>
                <w:b/>
                <w:bCs/>
                <w:color w:val="auto"/>
                <w:sz w:val="26"/>
                <w:szCs w:val="26"/>
                <w:lang w:val="en-US" w:eastAsia="zh-CN"/>
              </w:rPr>
              <w:t>废气治理措施及可行性分析</w:t>
            </w:r>
          </w:p>
          <w:p w14:paraId="0BF4FC02">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本项目废气主要为熔炼废气、均质废气，其中均质工序采用天然气清洁能源，经排气筒直接排放；熔炼废气采取“旋风除尘+布袋除尘”组合处理。</w:t>
            </w:r>
          </w:p>
          <w:p w14:paraId="5AF04FC8">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（1）废气收集方式</w:t>
            </w:r>
          </w:p>
          <w:p w14:paraId="7D9A3554">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本项目废气收集及走向示意图见下图。</w:t>
            </w:r>
          </w:p>
          <w:p w14:paraId="767831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6"/>
                <w:szCs w:val="26"/>
                <w:lang w:val="en-US" w:eastAsia="zh-CN"/>
              </w:rPr>
            </w:pPr>
            <w:r>
              <w:rPr>
                <w:rFonts w:ascii="Times New Roman" w:hAnsi="Times New Roman"/>
                <w:bCs/>
                <w:color w:val="auto"/>
              </w:rPr>
              <w:object>
                <v:shape id="_x0000_i1030" o:spt="75" type="#_x0000_t75" style="height:208pt;width:316.45pt;" o:ole="t" filled="f" o:preferrelative="t" stroked="f" coordsize="21600,21600">
                  <v:path/>
                  <v:fill on="f" focussize="0,0"/>
                  <v:stroke on="f"/>
                  <v:imagedata r:id="rId27" o:title=""/>
                  <o:lock v:ext="edit" aspectratio="t"/>
                  <w10:wrap type="none"/>
                  <w10:anchorlock/>
                </v:shape>
                <o:OLEObject Type="Embed" ProgID="Visio.Drawing.11" ShapeID="_x0000_i1030" DrawAspect="Content" ObjectID="_1468075733" r:id="rId26">
                  <o:LockedField>false</o:LockedField>
                </o:OLEObject>
              </w:object>
            </w:r>
          </w:p>
          <w:p w14:paraId="7F653C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6"/>
                <w:szCs w:val="26"/>
                <w:u w:val="single"/>
                <w:lang w:val="en-US" w:eastAsia="zh-CN"/>
              </w:rPr>
            </w:pPr>
            <w:r>
              <w:rPr>
                <w:rFonts w:hint="eastAsia" w:ascii="Times New Roman" w:hAnsi="Times New Roman" w:eastAsia="宋体" w:cs="Times New Roman"/>
                <w:b/>
                <w:bCs/>
                <w:color w:val="auto"/>
                <w:sz w:val="26"/>
                <w:szCs w:val="26"/>
                <w:u w:val="single"/>
                <w:lang w:val="en-US" w:eastAsia="zh-CN"/>
              </w:rPr>
              <w:t>图4.2-1  废气收集及走向示意图</w:t>
            </w:r>
          </w:p>
          <w:p w14:paraId="725109E1">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（2）废气处理原理</w:t>
            </w:r>
          </w:p>
          <w:p w14:paraId="192806C5">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 xml:space="preserve">①旋风除尘 </w:t>
            </w:r>
          </w:p>
          <w:p w14:paraId="5D53E6B2">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旋风除尘器是一种利用离心力从含尘气体中分离粉尘的设备，其工作原理是让高速气流沿切线方向进入圆筒部分形成高速旋转的外旋流，粉尘在离心力作用下被甩向器壁后沿壁面滑落至灰斗，而旋转的气流到达锥体底部后反转向上形成内旋流，最后从顶部排气管排出；这种设备的主要优点在于结构简单无运动部件而造价低廉，操作维护方便且运转费用低，能够适应高温高压甚至腐蚀性气体的工况且对入口粉尘浓度不敏感，同时占地面积小并可回收有价值的干物料。</w:t>
            </w:r>
          </w:p>
          <w:p w14:paraId="7D88652F">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 xml:space="preserve">②布袋除尘器 </w:t>
            </w:r>
          </w:p>
          <w:p w14:paraId="295B94C3">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 xml:space="preserve">布袋除尘器工作原理：布袋除尘器的主要作用是含尘烟气通过滤袋时，烟尘被阻留在滤袋的表面，干净烟气则通过滤袋纤维缝隙排走。它的工作机理是烟尘通过滤袋布时产生的筛分、惯性、黏附、扩散和静电等作用而被捕集。筛分作用（这是布袋除尘器最为主要的工作原理）含尘烟气通过滤布时，滤布纤维间的空隙或吸附在滤布表面烟尘间的空隙把大于空隙直径的粉尘分离下来，称为筛分作用。对于新滤布，由于纤维之间的空隙很大，这种效果不明显，除尘效率低。只有在使用一定的时间后，在滤布表面建立了一定厚度的粉尘层，筛分作用才比较显著，另外清灰后在滤布表面以及内部还残留一定量的粉尘即初滤层，所以仍能保持较高的除尘效率。对于针刺毡，由于毡类滤布本身构成厚实的多孔滤层，可以比较充分发挥筛分作用，不全依靠初滤层来保持较高的 </w:t>
            </w:r>
          </w:p>
          <w:p w14:paraId="52CB42CE">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除尘效率：现在普遍使用的是覆膜类滤袋，它在原基布上热敷一层表面有很多微孔的</w:t>
            </w:r>
            <w:r>
              <w:rPr>
                <w:rFonts w:hint="default" w:ascii="Times New Roman" w:hAnsi="Times New Roman" w:eastAsia="宋体" w:cs="Times New Roman"/>
                <w:color w:val="auto"/>
                <w:sz w:val="26"/>
                <w:szCs w:val="26"/>
                <w:lang w:val="en-US" w:eastAsia="zh-CN"/>
              </w:rPr>
              <w:t>PTFE</w:t>
            </w:r>
            <w:r>
              <w:rPr>
                <w:rFonts w:hint="eastAsia" w:ascii="Times New Roman" w:hAnsi="Times New Roman" w:eastAsia="宋体" w:cs="Times New Roman"/>
                <w:color w:val="auto"/>
                <w:sz w:val="26"/>
                <w:szCs w:val="26"/>
                <w:lang w:val="en-US" w:eastAsia="zh-CN"/>
              </w:rPr>
              <w:t xml:space="preserve">薄膜，靠薄膜表面的过滤来实现烟气的净化，具有透气性高，清灰容易，耐腐蚀等优良性能，大大提高了滤袋的清灰性能。 </w:t>
            </w:r>
          </w:p>
          <w:p w14:paraId="08D37E0D">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fldChar w:fldCharType="begin"/>
            </w:r>
            <w:r>
              <w:rPr>
                <w:rFonts w:hint="eastAsia" w:ascii="Times New Roman" w:hAnsi="Times New Roman" w:eastAsia="宋体" w:cs="Times New Roman"/>
                <w:color w:val="auto"/>
                <w:sz w:val="26"/>
                <w:szCs w:val="26"/>
                <w:lang w:val="en-US" w:eastAsia="zh-CN"/>
              </w:rPr>
              <w:instrText xml:space="preserve"> = 3 \* GB3 \* MERGEFORMAT </w:instrText>
            </w:r>
            <w:r>
              <w:rPr>
                <w:rFonts w:hint="eastAsia" w:ascii="Times New Roman" w:hAnsi="Times New Roman" w:eastAsia="宋体" w:cs="Times New Roman"/>
                <w:color w:val="auto"/>
                <w:sz w:val="26"/>
                <w:szCs w:val="26"/>
                <w:lang w:val="en-US" w:eastAsia="zh-CN"/>
              </w:rPr>
              <w:fldChar w:fldCharType="separate"/>
            </w:r>
            <w:r>
              <w:rPr>
                <w:color w:val="auto"/>
                <w:sz w:val="26"/>
                <w:szCs w:val="26"/>
              </w:rPr>
              <w:t>③</w:t>
            </w:r>
            <w:r>
              <w:rPr>
                <w:rFonts w:hint="eastAsia" w:ascii="Times New Roman" w:hAnsi="Times New Roman" w:eastAsia="宋体" w:cs="Times New Roman"/>
                <w:color w:val="auto"/>
                <w:sz w:val="26"/>
                <w:szCs w:val="26"/>
                <w:lang w:val="en-US" w:eastAsia="zh-CN"/>
              </w:rPr>
              <w:fldChar w:fldCharType="end"/>
            </w:r>
            <w:r>
              <w:rPr>
                <w:rFonts w:hint="eastAsia" w:ascii="Times New Roman" w:hAnsi="Times New Roman" w:eastAsia="宋体" w:cs="Times New Roman"/>
                <w:color w:val="auto"/>
                <w:sz w:val="26"/>
                <w:szCs w:val="26"/>
                <w:lang w:val="en-US" w:eastAsia="zh-CN"/>
              </w:rPr>
              <w:t xml:space="preserve">重力沉降除尘 </w:t>
            </w:r>
          </w:p>
          <w:p w14:paraId="3DF1E1E7">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重力沉降室是通过重力作用使尘粒从气流中沉降分离的一种除尘装置。含尘气流进入重力沉降室后，由于突然扩大了过流面积，流速迅速下降，此时气流处于层流状态，其中粒径较大的尘粒在自身重力作用下缓慢向灰斗沉降，从而达到了除尘的目的。重力沉降室具有结构简单，造价低，维护管理方便、阻力小（一般约为50~150Pa）等优点，一般作为第一级或预处理设备。</w:t>
            </w:r>
          </w:p>
          <w:p w14:paraId="2E321D93">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根据</w:t>
            </w:r>
            <w:r>
              <w:rPr>
                <w:rFonts w:hint="default" w:ascii="Times New Roman" w:hAnsi="Times New Roman" w:eastAsia="宋体" w:cs="Times New Roman"/>
                <w:color w:val="auto"/>
                <w:sz w:val="26"/>
                <w:szCs w:val="26"/>
                <w:lang w:val="en-US" w:eastAsia="zh-CN"/>
              </w:rPr>
              <w:t>《排污许可证申请与核发技术规范</w:t>
            </w:r>
            <w:r>
              <w:rPr>
                <w:rFonts w:hint="eastAsia" w:ascii="Times New Roman" w:hAnsi="Times New Roman" w:eastAsia="宋体" w:cs="Times New Roman"/>
                <w:color w:val="auto"/>
                <w:sz w:val="26"/>
                <w:szCs w:val="26"/>
                <w:lang w:val="en-US" w:eastAsia="zh-CN"/>
              </w:rPr>
              <w:t xml:space="preserve"> </w:t>
            </w:r>
            <w:r>
              <w:rPr>
                <w:rFonts w:hint="default" w:ascii="Times New Roman" w:hAnsi="Times New Roman" w:eastAsia="宋体" w:cs="Times New Roman"/>
                <w:color w:val="auto"/>
                <w:sz w:val="26"/>
                <w:szCs w:val="26"/>
                <w:lang w:val="en-US" w:eastAsia="zh-CN"/>
              </w:rPr>
              <w:t>金属铸造工业》</w:t>
            </w:r>
            <w:r>
              <w:rPr>
                <w:rFonts w:hint="eastAsia" w:ascii="Times New Roman" w:hAnsi="Times New Roman" w:eastAsia="宋体"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HJ1115-2020</w:t>
            </w:r>
            <w:r>
              <w:rPr>
                <w:rFonts w:hint="eastAsia" w:ascii="Times New Roman" w:hAnsi="Times New Roman" w:eastAsia="宋体" w:cs="Times New Roman"/>
                <w:color w:val="auto"/>
                <w:sz w:val="26"/>
                <w:szCs w:val="26"/>
                <w:lang w:val="en-US" w:eastAsia="zh-CN"/>
              </w:rPr>
              <w:t xml:space="preserve">）附录A “表 </w:t>
            </w:r>
            <w:r>
              <w:rPr>
                <w:rFonts w:hint="default" w:ascii="Times New Roman" w:hAnsi="Times New Roman" w:eastAsia="宋体" w:cs="Times New Roman"/>
                <w:color w:val="auto"/>
                <w:sz w:val="26"/>
                <w:szCs w:val="26"/>
                <w:lang w:val="en-US" w:eastAsia="zh-CN"/>
              </w:rPr>
              <w:t xml:space="preserve">A.1 </w:t>
            </w:r>
            <w:r>
              <w:rPr>
                <w:rFonts w:hint="eastAsia" w:ascii="Times New Roman" w:hAnsi="Times New Roman" w:eastAsia="宋体" w:cs="Times New Roman"/>
                <w:color w:val="auto"/>
                <w:sz w:val="26"/>
                <w:szCs w:val="26"/>
                <w:lang w:val="en-US" w:eastAsia="zh-CN"/>
              </w:rPr>
              <w:t>废气防治可行技术参考表”：</w:t>
            </w:r>
            <w:r>
              <w:rPr>
                <w:rFonts w:hint="eastAsia" w:ascii="Times New Roman" w:hAnsi="Times New Roman" w:eastAsia="宋体" w:cs="Times New Roman"/>
                <w:color w:val="auto"/>
                <w:kern w:val="0"/>
                <w:sz w:val="26"/>
                <w:szCs w:val="26"/>
                <w:lang w:val="en-US" w:eastAsia="zh-CN"/>
              </w:rPr>
              <w:t>熔炼工序燃气炉废气选用</w:t>
            </w:r>
            <w:r>
              <w:rPr>
                <w:rFonts w:hint="eastAsia" w:ascii="Times New Roman" w:hAnsi="Times New Roman" w:eastAsia="宋体" w:cs="Times New Roman"/>
                <w:color w:val="auto"/>
                <w:sz w:val="26"/>
                <w:szCs w:val="26"/>
                <w:lang w:val="en-US" w:eastAsia="zh-CN"/>
              </w:rPr>
              <w:t>布袋除尘效率可达</w:t>
            </w:r>
            <w:r>
              <w:rPr>
                <w:rFonts w:hint="default" w:ascii="Times New Roman" w:hAnsi="Times New Roman" w:eastAsia="宋体" w:cs="Times New Roman"/>
                <w:color w:val="auto"/>
                <w:sz w:val="26"/>
                <w:szCs w:val="26"/>
                <w:lang w:val="en-US" w:eastAsia="zh-CN"/>
              </w:rPr>
              <w:t>99%</w:t>
            </w:r>
            <w:r>
              <w:rPr>
                <w:rFonts w:hint="eastAsia" w:ascii="Times New Roman" w:hAnsi="Times New Roman" w:eastAsia="宋体" w:cs="Times New Roman"/>
                <w:color w:val="auto"/>
                <w:sz w:val="26"/>
                <w:szCs w:val="26"/>
                <w:lang w:val="en-US" w:eastAsia="zh-CN"/>
              </w:rPr>
              <w:t>以上，除尘器选择应考虑烟气的高温；二氧化硫及氮氧化物分别控制燃气的硫含量及氮含量。</w:t>
            </w:r>
          </w:p>
          <w:p w14:paraId="7B64400F">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eastAsia" w:ascii="Times New Roman" w:hAnsi="Times New Roman" w:eastAsia="宋体" w:cs="Times New Roman"/>
                <w:color w:val="auto"/>
                <w:kern w:val="0"/>
                <w:sz w:val="26"/>
                <w:szCs w:val="26"/>
                <w:lang w:eastAsia="zh-CN"/>
              </w:rPr>
            </w:pPr>
            <w:r>
              <w:rPr>
                <w:rFonts w:hint="eastAsia" w:ascii="Times New Roman" w:hAnsi="Times New Roman" w:eastAsia="宋体" w:cs="Times New Roman"/>
                <w:color w:val="auto"/>
                <w:sz w:val="26"/>
                <w:szCs w:val="26"/>
                <w:lang w:val="en-US" w:eastAsia="zh-CN"/>
              </w:rPr>
              <w:t>本项目产生的熔炼废气依托现有“旋风+布袋除尘”处理，铝回收装置废气采用“重力沉降+布袋除尘”处理，颗粒物处理效率不低于99%，根据企业例行监测，现有“旋风+布袋除尘”运行状况良好，能够满足达标排放的要求。本项目采用天然气清洁能源，已控制燃气的硫含量及氮含量。</w:t>
            </w:r>
          </w:p>
          <w:p w14:paraId="50B80F19">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综上，本项目</w:t>
            </w:r>
            <w:r>
              <w:rPr>
                <w:rFonts w:hint="default" w:ascii="Times New Roman" w:hAnsi="Times New Roman" w:eastAsia="宋体" w:cs="Times New Roman"/>
                <w:color w:val="auto"/>
                <w:sz w:val="26"/>
                <w:szCs w:val="26"/>
                <w:lang w:val="en-US" w:eastAsia="zh-CN"/>
              </w:rPr>
              <w:t>废气收集方式及处理措施可行。</w:t>
            </w:r>
          </w:p>
          <w:p w14:paraId="088E1CD2">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4.2.1.5</w:t>
            </w:r>
            <w:r>
              <w:rPr>
                <w:rFonts w:hint="default" w:ascii="Times New Roman" w:hAnsi="Times New Roman" w:eastAsia="宋体" w:cs="Times New Roman"/>
                <w:b/>
                <w:bCs/>
                <w:color w:val="auto"/>
                <w:sz w:val="26"/>
                <w:szCs w:val="26"/>
                <w:lang w:val="en-US" w:eastAsia="zh-CN"/>
              </w:rPr>
              <w:t>大气环境影响分析</w:t>
            </w:r>
          </w:p>
          <w:p w14:paraId="79A9395B">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本项目废气主要为熔炼废气、均质废气、铸造废气、烤包废气、机加废气、铝回收装置废气。污染因子为颗粒物、NOx、SO</w:t>
            </w:r>
            <w:r>
              <w:rPr>
                <w:rFonts w:hint="eastAsia" w:ascii="Times New Roman" w:hAnsi="Times New Roman" w:eastAsia="宋体" w:cs="Times New Roman"/>
                <w:color w:val="auto"/>
                <w:sz w:val="26"/>
                <w:szCs w:val="26"/>
                <w:vertAlign w:val="subscript"/>
                <w:lang w:val="en-US" w:eastAsia="zh-CN"/>
              </w:rPr>
              <w:t>2</w:t>
            </w:r>
            <w:r>
              <w:rPr>
                <w:rFonts w:hint="eastAsia" w:ascii="Times New Roman" w:hAnsi="Times New Roman" w:eastAsia="宋体" w:cs="Times New Roman"/>
                <w:color w:val="auto"/>
                <w:sz w:val="26"/>
                <w:szCs w:val="26"/>
                <w:lang w:val="en-US" w:eastAsia="zh-CN"/>
              </w:rPr>
              <w:t>、HCl、氟化物，废气</w:t>
            </w:r>
            <w:r>
              <w:rPr>
                <w:rFonts w:hint="default" w:ascii="Times New Roman" w:hAnsi="Times New Roman" w:eastAsia="宋体" w:cs="Times New Roman"/>
                <w:color w:val="auto"/>
                <w:sz w:val="26"/>
                <w:szCs w:val="26"/>
                <w:lang w:val="en-US" w:eastAsia="zh-CN"/>
              </w:rPr>
              <w:t>经处理后</w:t>
            </w:r>
            <w:r>
              <w:rPr>
                <w:rFonts w:hint="eastAsia" w:ascii="Times New Roman" w:hAnsi="Times New Roman" w:eastAsia="宋体" w:cs="Times New Roman"/>
                <w:color w:val="auto"/>
                <w:sz w:val="26"/>
                <w:szCs w:val="26"/>
                <w:lang w:val="en-US" w:eastAsia="zh-CN"/>
              </w:rPr>
              <w:t>排放浓度及排放速率均满足《铸造工业大气污染物排放标准》（</w:t>
            </w:r>
            <w:r>
              <w:rPr>
                <w:rFonts w:hint="default" w:ascii="Times New Roman" w:hAnsi="Times New Roman" w:eastAsia="宋体" w:cs="Times New Roman"/>
                <w:color w:val="auto"/>
                <w:sz w:val="26"/>
                <w:szCs w:val="26"/>
                <w:lang w:val="en-US" w:eastAsia="zh-CN"/>
              </w:rPr>
              <w:t>GB 39726</w:t>
            </w:r>
            <w:r>
              <w:rPr>
                <w:rFonts w:hint="eastAsia" w:ascii="Times New Roman" w:hAnsi="Times New Roman" w:eastAsia="宋体"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2020</w:t>
            </w:r>
            <w:r>
              <w:rPr>
                <w:rFonts w:hint="eastAsia" w:ascii="Times New Roman" w:hAnsi="Times New Roman" w:eastAsia="宋体" w:cs="Times New Roman"/>
                <w:color w:val="auto"/>
                <w:sz w:val="26"/>
                <w:szCs w:val="26"/>
                <w:lang w:val="en-US" w:eastAsia="zh-CN"/>
              </w:rPr>
              <w:t>）、重庆市</w:t>
            </w:r>
            <w:r>
              <w:rPr>
                <w:rFonts w:hint="default" w:ascii="Times New Roman" w:hAnsi="Times New Roman" w:eastAsia="宋体" w:cs="Times New Roman"/>
                <w:color w:val="auto"/>
                <w:sz w:val="26"/>
                <w:szCs w:val="26"/>
                <w:lang w:val="en-US" w:eastAsia="zh-CN"/>
              </w:rPr>
              <w:t>地方标准</w:t>
            </w:r>
            <w:r>
              <w:rPr>
                <w:rFonts w:hint="eastAsia" w:ascii="Times New Roman" w:hAnsi="Times New Roman" w:eastAsia="宋体" w:cs="Times New Roman"/>
                <w:color w:val="auto"/>
                <w:sz w:val="26"/>
                <w:szCs w:val="26"/>
                <w:lang w:val="en-US" w:eastAsia="zh-CN"/>
              </w:rPr>
              <w:t>《工业炉窑大气污染物排放标准》（</w:t>
            </w:r>
            <w:r>
              <w:rPr>
                <w:rFonts w:hint="default" w:ascii="Times New Roman" w:hAnsi="Times New Roman" w:eastAsia="宋体" w:cs="Times New Roman"/>
                <w:color w:val="auto"/>
                <w:sz w:val="26"/>
                <w:szCs w:val="26"/>
                <w:lang w:val="en-US" w:eastAsia="zh-CN"/>
              </w:rPr>
              <w:t>DB 50/659-2016</w:t>
            </w:r>
            <w:r>
              <w:rPr>
                <w:rFonts w:hint="eastAsia" w:ascii="Times New Roman" w:hAnsi="Times New Roman" w:eastAsia="宋体"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重庆市地方标准《大气污染物综合排放标准》（DB50/418-2016）</w:t>
            </w:r>
            <w:r>
              <w:rPr>
                <w:rFonts w:hint="eastAsia" w:ascii="Times New Roman" w:hAnsi="Times New Roman" w:eastAsia="宋体" w:cs="Times New Roman"/>
                <w:color w:val="auto"/>
                <w:sz w:val="26"/>
                <w:szCs w:val="26"/>
                <w:lang w:val="en-US" w:eastAsia="zh-CN"/>
              </w:rPr>
              <w:t>及《挥发性有机物无组织排放控制标准》（GB 37822-2019），能够满足达标排放要求，</w:t>
            </w:r>
            <w:r>
              <w:rPr>
                <w:rFonts w:hint="default" w:ascii="Times New Roman" w:hAnsi="Times New Roman" w:eastAsia="宋体" w:cs="Times New Roman"/>
                <w:color w:val="auto"/>
                <w:sz w:val="26"/>
                <w:szCs w:val="26"/>
                <w:lang w:val="en-US" w:eastAsia="zh-CN"/>
              </w:rPr>
              <w:t>对环境空气</w:t>
            </w:r>
            <w:r>
              <w:rPr>
                <w:rFonts w:hint="eastAsia" w:ascii="Times New Roman" w:hAnsi="Times New Roman" w:eastAsia="宋体" w:cs="Times New Roman"/>
                <w:color w:val="auto"/>
                <w:sz w:val="26"/>
                <w:szCs w:val="26"/>
                <w:lang w:val="en-US" w:eastAsia="zh-CN"/>
              </w:rPr>
              <w:t>的</w:t>
            </w:r>
            <w:r>
              <w:rPr>
                <w:rFonts w:hint="default" w:ascii="Times New Roman" w:hAnsi="Times New Roman" w:eastAsia="宋体" w:cs="Times New Roman"/>
                <w:color w:val="auto"/>
                <w:sz w:val="26"/>
                <w:szCs w:val="26"/>
                <w:lang w:val="en-US" w:eastAsia="zh-CN"/>
              </w:rPr>
              <w:t>影响可接受。</w:t>
            </w:r>
          </w:p>
          <w:p w14:paraId="216510A8">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4.2.1.6</w:t>
            </w:r>
            <w:r>
              <w:rPr>
                <w:rFonts w:hint="default" w:ascii="Times New Roman" w:hAnsi="Times New Roman" w:eastAsia="宋体" w:cs="Times New Roman"/>
                <w:b/>
                <w:bCs/>
                <w:color w:val="auto"/>
                <w:sz w:val="26"/>
                <w:szCs w:val="26"/>
                <w:lang w:val="en-US" w:eastAsia="zh-CN"/>
              </w:rPr>
              <w:t>排污口设置及监测要求</w:t>
            </w:r>
          </w:p>
          <w:p w14:paraId="674D9A8B">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Times New Roman" w:hAnsi="Times New Roman" w:eastAsia="宋体" w:cs="Times New Roman"/>
                <w:color w:val="auto"/>
                <w:kern w:val="0"/>
                <w:sz w:val="26"/>
                <w:szCs w:val="26"/>
                <w:highlight w:val="none"/>
                <w:lang w:val="en-US" w:eastAsia="zh-CN"/>
              </w:rPr>
            </w:pPr>
            <w:r>
              <w:rPr>
                <w:rFonts w:hint="default" w:ascii="Times New Roman" w:hAnsi="Times New Roman" w:eastAsia="宋体" w:cs="Times New Roman"/>
                <w:color w:val="auto"/>
                <w:kern w:val="0"/>
                <w:sz w:val="26"/>
                <w:szCs w:val="26"/>
                <w:highlight w:val="none"/>
                <w:lang w:val="en-US" w:eastAsia="zh-CN"/>
              </w:rPr>
              <w:t>根据国家标准《环境保护图形标志》（GB15562.1-1995）排放口（源）、《环境保护图形标志》（GB15562.2-1995）固体废物贮存（处置）场和国家环保总局《排污口规范化整治要求(试行)》及</w:t>
            </w:r>
            <w:r>
              <w:rPr>
                <w:rFonts w:hint="default" w:ascii="Times New Roman" w:hAnsi="Times New Roman" w:eastAsia="宋体" w:cs="Times New Roman"/>
                <w:color w:val="auto"/>
                <w:kern w:val="0"/>
                <w:sz w:val="26"/>
                <w:szCs w:val="26"/>
                <w:lang w:val="en-US" w:eastAsia="zh-CN"/>
              </w:rPr>
              <w:t>《重庆市环境保护局关于印发重庆市排污口规范化清理整治实施方案的通知》（渝</w:t>
            </w:r>
            <w:r>
              <w:rPr>
                <w:rFonts w:hint="default" w:ascii="Times New Roman" w:hAnsi="Times New Roman" w:eastAsia="宋体" w:cs="Times New Roman"/>
                <w:color w:val="auto"/>
                <w:kern w:val="0"/>
                <w:sz w:val="26"/>
                <w:szCs w:val="26"/>
                <w:highlight w:val="none"/>
                <w:lang w:val="en-US" w:eastAsia="zh-CN"/>
              </w:rPr>
              <w:t>环发</w:t>
            </w:r>
            <w:r>
              <w:rPr>
                <w:rFonts w:hint="eastAsia" w:ascii="Times New Roman" w:hAnsi="Times New Roman" w:eastAsia="宋体" w:cs="Times New Roman"/>
                <w:color w:val="auto"/>
                <w:kern w:val="0"/>
                <w:sz w:val="26"/>
                <w:szCs w:val="26"/>
                <w:highlight w:val="none"/>
                <w:lang w:val="en-US" w:eastAsia="zh-CN"/>
              </w:rPr>
              <w:t>〔</w:t>
            </w:r>
            <w:r>
              <w:rPr>
                <w:rFonts w:hint="default" w:ascii="Times New Roman" w:hAnsi="Times New Roman" w:eastAsia="宋体" w:cs="Times New Roman"/>
                <w:color w:val="auto"/>
                <w:kern w:val="0"/>
                <w:sz w:val="26"/>
                <w:szCs w:val="26"/>
                <w:highlight w:val="none"/>
                <w:lang w:val="en-US" w:eastAsia="zh-CN"/>
              </w:rPr>
              <w:t>2012</w:t>
            </w:r>
            <w:r>
              <w:rPr>
                <w:rFonts w:hint="eastAsia" w:ascii="Times New Roman" w:hAnsi="Times New Roman" w:eastAsia="宋体" w:cs="Times New Roman"/>
                <w:color w:val="auto"/>
                <w:kern w:val="0"/>
                <w:sz w:val="26"/>
                <w:szCs w:val="26"/>
                <w:highlight w:val="none"/>
                <w:lang w:val="en-US" w:eastAsia="zh-CN"/>
              </w:rPr>
              <w:t>〕</w:t>
            </w:r>
            <w:r>
              <w:rPr>
                <w:rFonts w:hint="default" w:ascii="Times New Roman" w:hAnsi="Times New Roman" w:eastAsia="宋体" w:cs="Times New Roman"/>
                <w:color w:val="auto"/>
                <w:kern w:val="0"/>
                <w:sz w:val="26"/>
                <w:szCs w:val="26"/>
                <w:highlight w:val="none"/>
                <w:lang w:val="en-US" w:eastAsia="zh-CN"/>
              </w:rPr>
              <w:t>26号）的技术要求，</w:t>
            </w:r>
            <w:r>
              <w:rPr>
                <w:rFonts w:hint="eastAsia" w:ascii="Times New Roman" w:hAnsi="Times New Roman" w:eastAsia="宋体" w:cs="Times New Roman"/>
                <w:color w:val="auto"/>
                <w:kern w:val="0"/>
                <w:sz w:val="26"/>
                <w:szCs w:val="26"/>
                <w:highlight w:val="none"/>
                <w:lang w:val="en-US" w:eastAsia="zh-CN"/>
              </w:rPr>
              <w:t>建设单位</w:t>
            </w:r>
            <w:r>
              <w:rPr>
                <w:rFonts w:hint="default" w:ascii="Times New Roman" w:hAnsi="Times New Roman" w:eastAsia="宋体" w:cs="Times New Roman"/>
                <w:color w:val="auto"/>
                <w:kern w:val="0"/>
                <w:sz w:val="26"/>
                <w:szCs w:val="26"/>
                <w:highlight w:val="none"/>
                <w:lang w:val="en-US" w:eastAsia="zh-CN"/>
              </w:rPr>
              <w:t>所有排放口必须按照“便于采样、便于计量监测、便于日常现场监督检查”的原则和规范化要求，设置排污口标志牌，绘制</w:t>
            </w:r>
            <w:r>
              <w:rPr>
                <w:rFonts w:hint="eastAsia" w:ascii="Times New Roman" w:hAnsi="Times New Roman" w:eastAsia="宋体" w:cs="Times New Roman"/>
                <w:color w:val="auto"/>
                <w:kern w:val="0"/>
                <w:sz w:val="26"/>
                <w:szCs w:val="26"/>
                <w:highlight w:val="none"/>
                <w:lang w:val="en-US" w:eastAsia="zh-CN"/>
              </w:rPr>
              <w:t>建设单位</w:t>
            </w:r>
            <w:r>
              <w:rPr>
                <w:rFonts w:hint="default" w:ascii="Times New Roman" w:hAnsi="Times New Roman" w:eastAsia="宋体" w:cs="Times New Roman"/>
                <w:color w:val="auto"/>
                <w:kern w:val="0"/>
                <w:sz w:val="26"/>
                <w:szCs w:val="26"/>
                <w:highlight w:val="none"/>
                <w:lang w:val="en-US" w:eastAsia="zh-CN"/>
              </w:rPr>
              <w:t>排污口布置图。</w:t>
            </w:r>
          </w:p>
          <w:p w14:paraId="3237A538">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Times New Roman" w:hAnsi="Times New Roman" w:eastAsia="宋体" w:cs="Times New Roman"/>
                <w:color w:val="auto"/>
                <w:kern w:val="0"/>
                <w:sz w:val="26"/>
                <w:szCs w:val="26"/>
                <w:highlight w:val="none"/>
                <w:lang w:val="en-US" w:eastAsia="zh-CN"/>
              </w:rPr>
            </w:pPr>
            <w:r>
              <w:rPr>
                <w:rFonts w:hint="default" w:ascii="Times New Roman" w:hAnsi="Times New Roman" w:eastAsia="宋体" w:cs="Times New Roman"/>
                <w:color w:val="auto"/>
                <w:kern w:val="0"/>
                <w:sz w:val="26"/>
                <w:szCs w:val="26"/>
                <w:highlight w:val="none"/>
                <w:lang w:val="en-US" w:eastAsia="zh-CN"/>
              </w:rPr>
              <w:t>废气排放口设置要求如下：</w:t>
            </w:r>
          </w:p>
          <w:p w14:paraId="55A16DBC">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Times New Roman" w:hAnsi="Times New Roman" w:eastAsia="宋体" w:cs="Times New Roman"/>
                <w:color w:val="auto"/>
                <w:kern w:val="0"/>
                <w:sz w:val="26"/>
                <w:szCs w:val="26"/>
                <w:highlight w:val="none"/>
                <w:lang w:val="en-US" w:eastAsia="zh-CN"/>
              </w:rPr>
            </w:pPr>
            <w:r>
              <w:rPr>
                <w:rFonts w:hint="default" w:ascii="Times New Roman" w:hAnsi="Times New Roman" w:eastAsia="宋体" w:cs="Times New Roman"/>
                <w:color w:val="auto"/>
                <w:kern w:val="0"/>
                <w:sz w:val="26"/>
                <w:szCs w:val="26"/>
                <w:highlight w:val="none"/>
                <w:lang w:val="en-US" w:eastAsia="zh-CN"/>
              </w:rPr>
              <w:t>①所有废气排气筒应修建采样平台，设置监测采样口，采样口的设置应符合《污染源技术规范》要求；采样口必须设置常备电源。</w:t>
            </w:r>
          </w:p>
          <w:p w14:paraId="66544CA9">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Times New Roman" w:hAnsi="Times New Roman" w:eastAsia="宋体" w:cs="Times New Roman"/>
                <w:color w:val="auto"/>
                <w:kern w:val="0"/>
                <w:sz w:val="26"/>
                <w:szCs w:val="26"/>
                <w:highlight w:val="none"/>
                <w:lang w:val="en-US" w:eastAsia="zh-CN"/>
              </w:rPr>
            </w:pPr>
            <w:r>
              <w:rPr>
                <w:rFonts w:hint="default" w:ascii="Times New Roman" w:hAnsi="Times New Roman" w:eastAsia="宋体" w:cs="Times New Roman"/>
                <w:color w:val="auto"/>
                <w:kern w:val="0"/>
                <w:sz w:val="26"/>
                <w:szCs w:val="26"/>
                <w:highlight w:val="none"/>
                <w:lang w:val="en-US" w:eastAsia="zh-CN"/>
              </w:rPr>
              <w:t>②排气筒应设置、注明以下内容：标准编号、污染源名称及型号；排放高度、出口直径；排气量、最大允许排放浓度；排放大气污染物的名称、排放强度（kg/h）和最大允许排放量。</w:t>
            </w:r>
          </w:p>
          <w:p w14:paraId="6DAB69FC">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Times New Roman" w:hAnsi="Times New Roman" w:eastAsia="宋体" w:cs="Times New Roman"/>
                <w:color w:val="auto"/>
                <w:kern w:val="0"/>
                <w:sz w:val="26"/>
                <w:szCs w:val="26"/>
                <w:highlight w:val="none"/>
                <w:lang w:val="en-US" w:eastAsia="zh-CN"/>
              </w:rPr>
            </w:pPr>
            <w:r>
              <w:rPr>
                <w:rFonts w:hint="default" w:ascii="Times New Roman" w:hAnsi="Times New Roman" w:eastAsia="宋体" w:cs="Times New Roman"/>
                <w:color w:val="auto"/>
                <w:kern w:val="0"/>
                <w:sz w:val="26"/>
                <w:szCs w:val="26"/>
                <w:highlight w:val="none"/>
                <w:lang w:val="en-US" w:eastAsia="zh-CN"/>
              </w:rPr>
              <w:t>建设单位委托有资质的监测机构承担日常环境监测，监测的采样分析方法全部按照国家环保总局制定的操作规范进行。</w:t>
            </w:r>
          </w:p>
          <w:p w14:paraId="245D6081">
            <w:pPr>
              <w:keepNext w:val="0"/>
              <w:keepLines w:val="0"/>
              <w:pageBreakBefore w:val="0"/>
              <w:widowControl w:val="0"/>
              <w:kinsoku/>
              <w:wordWrap/>
              <w:overflowPunct/>
              <w:topLinePunct w:val="0"/>
              <w:autoSpaceDE/>
              <w:autoSpaceDN/>
              <w:bidi w:val="0"/>
              <w:spacing w:line="460" w:lineRule="exact"/>
              <w:ind w:firstLine="520" w:firstLineChars="200"/>
              <w:textAlignment w:val="auto"/>
              <w:rPr>
                <w:rFonts w:hint="default"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sz w:val="26"/>
                <w:szCs w:val="26"/>
                <w:highlight w:val="none"/>
                <w:lang w:val="en-US" w:eastAsia="zh-CN"/>
              </w:rPr>
              <w:t>根据</w:t>
            </w:r>
            <w:r>
              <w:rPr>
                <w:rFonts w:hint="eastAsia" w:ascii="Times New Roman" w:hAnsi="Times New Roman" w:eastAsia="宋体"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 xml:space="preserve">排污许可证申请与核发技术规范 </w:t>
            </w:r>
            <w:r>
              <w:rPr>
                <w:rFonts w:hint="eastAsia" w:ascii="Times New Roman" w:hAnsi="Times New Roman" w:eastAsia="宋体" w:cs="Times New Roman"/>
                <w:color w:val="auto"/>
                <w:sz w:val="26"/>
                <w:szCs w:val="26"/>
                <w:lang w:val="en-US" w:eastAsia="zh-CN"/>
              </w:rPr>
              <w:t>工业炉窑》（</w:t>
            </w:r>
            <w:r>
              <w:rPr>
                <w:rFonts w:hint="default" w:ascii="Times New Roman" w:hAnsi="Times New Roman" w:eastAsia="宋体" w:cs="Times New Roman"/>
                <w:color w:val="auto"/>
                <w:sz w:val="26"/>
                <w:szCs w:val="26"/>
                <w:lang w:val="en-US" w:eastAsia="zh-CN"/>
              </w:rPr>
              <w:t>HJ1121—2020</w:t>
            </w:r>
            <w:r>
              <w:rPr>
                <w:rFonts w:hint="eastAsia" w:ascii="Times New Roman" w:hAnsi="Times New Roman" w:eastAsia="宋体" w:cs="Times New Roman"/>
                <w:color w:val="auto"/>
                <w:sz w:val="26"/>
                <w:szCs w:val="26"/>
                <w:lang w:val="en-US" w:eastAsia="zh-CN"/>
              </w:rPr>
              <w:t>），</w:t>
            </w:r>
            <w:r>
              <w:rPr>
                <w:rFonts w:hint="eastAsia" w:ascii="Times New Roman" w:hAnsi="Times New Roman" w:eastAsia="宋体" w:cs="Times New Roman"/>
                <w:color w:val="auto"/>
                <w:kern w:val="0"/>
                <w:sz w:val="26"/>
                <w:szCs w:val="26"/>
                <w:lang w:val="en-US" w:eastAsia="zh-CN"/>
              </w:rPr>
              <w:t>主要排放</w:t>
            </w:r>
            <w:r>
              <w:rPr>
                <w:rFonts w:hint="eastAsia" w:ascii="Times New Roman" w:hAnsi="Times New Roman" w:eastAsia="宋体" w:cs="Times New Roman"/>
                <w:color w:val="auto"/>
                <w:kern w:val="0"/>
                <w:sz w:val="26"/>
                <w:szCs w:val="26"/>
                <w:highlight w:val="none"/>
                <w:lang w:val="en-US" w:eastAsia="zh-CN"/>
              </w:rPr>
              <w:t>口重点区域监</w:t>
            </w:r>
            <w:r>
              <w:rPr>
                <w:rFonts w:hint="eastAsia" w:ascii="Times New Roman" w:hAnsi="Times New Roman" w:eastAsia="宋体" w:cs="Times New Roman"/>
                <w:color w:val="auto"/>
                <w:kern w:val="0"/>
                <w:sz w:val="26"/>
                <w:szCs w:val="26"/>
                <w:lang w:val="en-US" w:eastAsia="zh-CN"/>
              </w:rPr>
              <w:t>测因子颗粒物、二氧化硫及氮氧化物监测频次为1次/月</w:t>
            </w:r>
            <w:r>
              <w:rPr>
                <w:rFonts w:hint="default" w:ascii="Times New Roman" w:hAnsi="Times New Roman" w:eastAsia="宋体" w:cs="Times New Roman"/>
                <w:color w:val="auto"/>
                <w:kern w:val="0"/>
                <w:sz w:val="26"/>
                <w:szCs w:val="26"/>
                <w:lang w:val="en-US" w:eastAsia="zh-CN"/>
              </w:rPr>
              <w:t>，</w:t>
            </w:r>
            <w:r>
              <w:rPr>
                <w:rFonts w:hint="eastAsia" w:ascii="Times New Roman" w:hAnsi="Times New Roman" w:eastAsia="宋体" w:cs="Times New Roman"/>
                <w:color w:val="auto"/>
                <w:kern w:val="0"/>
                <w:sz w:val="26"/>
                <w:szCs w:val="26"/>
                <w:lang w:val="en-US" w:eastAsia="zh-CN"/>
              </w:rPr>
              <w:t>监测因子HCl、氟化物监测频次为1次/半年，其余因子按照《</w:t>
            </w:r>
            <w:r>
              <w:rPr>
                <w:rFonts w:hint="default" w:ascii="Times New Roman" w:hAnsi="Times New Roman" w:eastAsia="宋体" w:cs="Times New Roman"/>
                <w:color w:val="auto"/>
                <w:kern w:val="0"/>
                <w:sz w:val="26"/>
                <w:szCs w:val="26"/>
                <w:lang w:val="en-US" w:eastAsia="zh-CN"/>
              </w:rPr>
              <w:t xml:space="preserve">排污单位自行监测技术指南 </w:t>
            </w:r>
            <w:r>
              <w:rPr>
                <w:rFonts w:hint="eastAsia" w:ascii="Times New Roman" w:hAnsi="Times New Roman" w:eastAsia="宋体" w:cs="Times New Roman"/>
                <w:color w:val="auto"/>
                <w:kern w:val="0"/>
                <w:sz w:val="26"/>
                <w:szCs w:val="26"/>
                <w:lang w:val="en-US" w:eastAsia="zh-CN"/>
              </w:rPr>
              <w:t>总则》（HJ819-2017）执行。为从严管理并结合现有监测计划，本项目</w:t>
            </w:r>
            <w:r>
              <w:rPr>
                <w:rFonts w:hint="default" w:ascii="Times New Roman" w:hAnsi="Times New Roman" w:eastAsia="宋体" w:cs="Times New Roman"/>
                <w:color w:val="auto"/>
                <w:kern w:val="0"/>
                <w:sz w:val="26"/>
                <w:szCs w:val="26"/>
                <w:lang w:val="en-US" w:eastAsia="zh-CN"/>
              </w:rPr>
              <w:t>环境监测计划详见</w:t>
            </w:r>
            <w:r>
              <w:rPr>
                <w:rFonts w:hint="eastAsia" w:ascii="Times New Roman" w:hAnsi="Times New Roman" w:eastAsia="宋体" w:cs="Times New Roman"/>
                <w:color w:val="auto"/>
                <w:kern w:val="0"/>
                <w:sz w:val="26"/>
                <w:szCs w:val="26"/>
                <w:lang w:val="en-US" w:eastAsia="zh-CN"/>
              </w:rPr>
              <w:t>下表</w:t>
            </w:r>
            <w:r>
              <w:rPr>
                <w:rFonts w:hint="default" w:ascii="Times New Roman" w:hAnsi="Times New Roman" w:eastAsia="宋体" w:cs="Times New Roman"/>
                <w:color w:val="auto"/>
                <w:kern w:val="0"/>
                <w:sz w:val="26"/>
                <w:szCs w:val="26"/>
                <w:lang w:val="en-US" w:eastAsia="zh-CN"/>
              </w:rPr>
              <w:t>。</w:t>
            </w:r>
          </w:p>
          <w:p w14:paraId="5882A0ED">
            <w:pPr>
              <w:autoSpaceDE w:val="0"/>
              <w:autoSpaceDN w:val="0"/>
              <w:adjustRightInd w:val="0"/>
              <w:spacing w:line="460" w:lineRule="exact"/>
              <w:jc w:val="center"/>
              <w:rPr>
                <w:rFonts w:hint="default" w:ascii="Times New Roman" w:hAnsi="Times New Roman" w:eastAsia="宋体" w:cs="Times New Roman"/>
                <w:b/>
                <w:bCs w:val="0"/>
                <w:color w:val="auto"/>
                <w:sz w:val="26"/>
                <w:szCs w:val="26"/>
                <w:lang w:val="en-US" w:eastAsia="zh-CN"/>
              </w:rPr>
            </w:pPr>
            <w:r>
              <w:rPr>
                <w:rFonts w:hint="default" w:ascii="Times New Roman" w:hAnsi="Times New Roman" w:eastAsia="宋体" w:cs="Times New Roman"/>
                <w:b/>
                <w:bCs w:val="0"/>
                <w:color w:val="auto"/>
                <w:sz w:val="26"/>
                <w:szCs w:val="26"/>
                <w:lang w:val="en-US" w:eastAsia="zh-CN"/>
              </w:rPr>
              <w:t>表</w:t>
            </w:r>
            <w:r>
              <w:rPr>
                <w:rFonts w:hint="eastAsia" w:ascii="Times New Roman" w:hAnsi="Times New Roman" w:eastAsia="宋体" w:cs="Times New Roman"/>
                <w:b/>
                <w:bCs w:val="0"/>
                <w:color w:val="auto"/>
                <w:sz w:val="26"/>
                <w:szCs w:val="26"/>
                <w:lang w:val="en-US" w:eastAsia="zh-CN"/>
              </w:rPr>
              <w:t>4.2-16</w:t>
            </w:r>
            <w:r>
              <w:rPr>
                <w:rFonts w:hint="default" w:ascii="Times New Roman" w:hAnsi="Times New Roman" w:eastAsia="宋体" w:cs="Times New Roman"/>
                <w:b/>
                <w:bCs w:val="0"/>
                <w:color w:val="auto"/>
                <w:sz w:val="26"/>
                <w:szCs w:val="26"/>
                <w:lang w:val="en-US" w:eastAsia="zh-CN"/>
              </w:rPr>
              <w:t xml:space="preserve">  营运期</w:t>
            </w:r>
            <w:r>
              <w:rPr>
                <w:rFonts w:hint="eastAsia" w:ascii="Times New Roman" w:hAnsi="Times New Roman" w:eastAsia="宋体" w:cs="Times New Roman"/>
                <w:b/>
                <w:bCs w:val="0"/>
                <w:color w:val="auto"/>
                <w:sz w:val="26"/>
                <w:szCs w:val="26"/>
                <w:lang w:val="en-US" w:eastAsia="zh-CN"/>
              </w:rPr>
              <w:t>废气</w:t>
            </w:r>
            <w:r>
              <w:rPr>
                <w:rFonts w:hint="default" w:ascii="Times New Roman" w:hAnsi="Times New Roman" w:eastAsia="宋体" w:cs="Times New Roman"/>
                <w:b/>
                <w:bCs w:val="0"/>
                <w:color w:val="auto"/>
                <w:sz w:val="26"/>
                <w:szCs w:val="26"/>
                <w:lang w:val="en-US" w:eastAsia="zh-CN"/>
              </w:rPr>
              <w:t>污染源监测计划一览表</w:t>
            </w:r>
          </w:p>
          <w:tbl>
            <w:tblPr>
              <w:tblStyle w:val="26"/>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417"/>
              <w:gridCol w:w="2915"/>
              <w:gridCol w:w="1081"/>
              <w:gridCol w:w="1520"/>
            </w:tblGrid>
            <w:tr w14:paraId="6156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noWrap w:val="0"/>
                  <w:vAlign w:val="center"/>
                </w:tcPr>
                <w:p w14:paraId="738FE905">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监测项目</w:t>
                  </w:r>
                </w:p>
              </w:tc>
              <w:tc>
                <w:tcPr>
                  <w:tcW w:w="1417" w:type="dxa"/>
                  <w:noWrap w:val="0"/>
                  <w:vAlign w:val="center"/>
                </w:tcPr>
                <w:p w14:paraId="63C006E0">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监测位置</w:t>
                  </w:r>
                </w:p>
              </w:tc>
              <w:tc>
                <w:tcPr>
                  <w:tcW w:w="2915" w:type="dxa"/>
                  <w:noWrap w:val="0"/>
                  <w:vAlign w:val="center"/>
                </w:tcPr>
                <w:p w14:paraId="085D08E4">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监测因子</w:t>
                  </w:r>
                </w:p>
              </w:tc>
              <w:tc>
                <w:tcPr>
                  <w:tcW w:w="1081" w:type="dxa"/>
                  <w:noWrap w:val="0"/>
                  <w:vAlign w:val="center"/>
                </w:tcPr>
                <w:p w14:paraId="4AA5FD9D">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验收监测</w:t>
                  </w:r>
                </w:p>
              </w:tc>
              <w:tc>
                <w:tcPr>
                  <w:tcW w:w="1520" w:type="dxa"/>
                  <w:noWrap w:val="0"/>
                  <w:vAlign w:val="center"/>
                </w:tcPr>
                <w:p w14:paraId="0D9062D3">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自行监测频次</w:t>
                  </w:r>
                </w:p>
              </w:tc>
            </w:tr>
            <w:tr w14:paraId="1E20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restart"/>
                  <w:noWrap w:val="0"/>
                  <w:vAlign w:val="center"/>
                </w:tcPr>
                <w:p w14:paraId="2A0909A8">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有组织废气</w:t>
                  </w:r>
                </w:p>
              </w:tc>
              <w:tc>
                <w:tcPr>
                  <w:tcW w:w="1417" w:type="dxa"/>
                  <w:vMerge w:val="restart"/>
                  <w:noWrap w:val="0"/>
                  <w:vAlign w:val="center"/>
                </w:tcPr>
                <w:p w14:paraId="1AD2372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bCs/>
                      <w:color w:val="auto"/>
                      <w:sz w:val="22"/>
                      <w:szCs w:val="22"/>
                      <w:highlight w:val="none"/>
                      <w:vertAlign w:val="baseline"/>
                      <w:lang w:val="en-US" w:eastAsia="zh-CN"/>
                    </w:rPr>
                    <w:t>DA002排气筒</w:t>
                  </w:r>
                </w:p>
              </w:tc>
              <w:tc>
                <w:tcPr>
                  <w:tcW w:w="2915" w:type="dxa"/>
                  <w:noWrap w:val="0"/>
                  <w:vAlign w:val="center"/>
                </w:tcPr>
                <w:p w14:paraId="04C057DA">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kern w:val="0"/>
                      <w:sz w:val="22"/>
                      <w:szCs w:val="22"/>
                      <w:vertAlign w:val="baseline"/>
                      <w:lang w:val="en-US" w:eastAsia="zh-CN"/>
                    </w:rPr>
                    <w:t>颗粒物、NOx、SO</w:t>
                  </w:r>
                  <w:r>
                    <w:rPr>
                      <w:rFonts w:hint="default" w:ascii="Times New Roman" w:hAnsi="Times New Roman" w:eastAsia="宋体" w:cs="Times New Roman"/>
                      <w:color w:val="auto"/>
                      <w:kern w:val="0"/>
                      <w:sz w:val="22"/>
                      <w:szCs w:val="22"/>
                      <w:vertAlign w:val="subscript"/>
                      <w:lang w:val="en-US" w:eastAsia="zh-CN"/>
                    </w:rPr>
                    <w:t>2</w:t>
                  </w:r>
                </w:p>
              </w:tc>
              <w:tc>
                <w:tcPr>
                  <w:tcW w:w="1081" w:type="dxa"/>
                  <w:vMerge w:val="restart"/>
                  <w:noWrap w:val="0"/>
                  <w:vAlign w:val="center"/>
                </w:tcPr>
                <w:p w14:paraId="506717D4">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1次</w:t>
                  </w:r>
                </w:p>
              </w:tc>
              <w:tc>
                <w:tcPr>
                  <w:tcW w:w="1520" w:type="dxa"/>
                  <w:noWrap w:val="0"/>
                  <w:vAlign w:val="center"/>
                </w:tcPr>
                <w:p w14:paraId="16405564">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lang w:eastAsia="zh-CN"/>
                    </w:rPr>
                  </w:pPr>
                  <w:r>
                    <w:rPr>
                      <w:rFonts w:hint="default" w:ascii="Times New Roman" w:hAnsi="Times New Roman" w:eastAsia="宋体" w:cs="Times New Roman"/>
                      <w:color w:val="auto"/>
                      <w:sz w:val="22"/>
                      <w:szCs w:val="22"/>
                      <w:highlight w:val="none"/>
                    </w:rPr>
                    <w:t>1次/</w:t>
                  </w:r>
                  <w:r>
                    <w:rPr>
                      <w:rFonts w:hint="default" w:ascii="Times New Roman" w:hAnsi="Times New Roman" w:eastAsia="宋体" w:cs="Times New Roman"/>
                      <w:color w:val="auto"/>
                      <w:sz w:val="22"/>
                      <w:szCs w:val="22"/>
                      <w:highlight w:val="none"/>
                      <w:lang w:eastAsia="zh-CN"/>
                    </w:rPr>
                    <w:t>月</w:t>
                  </w:r>
                </w:p>
              </w:tc>
            </w:tr>
            <w:tr w14:paraId="58FE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noWrap w:val="0"/>
                  <w:vAlign w:val="center"/>
                </w:tcPr>
                <w:p w14:paraId="4E90D8BB">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rPr>
                  </w:pPr>
                </w:p>
              </w:tc>
              <w:tc>
                <w:tcPr>
                  <w:tcW w:w="1417" w:type="dxa"/>
                  <w:vMerge w:val="continue"/>
                  <w:noWrap w:val="0"/>
                  <w:vAlign w:val="center"/>
                </w:tcPr>
                <w:p w14:paraId="3F8B2E6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p>
              </w:tc>
              <w:tc>
                <w:tcPr>
                  <w:tcW w:w="2915" w:type="dxa"/>
                  <w:noWrap w:val="0"/>
                  <w:vAlign w:val="center"/>
                </w:tcPr>
                <w:p w14:paraId="2D5D69E9">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default" w:ascii="Times New Roman" w:hAnsi="Times New Roman" w:eastAsia="宋体" w:cs="Times New Roman"/>
                      <w:color w:val="auto"/>
                      <w:kern w:val="0"/>
                      <w:sz w:val="22"/>
                      <w:szCs w:val="22"/>
                      <w:vertAlign w:val="baseline"/>
                      <w:lang w:val="en-US" w:eastAsia="zh-CN"/>
                    </w:rPr>
                    <w:t>HCl、氟化物、铍及其化合物、铅及其化合物</w:t>
                  </w:r>
                </w:p>
              </w:tc>
              <w:tc>
                <w:tcPr>
                  <w:tcW w:w="1081" w:type="dxa"/>
                  <w:vMerge w:val="continue"/>
                  <w:noWrap w:val="0"/>
                  <w:vAlign w:val="center"/>
                </w:tcPr>
                <w:p w14:paraId="72E451D2">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rPr>
                  </w:pPr>
                </w:p>
              </w:tc>
              <w:tc>
                <w:tcPr>
                  <w:tcW w:w="1520" w:type="dxa"/>
                  <w:noWrap w:val="0"/>
                  <w:vAlign w:val="center"/>
                </w:tcPr>
                <w:p w14:paraId="41CBD87E">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lang w:eastAsia="zh-CN"/>
                    </w:rPr>
                  </w:pPr>
                  <w:r>
                    <w:rPr>
                      <w:rFonts w:hint="default" w:ascii="Times New Roman" w:hAnsi="Times New Roman" w:eastAsia="宋体" w:cs="Times New Roman"/>
                      <w:color w:val="auto"/>
                      <w:sz w:val="22"/>
                      <w:szCs w:val="22"/>
                      <w:highlight w:val="none"/>
                    </w:rPr>
                    <w:t>1次/</w:t>
                  </w:r>
                  <w:r>
                    <w:rPr>
                      <w:rFonts w:hint="default" w:ascii="Times New Roman" w:hAnsi="Times New Roman" w:eastAsia="宋体" w:cs="Times New Roman"/>
                      <w:color w:val="auto"/>
                      <w:sz w:val="22"/>
                      <w:szCs w:val="22"/>
                      <w:highlight w:val="none"/>
                      <w:lang w:eastAsia="zh-CN"/>
                    </w:rPr>
                    <w:t>半年</w:t>
                  </w:r>
                </w:p>
              </w:tc>
            </w:tr>
            <w:tr w14:paraId="50F3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noWrap w:val="0"/>
                  <w:vAlign w:val="center"/>
                </w:tcPr>
                <w:p w14:paraId="13E1D7DD">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rPr>
                  </w:pPr>
                </w:p>
              </w:tc>
              <w:tc>
                <w:tcPr>
                  <w:tcW w:w="1417" w:type="dxa"/>
                  <w:noWrap w:val="0"/>
                  <w:vAlign w:val="center"/>
                </w:tcPr>
                <w:p w14:paraId="2A88F34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Cs/>
                      <w:color w:val="auto"/>
                      <w:sz w:val="22"/>
                      <w:szCs w:val="22"/>
                      <w:highlight w:val="none"/>
                      <w:vertAlign w:val="baseline"/>
                      <w:lang w:val="en-US" w:eastAsia="zh-CN"/>
                    </w:rPr>
                  </w:pPr>
                  <w:r>
                    <w:rPr>
                      <w:rFonts w:hint="eastAsia" w:ascii="Times New Roman" w:hAnsi="Times New Roman" w:eastAsia="宋体" w:cs="Times New Roman"/>
                      <w:bCs/>
                      <w:color w:val="auto"/>
                      <w:sz w:val="22"/>
                      <w:szCs w:val="22"/>
                      <w:highlight w:val="none"/>
                      <w:vertAlign w:val="baseline"/>
                      <w:lang w:val="en-US" w:eastAsia="zh-CN"/>
                    </w:rPr>
                    <w:t>DA003排气筒</w:t>
                  </w:r>
                </w:p>
              </w:tc>
              <w:tc>
                <w:tcPr>
                  <w:tcW w:w="2915" w:type="dxa"/>
                  <w:noWrap w:val="0"/>
                  <w:vAlign w:val="center"/>
                </w:tcPr>
                <w:p w14:paraId="609C8E55">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颗粒物、</w:t>
                  </w:r>
                  <w:r>
                    <w:rPr>
                      <w:rFonts w:hint="default" w:ascii="Times New Roman" w:hAnsi="Times New Roman" w:eastAsia="宋体" w:cs="Times New Roman"/>
                      <w:color w:val="auto"/>
                      <w:kern w:val="0"/>
                      <w:sz w:val="22"/>
                      <w:szCs w:val="22"/>
                      <w:highlight w:val="none"/>
                      <w:vertAlign w:val="baseline"/>
                      <w:lang w:val="en-US" w:eastAsia="zh-CN"/>
                    </w:rPr>
                    <w:t>HCl、氟化物</w:t>
                  </w:r>
                </w:p>
              </w:tc>
              <w:tc>
                <w:tcPr>
                  <w:tcW w:w="1081" w:type="dxa"/>
                  <w:noWrap w:val="0"/>
                  <w:vAlign w:val="center"/>
                </w:tcPr>
                <w:p w14:paraId="0DEB06CE">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1次</w:t>
                  </w:r>
                </w:p>
              </w:tc>
              <w:tc>
                <w:tcPr>
                  <w:tcW w:w="1520" w:type="dxa"/>
                  <w:noWrap w:val="0"/>
                  <w:vAlign w:val="center"/>
                </w:tcPr>
                <w:p w14:paraId="4AEAA6AA">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1次/年</w:t>
                  </w:r>
                </w:p>
              </w:tc>
            </w:tr>
            <w:tr w14:paraId="559C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noWrap w:val="0"/>
                  <w:vAlign w:val="center"/>
                </w:tcPr>
                <w:p w14:paraId="05697488">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rPr>
                  </w:pPr>
                </w:p>
              </w:tc>
              <w:tc>
                <w:tcPr>
                  <w:tcW w:w="1417" w:type="dxa"/>
                  <w:noWrap w:val="0"/>
                  <w:vAlign w:val="center"/>
                </w:tcPr>
                <w:p w14:paraId="6A0B7E0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bCs/>
                      <w:color w:val="auto"/>
                      <w:sz w:val="22"/>
                      <w:szCs w:val="22"/>
                      <w:highlight w:val="none"/>
                      <w:vertAlign w:val="baseline"/>
                      <w:lang w:val="en-US" w:eastAsia="zh-CN"/>
                    </w:rPr>
                    <w:t>DA004排气筒</w:t>
                  </w:r>
                </w:p>
              </w:tc>
              <w:tc>
                <w:tcPr>
                  <w:tcW w:w="2915" w:type="dxa"/>
                  <w:noWrap w:val="0"/>
                  <w:vAlign w:val="center"/>
                </w:tcPr>
                <w:p w14:paraId="69FC85DB">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kern w:val="0"/>
                      <w:sz w:val="22"/>
                      <w:szCs w:val="22"/>
                      <w:highlight w:val="none"/>
                      <w:vertAlign w:val="baseline"/>
                      <w:lang w:val="en-US" w:eastAsia="zh-CN"/>
                    </w:rPr>
                    <w:t>颗粒物、NOx、SO</w:t>
                  </w:r>
                  <w:r>
                    <w:rPr>
                      <w:rFonts w:hint="default" w:ascii="Times New Roman" w:hAnsi="Times New Roman" w:eastAsia="宋体" w:cs="Times New Roman"/>
                      <w:color w:val="auto"/>
                      <w:kern w:val="0"/>
                      <w:sz w:val="22"/>
                      <w:szCs w:val="22"/>
                      <w:highlight w:val="none"/>
                      <w:vertAlign w:val="subscript"/>
                      <w:lang w:val="en-US" w:eastAsia="zh-CN"/>
                    </w:rPr>
                    <w:t>2</w:t>
                  </w:r>
                </w:p>
              </w:tc>
              <w:tc>
                <w:tcPr>
                  <w:tcW w:w="1081" w:type="dxa"/>
                  <w:noWrap w:val="0"/>
                  <w:vAlign w:val="center"/>
                </w:tcPr>
                <w:p w14:paraId="0B09F8B6">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1次</w:t>
                  </w:r>
                </w:p>
              </w:tc>
              <w:tc>
                <w:tcPr>
                  <w:tcW w:w="1520" w:type="dxa"/>
                  <w:noWrap w:val="0"/>
                  <w:vAlign w:val="center"/>
                </w:tcPr>
                <w:p w14:paraId="4F417100">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1次/</w:t>
                  </w:r>
                  <w:r>
                    <w:rPr>
                      <w:rFonts w:hint="default" w:ascii="Times New Roman" w:hAnsi="Times New Roman" w:eastAsia="宋体" w:cs="Times New Roman"/>
                      <w:color w:val="auto"/>
                      <w:sz w:val="22"/>
                      <w:szCs w:val="22"/>
                      <w:highlight w:val="none"/>
                      <w:lang w:eastAsia="zh-CN"/>
                    </w:rPr>
                    <w:t>月</w:t>
                  </w:r>
                </w:p>
              </w:tc>
            </w:tr>
            <w:tr w14:paraId="3A0B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restart"/>
                  <w:noWrap w:val="0"/>
                  <w:vAlign w:val="center"/>
                </w:tcPr>
                <w:p w14:paraId="701B81ED">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无组织废气</w:t>
                  </w:r>
                </w:p>
              </w:tc>
              <w:tc>
                <w:tcPr>
                  <w:tcW w:w="1417" w:type="dxa"/>
                  <w:vMerge w:val="restart"/>
                  <w:noWrap w:val="0"/>
                  <w:vAlign w:val="center"/>
                </w:tcPr>
                <w:p w14:paraId="1A91909C">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厂界</w:t>
                  </w:r>
                </w:p>
              </w:tc>
              <w:tc>
                <w:tcPr>
                  <w:tcW w:w="2915" w:type="dxa"/>
                  <w:noWrap w:val="0"/>
                  <w:vAlign w:val="center"/>
                </w:tcPr>
                <w:p w14:paraId="203A9146">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kern w:val="0"/>
                      <w:sz w:val="22"/>
                      <w:szCs w:val="22"/>
                      <w:highlight w:val="none"/>
                      <w:vertAlign w:val="baseline"/>
                      <w:lang w:val="en-US" w:eastAsia="zh-CN"/>
                    </w:rPr>
                    <w:t>颗粒物</w:t>
                  </w:r>
                </w:p>
              </w:tc>
              <w:tc>
                <w:tcPr>
                  <w:tcW w:w="1081" w:type="dxa"/>
                  <w:noWrap w:val="0"/>
                  <w:vAlign w:val="center"/>
                </w:tcPr>
                <w:p w14:paraId="1847ECDF">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1次</w:t>
                  </w:r>
                </w:p>
              </w:tc>
              <w:tc>
                <w:tcPr>
                  <w:tcW w:w="1520" w:type="dxa"/>
                  <w:noWrap w:val="0"/>
                  <w:vAlign w:val="center"/>
                </w:tcPr>
                <w:p w14:paraId="6929C374">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1次/</w:t>
                  </w:r>
                  <w:r>
                    <w:rPr>
                      <w:rFonts w:hint="default" w:ascii="Times New Roman" w:hAnsi="Times New Roman" w:eastAsia="宋体" w:cs="Times New Roman"/>
                      <w:color w:val="auto"/>
                      <w:sz w:val="22"/>
                      <w:szCs w:val="22"/>
                      <w:highlight w:val="none"/>
                      <w:lang w:eastAsia="zh-CN"/>
                    </w:rPr>
                    <w:t>半</w:t>
                  </w:r>
                  <w:r>
                    <w:rPr>
                      <w:rFonts w:hint="default" w:ascii="Times New Roman" w:hAnsi="Times New Roman" w:eastAsia="宋体" w:cs="Times New Roman"/>
                      <w:color w:val="auto"/>
                      <w:sz w:val="22"/>
                      <w:szCs w:val="22"/>
                      <w:highlight w:val="none"/>
                    </w:rPr>
                    <w:t>年</w:t>
                  </w:r>
                </w:p>
              </w:tc>
            </w:tr>
            <w:tr w14:paraId="7CED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noWrap w:val="0"/>
                  <w:vAlign w:val="center"/>
                </w:tcPr>
                <w:p w14:paraId="12389FA0">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rPr>
                  </w:pPr>
                </w:p>
              </w:tc>
              <w:tc>
                <w:tcPr>
                  <w:tcW w:w="1417" w:type="dxa"/>
                  <w:vMerge w:val="continue"/>
                  <w:noWrap w:val="0"/>
                  <w:vAlign w:val="center"/>
                </w:tcPr>
                <w:p w14:paraId="09780115">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rPr>
                  </w:pPr>
                </w:p>
              </w:tc>
              <w:tc>
                <w:tcPr>
                  <w:tcW w:w="2915" w:type="dxa"/>
                  <w:noWrap w:val="0"/>
                  <w:vAlign w:val="center"/>
                </w:tcPr>
                <w:p w14:paraId="608823F5">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kern w:val="0"/>
                      <w:sz w:val="22"/>
                      <w:szCs w:val="22"/>
                      <w:highlight w:val="none"/>
                      <w:vertAlign w:val="baseline"/>
                      <w:lang w:val="en-US" w:eastAsia="zh-CN"/>
                    </w:rPr>
                  </w:pPr>
                  <w:r>
                    <w:rPr>
                      <w:rFonts w:hint="default" w:ascii="Times New Roman" w:hAnsi="Times New Roman" w:eastAsia="宋体" w:cs="Times New Roman"/>
                      <w:color w:val="auto"/>
                      <w:kern w:val="0"/>
                      <w:sz w:val="22"/>
                      <w:szCs w:val="22"/>
                      <w:highlight w:val="none"/>
                      <w:vertAlign w:val="baseline"/>
                      <w:lang w:val="en-US" w:eastAsia="zh-CN"/>
                    </w:rPr>
                    <w:t>NOx、SO</w:t>
                  </w:r>
                  <w:r>
                    <w:rPr>
                      <w:rFonts w:hint="default" w:ascii="Times New Roman" w:hAnsi="Times New Roman" w:eastAsia="宋体" w:cs="Times New Roman"/>
                      <w:color w:val="auto"/>
                      <w:kern w:val="0"/>
                      <w:sz w:val="22"/>
                      <w:szCs w:val="22"/>
                      <w:highlight w:val="none"/>
                      <w:vertAlign w:val="subscript"/>
                      <w:lang w:val="en-US" w:eastAsia="zh-CN"/>
                    </w:rPr>
                    <w:t>2</w:t>
                  </w:r>
                  <w:r>
                    <w:rPr>
                      <w:rFonts w:hint="default" w:ascii="Times New Roman" w:hAnsi="Times New Roman" w:eastAsia="宋体" w:cs="Times New Roman"/>
                      <w:color w:val="auto"/>
                      <w:kern w:val="0"/>
                      <w:sz w:val="22"/>
                      <w:szCs w:val="22"/>
                      <w:highlight w:val="none"/>
                      <w:vertAlign w:val="baseline"/>
                      <w:lang w:val="en-US" w:eastAsia="zh-CN"/>
                    </w:rPr>
                    <w:t>、HCl、氟化物、非甲烷总烃</w:t>
                  </w:r>
                </w:p>
              </w:tc>
              <w:tc>
                <w:tcPr>
                  <w:tcW w:w="1081" w:type="dxa"/>
                  <w:noWrap w:val="0"/>
                  <w:vAlign w:val="center"/>
                </w:tcPr>
                <w:p w14:paraId="56FB72B2">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1次</w:t>
                  </w:r>
                </w:p>
              </w:tc>
              <w:tc>
                <w:tcPr>
                  <w:tcW w:w="1520" w:type="dxa"/>
                  <w:noWrap w:val="0"/>
                  <w:vAlign w:val="center"/>
                </w:tcPr>
                <w:p w14:paraId="78F0790B">
                  <w:pPr>
                    <w:pStyle w:val="67"/>
                    <w:keepNext w:val="0"/>
                    <w:keepLines w:val="0"/>
                    <w:pageBreakBefore w:val="0"/>
                    <w:widowControl w:val="0"/>
                    <w:tabs>
                      <w:tab w:val="left" w:pos="2550"/>
                      <w:tab w:val="left" w:pos="2975"/>
                      <w:tab w:val="center" w:pos="4573"/>
                      <w:tab w:val="left" w:pos="4675"/>
                      <w:tab w:val="left" w:pos="5950"/>
                    </w:tabs>
                    <w:kinsoku/>
                    <w:wordWrap/>
                    <w:overflowPunct/>
                    <w:topLinePunct w:val="0"/>
                    <w:bidi w:val="0"/>
                    <w:snapToGrid/>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1次/年</w:t>
                  </w:r>
                </w:p>
              </w:tc>
            </w:tr>
          </w:tbl>
          <w:p w14:paraId="68E2267D">
            <w:pPr>
              <w:adjustRightInd w:val="0"/>
              <w:snapToGrid w:val="0"/>
              <w:spacing w:line="240" w:lineRule="auto"/>
              <w:rPr>
                <w:rFonts w:hint="default" w:ascii="Times New Roman" w:hAnsi="Times New Roman" w:eastAsia="宋体" w:cs="Times New Roman"/>
                <w:b/>
                <w:bCs w:val="0"/>
                <w:color w:val="auto"/>
                <w:sz w:val="26"/>
                <w:szCs w:val="26"/>
                <w:lang w:val="en-US" w:eastAsia="zh-CN"/>
              </w:rPr>
            </w:pPr>
            <w:r>
              <w:rPr>
                <w:rFonts w:hint="eastAsia" w:ascii="Times New Roman" w:hAnsi="Times New Roman" w:eastAsia="宋体" w:cs="Times New Roman"/>
                <w:bCs/>
                <w:color w:val="auto"/>
                <w:sz w:val="22"/>
                <w:szCs w:val="22"/>
                <w:highlight w:val="none"/>
                <w:vertAlign w:val="baseline"/>
                <w:lang w:val="en-US" w:eastAsia="zh-CN"/>
              </w:rPr>
              <w:t>注：铍及其化合物、铅及其化合物按照九龙坡区总量科现行管理要求补充</w:t>
            </w:r>
          </w:p>
          <w:p w14:paraId="124B4E02">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default" w:ascii="Times New Roman" w:hAnsi="Times New Roman" w:eastAsia="宋体" w:cs="Times New Roman"/>
                <w:b/>
                <w:bCs/>
                <w:color w:val="auto"/>
                <w:sz w:val="26"/>
                <w:szCs w:val="26"/>
                <w:lang w:val="en-US" w:eastAsia="zh-CN"/>
              </w:rPr>
              <w:t>4.2.1.7非正常工况</w:t>
            </w:r>
          </w:p>
          <w:p w14:paraId="1C218C47">
            <w:pPr>
              <w:adjustRightInd w:val="0"/>
              <w:snapToGrid w:val="0"/>
              <w:spacing w:line="460" w:lineRule="exact"/>
              <w:ind w:firstLine="520" w:firstLineChars="200"/>
              <w:rPr>
                <w:rFonts w:hint="default" w:ascii="Times New Roman" w:hAnsi="Times New Roman" w:cs="Times New Roman"/>
                <w:bCs/>
                <w:color w:val="auto"/>
                <w:sz w:val="26"/>
                <w:lang w:eastAsia="zh-CN"/>
              </w:rPr>
            </w:pPr>
            <w:r>
              <w:rPr>
                <w:rFonts w:hint="default" w:ascii="Times New Roman" w:hAnsi="Times New Roman" w:cs="Times New Roman"/>
                <w:bCs/>
                <w:color w:val="auto"/>
                <w:sz w:val="26"/>
                <w:lang w:val="en-US" w:eastAsia="zh-CN"/>
              </w:rPr>
              <w:t>本项目营运期非正常工况时，即处理设施发生故障，考虑废气处理措施处理效率下降至</w:t>
            </w:r>
            <w:r>
              <w:rPr>
                <w:rFonts w:hint="eastAsia" w:ascii="Times New Roman" w:hAnsi="Times New Roman" w:cs="Times New Roman"/>
                <w:bCs/>
                <w:color w:val="auto"/>
                <w:sz w:val="26"/>
                <w:lang w:val="en-US" w:eastAsia="zh-CN"/>
              </w:rPr>
              <w:t>5</w:t>
            </w:r>
            <w:r>
              <w:rPr>
                <w:rFonts w:hint="default" w:ascii="Times New Roman" w:hAnsi="Times New Roman" w:cs="Times New Roman"/>
                <w:bCs/>
                <w:color w:val="auto"/>
                <w:sz w:val="26"/>
                <w:lang w:val="en-US" w:eastAsia="zh-CN"/>
              </w:rPr>
              <w:t>0%，</w:t>
            </w:r>
            <w:r>
              <w:rPr>
                <w:rFonts w:hint="eastAsia" w:ascii="Times New Roman" w:hAnsi="Times New Roman" w:cs="Times New Roman"/>
                <w:bCs/>
                <w:color w:val="auto"/>
                <w:sz w:val="26"/>
                <w:lang w:val="en-US" w:eastAsia="zh-CN"/>
              </w:rPr>
              <w:t>主要针对熔炼废气颗粒物因子，</w:t>
            </w:r>
            <w:r>
              <w:rPr>
                <w:rFonts w:hint="default" w:ascii="Times New Roman" w:hAnsi="Times New Roman" w:cs="Times New Roman"/>
                <w:bCs/>
                <w:color w:val="auto"/>
                <w:sz w:val="26"/>
                <w:lang w:val="en-US" w:eastAsia="zh-CN"/>
              </w:rPr>
              <w:t>则本项目非正常排放量核算</w:t>
            </w:r>
            <w:r>
              <w:rPr>
                <w:rFonts w:hint="eastAsia" w:ascii="Times New Roman" w:hAnsi="Times New Roman" w:cs="Times New Roman"/>
                <w:bCs/>
                <w:color w:val="auto"/>
                <w:sz w:val="26"/>
                <w:lang w:val="en-US" w:eastAsia="zh-CN"/>
              </w:rPr>
              <w:t>详见下表。</w:t>
            </w:r>
          </w:p>
          <w:p w14:paraId="601702EE">
            <w:pPr>
              <w:autoSpaceDE w:val="0"/>
              <w:autoSpaceDN w:val="0"/>
              <w:adjustRightInd w:val="0"/>
              <w:spacing w:line="460" w:lineRule="exact"/>
              <w:jc w:val="center"/>
              <w:rPr>
                <w:rFonts w:hint="default" w:ascii="Times New Roman" w:hAnsi="Times New Roman" w:eastAsia="宋体" w:cs="Times New Roman"/>
                <w:b/>
                <w:bCs w:val="0"/>
                <w:color w:val="auto"/>
                <w:sz w:val="26"/>
                <w:szCs w:val="26"/>
                <w:lang w:val="en-US" w:eastAsia="zh-CN"/>
              </w:rPr>
            </w:pPr>
            <w:r>
              <w:rPr>
                <w:rFonts w:hint="default" w:ascii="Times New Roman" w:hAnsi="Times New Roman" w:eastAsia="宋体" w:cs="Times New Roman"/>
                <w:b/>
                <w:bCs w:val="0"/>
                <w:color w:val="auto"/>
                <w:sz w:val="26"/>
                <w:szCs w:val="26"/>
                <w:lang w:val="en-US" w:eastAsia="zh-CN"/>
              </w:rPr>
              <w:t>表4.2-</w:t>
            </w:r>
            <w:r>
              <w:rPr>
                <w:rFonts w:hint="eastAsia" w:ascii="Times New Roman" w:hAnsi="Times New Roman" w:eastAsia="宋体" w:cs="Times New Roman"/>
                <w:b/>
                <w:bCs w:val="0"/>
                <w:color w:val="auto"/>
                <w:sz w:val="26"/>
                <w:szCs w:val="26"/>
                <w:lang w:val="en-US" w:eastAsia="zh-CN"/>
              </w:rPr>
              <w:t>17</w:t>
            </w:r>
            <w:r>
              <w:rPr>
                <w:rFonts w:hint="default" w:ascii="Times New Roman" w:hAnsi="Times New Roman" w:eastAsia="宋体" w:cs="Times New Roman"/>
                <w:b/>
                <w:bCs w:val="0"/>
                <w:color w:val="auto"/>
                <w:sz w:val="26"/>
                <w:szCs w:val="26"/>
                <w:lang w:val="en-US" w:eastAsia="zh-CN"/>
              </w:rPr>
              <w:t xml:space="preserve">  </w:t>
            </w:r>
            <w:r>
              <w:rPr>
                <w:rFonts w:hint="eastAsia" w:ascii="Times New Roman" w:hAnsi="Times New Roman" w:eastAsia="宋体" w:cs="Times New Roman"/>
                <w:b/>
                <w:bCs w:val="0"/>
                <w:color w:val="auto"/>
                <w:sz w:val="26"/>
                <w:szCs w:val="26"/>
                <w:lang w:val="en-US" w:eastAsia="zh-CN"/>
              </w:rPr>
              <w:t>本项目废气非正常工况排放情况</w:t>
            </w:r>
            <w:r>
              <w:rPr>
                <w:rFonts w:hint="default" w:ascii="Times New Roman" w:hAnsi="Times New Roman" w:eastAsia="宋体" w:cs="Times New Roman"/>
                <w:b/>
                <w:bCs w:val="0"/>
                <w:color w:val="auto"/>
                <w:sz w:val="26"/>
                <w:szCs w:val="26"/>
                <w:lang w:val="en-US" w:eastAsia="zh-CN"/>
              </w:rPr>
              <w:t>一览表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322"/>
              <w:gridCol w:w="1179"/>
              <w:gridCol w:w="1322"/>
              <w:gridCol w:w="1293"/>
              <w:gridCol w:w="1067"/>
              <w:gridCol w:w="1094"/>
            </w:tblGrid>
            <w:tr w14:paraId="1BC73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tcBorders>
                    <w:tl2br w:val="nil"/>
                    <w:tr2bl w:val="nil"/>
                  </w:tcBorders>
                  <w:noWrap w:val="0"/>
                  <w:vAlign w:val="center"/>
                </w:tcPr>
                <w:p w14:paraId="4D927A59">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污染源</w:t>
                  </w:r>
                </w:p>
              </w:tc>
              <w:tc>
                <w:tcPr>
                  <w:tcW w:w="1160" w:type="dxa"/>
                  <w:tcBorders>
                    <w:tl2br w:val="nil"/>
                    <w:tr2bl w:val="nil"/>
                  </w:tcBorders>
                  <w:noWrap w:val="0"/>
                  <w:vAlign w:val="center"/>
                </w:tcPr>
                <w:p w14:paraId="1FCFD803">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 xml:space="preserve">非正常排放原因 </w:t>
                  </w:r>
                </w:p>
              </w:tc>
              <w:tc>
                <w:tcPr>
                  <w:tcW w:w="1034" w:type="dxa"/>
                  <w:tcBorders>
                    <w:tl2br w:val="nil"/>
                    <w:tr2bl w:val="nil"/>
                  </w:tcBorders>
                  <w:noWrap w:val="0"/>
                  <w:vAlign w:val="center"/>
                </w:tcPr>
                <w:p w14:paraId="29DAD81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 xml:space="preserve">污染物 </w:t>
                  </w:r>
                </w:p>
              </w:tc>
              <w:tc>
                <w:tcPr>
                  <w:tcW w:w="1160" w:type="dxa"/>
                  <w:tcBorders>
                    <w:tl2br w:val="nil"/>
                    <w:tr2bl w:val="nil"/>
                  </w:tcBorders>
                  <w:noWrap w:val="0"/>
                  <w:vAlign w:val="center"/>
                </w:tcPr>
                <w:p w14:paraId="2A30193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非正常排放浓度/（mg/m</w:t>
                  </w:r>
                  <w:r>
                    <w:rPr>
                      <w:rFonts w:hint="default" w:ascii="Times New Roman" w:hAnsi="Times New Roman" w:eastAsia="宋体" w:cs="Times New Roman"/>
                      <w:color w:val="auto"/>
                      <w:sz w:val="22"/>
                      <w:szCs w:val="22"/>
                      <w:highlight w:val="none"/>
                      <w:vertAlign w:val="superscript"/>
                      <w:lang w:val="en-US" w:eastAsia="zh-CN"/>
                    </w:rPr>
                    <w:t>3</w:t>
                  </w:r>
                  <w:r>
                    <w:rPr>
                      <w:rFonts w:hint="default" w:ascii="Times New Roman" w:hAnsi="Times New Roman" w:eastAsia="宋体" w:cs="Times New Roman"/>
                      <w:color w:val="auto"/>
                      <w:sz w:val="22"/>
                      <w:szCs w:val="22"/>
                      <w:highlight w:val="none"/>
                      <w:lang w:val="en-US" w:eastAsia="zh-CN"/>
                    </w:rPr>
                    <w:t xml:space="preserve">）  </w:t>
                  </w:r>
                </w:p>
              </w:tc>
              <w:tc>
                <w:tcPr>
                  <w:tcW w:w="1134" w:type="dxa"/>
                  <w:tcBorders>
                    <w:tl2br w:val="nil"/>
                    <w:tr2bl w:val="nil"/>
                  </w:tcBorders>
                  <w:noWrap w:val="0"/>
                  <w:vAlign w:val="center"/>
                </w:tcPr>
                <w:p w14:paraId="20CED3D4">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非正常排放速率</w:t>
                  </w:r>
                </w:p>
                <w:p w14:paraId="78507BF7">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/(kg/h)</w:t>
                  </w:r>
                </w:p>
              </w:tc>
              <w:tc>
                <w:tcPr>
                  <w:tcW w:w="936" w:type="dxa"/>
                  <w:tcBorders>
                    <w:tl2br w:val="nil"/>
                    <w:tr2bl w:val="nil"/>
                  </w:tcBorders>
                  <w:noWrap w:val="0"/>
                  <w:vAlign w:val="center"/>
                </w:tcPr>
                <w:p w14:paraId="659B94FD">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 xml:space="preserve">单次持 </w:t>
                  </w:r>
                </w:p>
                <w:p w14:paraId="7A297B25">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 xml:space="preserve">续时间 </w:t>
                  </w:r>
                </w:p>
                <w:p w14:paraId="1D5E91BD">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 xml:space="preserve">/h </w:t>
                  </w:r>
                </w:p>
              </w:tc>
              <w:tc>
                <w:tcPr>
                  <w:tcW w:w="960" w:type="dxa"/>
                  <w:tcBorders>
                    <w:tl2br w:val="nil"/>
                    <w:tr2bl w:val="nil"/>
                  </w:tcBorders>
                  <w:noWrap w:val="0"/>
                  <w:vAlign w:val="center"/>
                </w:tcPr>
                <w:p w14:paraId="41C6962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 xml:space="preserve">年发生 </w:t>
                  </w:r>
                </w:p>
                <w:p w14:paraId="188AE15C">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频次/次</w:t>
                  </w:r>
                </w:p>
              </w:tc>
            </w:tr>
            <w:tr w14:paraId="545DBD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vMerge w:val="restart"/>
                  <w:tcBorders>
                    <w:tl2br w:val="nil"/>
                    <w:tr2bl w:val="nil"/>
                  </w:tcBorders>
                  <w:noWrap w:val="0"/>
                  <w:vAlign w:val="center"/>
                </w:tcPr>
                <w:p w14:paraId="00A6DC13">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DA002</w:t>
                  </w:r>
                </w:p>
              </w:tc>
              <w:tc>
                <w:tcPr>
                  <w:tcW w:w="1160" w:type="dxa"/>
                  <w:vMerge w:val="restart"/>
                  <w:tcBorders>
                    <w:tl2br w:val="nil"/>
                    <w:tr2bl w:val="nil"/>
                  </w:tcBorders>
                  <w:noWrap w:val="0"/>
                  <w:vAlign w:val="center"/>
                </w:tcPr>
                <w:p w14:paraId="4C79BBF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设备故障</w:t>
                  </w:r>
                </w:p>
              </w:tc>
              <w:tc>
                <w:tcPr>
                  <w:tcW w:w="1034" w:type="dxa"/>
                  <w:tcBorders>
                    <w:tl2br w:val="nil"/>
                    <w:tr2bl w:val="nil"/>
                  </w:tcBorders>
                  <w:noWrap w:val="0"/>
                  <w:vAlign w:val="center"/>
                </w:tcPr>
                <w:p w14:paraId="6EF0FA39">
                  <w:pPr>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bCs/>
                      <w:color w:val="auto"/>
                      <w:sz w:val="22"/>
                      <w:szCs w:val="22"/>
                      <w:lang w:val="en-US" w:eastAsia="zh-CN"/>
                    </w:rPr>
                    <w:t>颗粒物</w:t>
                  </w:r>
                </w:p>
              </w:tc>
              <w:tc>
                <w:tcPr>
                  <w:tcW w:w="1160" w:type="dxa"/>
                  <w:tcBorders>
                    <w:tl2br w:val="nil"/>
                    <w:tr2bl w:val="nil"/>
                  </w:tcBorders>
                  <w:noWrap w:val="0"/>
                  <w:vAlign w:val="center"/>
                </w:tcPr>
                <w:p w14:paraId="00B4496C">
                  <w:pPr>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1224.34</w:t>
                  </w:r>
                </w:p>
              </w:tc>
              <w:tc>
                <w:tcPr>
                  <w:tcW w:w="1134" w:type="dxa"/>
                  <w:tcBorders>
                    <w:tl2br w:val="nil"/>
                    <w:tr2bl w:val="nil"/>
                  </w:tcBorders>
                  <w:noWrap w:val="0"/>
                  <w:vAlign w:val="center"/>
                </w:tcPr>
                <w:p w14:paraId="0E1D664E">
                  <w:pPr>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51.06</w:t>
                  </w:r>
                </w:p>
              </w:tc>
              <w:tc>
                <w:tcPr>
                  <w:tcW w:w="936" w:type="dxa"/>
                  <w:tcBorders>
                    <w:tl2br w:val="nil"/>
                    <w:tr2bl w:val="nil"/>
                  </w:tcBorders>
                  <w:noWrap w:val="0"/>
                  <w:vAlign w:val="center"/>
                </w:tcPr>
                <w:p w14:paraId="4DA19D27">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w:t>
                  </w:r>
                </w:p>
              </w:tc>
              <w:tc>
                <w:tcPr>
                  <w:tcW w:w="960" w:type="dxa"/>
                  <w:tcBorders>
                    <w:tl2br w:val="nil"/>
                    <w:tr2bl w:val="nil"/>
                  </w:tcBorders>
                  <w:noWrap w:val="0"/>
                  <w:vAlign w:val="center"/>
                </w:tcPr>
                <w:p w14:paraId="28BE94D8">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w:t>
                  </w:r>
                </w:p>
              </w:tc>
            </w:tr>
            <w:tr w14:paraId="44A4D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vMerge w:val="continue"/>
                  <w:tcBorders>
                    <w:tl2br w:val="nil"/>
                    <w:tr2bl w:val="nil"/>
                  </w:tcBorders>
                  <w:noWrap w:val="0"/>
                  <w:vAlign w:val="center"/>
                </w:tcPr>
                <w:p w14:paraId="052E7B65">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p>
              </w:tc>
              <w:tc>
                <w:tcPr>
                  <w:tcW w:w="1160" w:type="dxa"/>
                  <w:vMerge w:val="continue"/>
                  <w:tcBorders>
                    <w:tl2br w:val="nil"/>
                    <w:tr2bl w:val="nil"/>
                  </w:tcBorders>
                  <w:noWrap w:val="0"/>
                  <w:vAlign w:val="center"/>
                </w:tcPr>
                <w:p w14:paraId="5C164373">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p>
              </w:tc>
              <w:tc>
                <w:tcPr>
                  <w:tcW w:w="1034" w:type="dxa"/>
                  <w:tcBorders>
                    <w:tl2br w:val="nil"/>
                    <w:tr2bl w:val="nil"/>
                  </w:tcBorders>
                  <w:noWrap w:val="0"/>
                  <w:vAlign w:val="center"/>
                </w:tcPr>
                <w:p w14:paraId="621DD71A">
                  <w:pPr>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bCs/>
                      <w:color w:val="auto"/>
                      <w:sz w:val="22"/>
                      <w:szCs w:val="22"/>
                      <w:lang w:val="en-US" w:eastAsia="zh-CN"/>
                    </w:rPr>
                    <w:t>NOx</w:t>
                  </w:r>
                </w:p>
              </w:tc>
              <w:tc>
                <w:tcPr>
                  <w:tcW w:w="1160" w:type="dxa"/>
                  <w:tcBorders>
                    <w:tl2br w:val="nil"/>
                    <w:tr2bl w:val="nil"/>
                  </w:tcBorders>
                  <w:noWrap w:val="0"/>
                  <w:vAlign w:val="center"/>
                </w:tcPr>
                <w:p w14:paraId="13DAAEF8">
                  <w:pPr>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35.</w:t>
                  </w:r>
                  <w:r>
                    <w:rPr>
                      <w:rFonts w:hint="eastAsia" w:ascii="Times New Roman" w:hAnsi="Times New Roman" w:eastAsia="宋体" w:cs="Times New Roman"/>
                      <w:color w:val="auto"/>
                      <w:sz w:val="22"/>
                      <w:szCs w:val="22"/>
                      <w:highlight w:val="none"/>
                      <w:lang w:val="en-US" w:eastAsia="zh-CN"/>
                    </w:rPr>
                    <w:t>49</w:t>
                  </w:r>
                </w:p>
              </w:tc>
              <w:tc>
                <w:tcPr>
                  <w:tcW w:w="1134" w:type="dxa"/>
                  <w:tcBorders>
                    <w:tl2br w:val="nil"/>
                    <w:tr2bl w:val="nil"/>
                  </w:tcBorders>
                  <w:noWrap w:val="0"/>
                  <w:vAlign w:val="center"/>
                </w:tcPr>
                <w:p w14:paraId="5A6E4797">
                  <w:pPr>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2.14</w:t>
                  </w:r>
                </w:p>
              </w:tc>
              <w:tc>
                <w:tcPr>
                  <w:tcW w:w="936" w:type="dxa"/>
                  <w:tcBorders>
                    <w:tl2br w:val="nil"/>
                    <w:tr2bl w:val="nil"/>
                  </w:tcBorders>
                  <w:noWrap w:val="0"/>
                  <w:vAlign w:val="center"/>
                </w:tcPr>
                <w:p w14:paraId="4A326F9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w:t>
                  </w:r>
                </w:p>
              </w:tc>
              <w:tc>
                <w:tcPr>
                  <w:tcW w:w="960" w:type="dxa"/>
                  <w:tcBorders>
                    <w:tl2br w:val="nil"/>
                    <w:tr2bl w:val="nil"/>
                  </w:tcBorders>
                  <w:noWrap w:val="0"/>
                  <w:vAlign w:val="center"/>
                </w:tcPr>
                <w:p w14:paraId="4BD65337">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w:t>
                  </w:r>
                </w:p>
              </w:tc>
            </w:tr>
            <w:tr w14:paraId="52268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vMerge w:val="continue"/>
                  <w:tcBorders>
                    <w:tl2br w:val="nil"/>
                    <w:tr2bl w:val="nil"/>
                  </w:tcBorders>
                  <w:noWrap w:val="0"/>
                  <w:vAlign w:val="center"/>
                </w:tcPr>
                <w:p w14:paraId="0D736E1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p>
              </w:tc>
              <w:tc>
                <w:tcPr>
                  <w:tcW w:w="1160" w:type="dxa"/>
                  <w:vMerge w:val="continue"/>
                  <w:tcBorders>
                    <w:tl2br w:val="nil"/>
                    <w:tr2bl w:val="nil"/>
                  </w:tcBorders>
                  <w:noWrap w:val="0"/>
                  <w:vAlign w:val="center"/>
                </w:tcPr>
                <w:p w14:paraId="62E64894">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p>
              </w:tc>
              <w:tc>
                <w:tcPr>
                  <w:tcW w:w="1034" w:type="dxa"/>
                  <w:tcBorders>
                    <w:tl2br w:val="nil"/>
                    <w:tr2bl w:val="nil"/>
                  </w:tcBorders>
                  <w:noWrap w:val="0"/>
                  <w:vAlign w:val="center"/>
                </w:tcPr>
                <w:p w14:paraId="5B45B0F0">
                  <w:pPr>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bCs/>
                      <w:color w:val="auto"/>
                      <w:sz w:val="22"/>
                      <w:szCs w:val="22"/>
                      <w:lang w:val="en-US" w:eastAsia="zh-CN"/>
                    </w:rPr>
                    <w:t>SO</w:t>
                  </w:r>
                  <w:r>
                    <w:rPr>
                      <w:rFonts w:hint="default" w:ascii="Times New Roman" w:hAnsi="Times New Roman" w:eastAsia="宋体" w:cs="Times New Roman"/>
                      <w:bCs/>
                      <w:color w:val="auto"/>
                      <w:sz w:val="22"/>
                      <w:szCs w:val="22"/>
                      <w:vertAlign w:val="subscript"/>
                      <w:lang w:val="en-US" w:eastAsia="zh-CN"/>
                    </w:rPr>
                    <w:t>2</w:t>
                  </w:r>
                </w:p>
              </w:tc>
              <w:tc>
                <w:tcPr>
                  <w:tcW w:w="1160" w:type="dxa"/>
                  <w:tcBorders>
                    <w:tl2br w:val="nil"/>
                    <w:tr2bl w:val="nil"/>
                  </w:tcBorders>
                  <w:noWrap w:val="0"/>
                  <w:vAlign w:val="center"/>
                </w:tcPr>
                <w:p w14:paraId="1F3D803C">
                  <w:pPr>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2.71</w:t>
                  </w:r>
                </w:p>
              </w:tc>
              <w:tc>
                <w:tcPr>
                  <w:tcW w:w="1134" w:type="dxa"/>
                  <w:tcBorders>
                    <w:tl2br w:val="nil"/>
                    <w:tr2bl w:val="nil"/>
                  </w:tcBorders>
                  <w:noWrap w:val="0"/>
                  <w:vAlign w:val="center"/>
                </w:tcPr>
                <w:p w14:paraId="2D430FEE">
                  <w:pPr>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0.17</w:t>
                  </w:r>
                </w:p>
              </w:tc>
              <w:tc>
                <w:tcPr>
                  <w:tcW w:w="936" w:type="dxa"/>
                  <w:tcBorders>
                    <w:tl2br w:val="nil"/>
                    <w:tr2bl w:val="nil"/>
                  </w:tcBorders>
                  <w:noWrap w:val="0"/>
                  <w:vAlign w:val="center"/>
                </w:tcPr>
                <w:p w14:paraId="20A604E0">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w:t>
                  </w:r>
                </w:p>
              </w:tc>
              <w:tc>
                <w:tcPr>
                  <w:tcW w:w="960" w:type="dxa"/>
                  <w:tcBorders>
                    <w:tl2br w:val="nil"/>
                    <w:tr2bl w:val="nil"/>
                  </w:tcBorders>
                  <w:noWrap w:val="0"/>
                  <w:vAlign w:val="center"/>
                </w:tcPr>
                <w:p w14:paraId="71978B11">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w:t>
                  </w:r>
                </w:p>
              </w:tc>
            </w:tr>
            <w:tr w14:paraId="1BF5E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vMerge w:val="continue"/>
                  <w:tcBorders>
                    <w:tl2br w:val="nil"/>
                    <w:tr2bl w:val="nil"/>
                  </w:tcBorders>
                  <w:noWrap w:val="0"/>
                  <w:vAlign w:val="center"/>
                </w:tcPr>
                <w:p w14:paraId="58053D8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p>
              </w:tc>
              <w:tc>
                <w:tcPr>
                  <w:tcW w:w="1160" w:type="dxa"/>
                  <w:vMerge w:val="continue"/>
                  <w:tcBorders>
                    <w:tl2br w:val="nil"/>
                    <w:tr2bl w:val="nil"/>
                  </w:tcBorders>
                  <w:noWrap w:val="0"/>
                  <w:vAlign w:val="center"/>
                </w:tcPr>
                <w:p w14:paraId="1B4D10A5">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p>
              </w:tc>
              <w:tc>
                <w:tcPr>
                  <w:tcW w:w="1034" w:type="dxa"/>
                  <w:tcBorders>
                    <w:tl2br w:val="nil"/>
                    <w:tr2bl w:val="nil"/>
                  </w:tcBorders>
                  <w:noWrap w:val="0"/>
                  <w:vAlign w:val="center"/>
                </w:tcPr>
                <w:p w14:paraId="79F4AD90">
                  <w:pPr>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bCs/>
                      <w:color w:val="auto"/>
                      <w:sz w:val="22"/>
                      <w:szCs w:val="22"/>
                      <w:lang w:val="en-US" w:eastAsia="zh-CN"/>
                    </w:rPr>
                    <w:t>HCl</w:t>
                  </w:r>
                </w:p>
              </w:tc>
              <w:tc>
                <w:tcPr>
                  <w:tcW w:w="1160" w:type="dxa"/>
                  <w:tcBorders>
                    <w:tl2br w:val="nil"/>
                    <w:tr2bl w:val="nil"/>
                  </w:tcBorders>
                  <w:noWrap w:val="0"/>
                  <w:vAlign w:val="center"/>
                </w:tcPr>
                <w:p w14:paraId="7D0FDBF6">
                  <w:pPr>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2.97</w:t>
                  </w:r>
                </w:p>
              </w:tc>
              <w:tc>
                <w:tcPr>
                  <w:tcW w:w="1134" w:type="dxa"/>
                  <w:tcBorders>
                    <w:tl2br w:val="nil"/>
                    <w:tr2bl w:val="nil"/>
                  </w:tcBorders>
                  <w:noWrap w:val="0"/>
                  <w:vAlign w:val="center"/>
                </w:tcPr>
                <w:p w14:paraId="7A38A218">
                  <w:pPr>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0.18</w:t>
                  </w:r>
                </w:p>
              </w:tc>
              <w:tc>
                <w:tcPr>
                  <w:tcW w:w="936" w:type="dxa"/>
                  <w:tcBorders>
                    <w:tl2br w:val="nil"/>
                    <w:tr2bl w:val="nil"/>
                  </w:tcBorders>
                  <w:noWrap w:val="0"/>
                  <w:vAlign w:val="center"/>
                </w:tcPr>
                <w:p w14:paraId="2FB185D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w:t>
                  </w:r>
                </w:p>
              </w:tc>
              <w:tc>
                <w:tcPr>
                  <w:tcW w:w="960" w:type="dxa"/>
                  <w:tcBorders>
                    <w:tl2br w:val="nil"/>
                    <w:tr2bl w:val="nil"/>
                  </w:tcBorders>
                  <w:noWrap w:val="0"/>
                  <w:vAlign w:val="center"/>
                </w:tcPr>
                <w:p w14:paraId="2C3F43CE">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w:t>
                  </w:r>
                </w:p>
              </w:tc>
            </w:tr>
            <w:tr w14:paraId="7EE393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2" w:type="dxa"/>
                  <w:vMerge w:val="continue"/>
                  <w:tcBorders>
                    <w:tl2br w:val="nil"/>
                    <w:tr2bl w:val="nil"/>
                  </w:tcBorders>
                  <w:noWrap w:val="0"/>
                  <w:vAlign w:val="center"/>
                </w:tcPr>
                <w:p w14:paraId="411EC547">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p>
              </w:tc>
              <w:tc>
                <w:tcPr>
                  <w:tcW w:w="1160" w:type="dxa"/>
                  <w:vMerge w:val="continue"/>
                  <w:tcBorders>
                    <w:tl2br w:val="nil"/>
                    <w:tr2bl w:val="nil"/>
                  </w:tcBorders>
                  <w:noWrap w:val="0"/>
                  <w:vAlign w:val="center"/>
                </w:tcPr>
                <w:p w14:paraId="508BAF88">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p>
              </w:tc>
              <w:tc>
                <w:tcPr>
                  <w:tcW w:w="1034" w:type="dxa"/>
                  <w:tcBorders>
                    <w:tl2br w:val="nil"/>
                    <w:tr2bl w:val="nil"/>
                  </w:tcBorders>
                  <w:noWrap w:val="0"/>
                  <w:vAlign w:val="center"/>
                </w:tcPr>
                <w:p w14:paraId="1580A7E5">
                  <w:pPr>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bCs/>
                      <w:color w:val="auto"/>
                      <w:sz w:val="22"/>
                      <w:szCs w:val="22"/>
                      <w:lang w:val="en-US" w:eastAsia="zh-CN"/>
                    </w:rPr>
                    <w:t>氟化物</w:t>
                  </w:r>
                </w:p>
              </w:tc>
              <w:tc>
                <w:tcPr>
                  <w:tcW w:w="1160" w:type="dxa"/>
                  <w:tcBorders>
                    <w:tl2br w:val="nil"/>
                    <w:tr2bl w:val="nil"/>
                  </w:tcBorders>
                  <w:noWrap w:val="0"/>
                  <w:vAlign w:val="center"/>
                </w:tcPr>
                <w:p w14:paraId="06E627A6">
                  <w:pPr>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0.62</w:t>
                  </w:r>
                </w:p>
              </w:tc>
              <w:tc>
                <w:tcPr>
                  <w:tcW w:w="1134" w:type="dxa"/>
                  <w:tcBorders>
                    <w:tl2br w:val="nil"/>
                    <w:tr2bl w:val="nil"/>
                  </w:tcBorders>
                  <w:noWrap w:val="0"/>
                  <w:vAlign w:val="center"/>
                </w:tcPr>
                <w:p w14:paraId="7A426A24">
                  <w:pPr>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0.04</w:t>
                  </w:r>
                </w:p>
              </w:tc>
              <w:tc>
                <w:tcPr>
                  <w:tcW w:w="936" w:type="dxa"/>
                  <w:tcBorders>
                    <w:tl2br w:val="nil"/>
                    <w:tr2bl w:val="nil"/>
                  </w:tcBorders>
                  <w:noWrap w:val="0"/>
                  <w:vAlign w:val="center"/>
                </w:tcPr>
                <w:p w14:paraId="0FACB66C">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w:t>
                  </w:r>
                </w:p>
              </w:tc>
              <w:tc>
                <w:tcPr>
                  <w:tcW w:w="960" w:type="dxa"/>
                  <w:tcBorders>
                    <w:tl2br w:val="nil"/>
                    <w:tr2bl w:val="nil"/>
                  </w:tcBorders>
                  <w:noWrap w:val="0"/>
                  <w:vAlign w:val="center"/>
                </w:tcPr>
                <w:p w14:paraId="0E60E307">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1</w:t>
                  </w:r>
                </w:p>
              </w:tc>
            </w:tr>
          </w:tbl>
          <w:p w14:paraId="0D60FF68">
            <w:pPr>
              <w:adjustRightInd w:val="0"/>
              <w:snapToGrid w:val="0"/>
              <w:spacing w:line="460" w:lineRule="exact"/>
              <w:ind w:firstLine="520" w:firstLineChars="200"/>
              <w:rPr>
                <w:rFonts w:hint="eastAsia" w:ascii="Times New Roman" w:hAnsi="Times New Roman" w:eastAsia="宋体" w:cs="Times New Roman"/>
                <w:bCs/>
                <w:color w:val="auto"/>
                <w:sz w:val="26"/>
                <w:lang w:val="en-US" w:eastAsia="zh-CN"/>
              </w:rPr>
            </w:pPr>
          </w:p>
          <w:p w14:paraId="69738853">
            <w:pPr>
              <w:adjustRightInd w:val="0"/>
              <w:snapToGrid w:val="0"/>
              <w:spacing w:line="460" w:lineRule="exact"/>
              <w:ind w:firstLine="520" w:firstLineChars="200"/>
              <w:rPr>
                <w:rFonts w:hint="default"/>
                <w:bCs/>
                <w:color w:val="auto"/>
                <w:sz w:val="26"/>
                <w:lang w:val="en-US" w:eastAsia="zh-CN"/>
              </w:rPr>
            </w:pPr>
            <w:r>
              <w:rPr>
                <w:rFonts w:hint="eastAsia" w:ascii="Times New Roman" w:hAnsi="Times New Roman" w:eastAsia="宋体" w:cs="Times New Roman"/>
                <w:bCs/>
                <w:color w:val="auto"/>
                <w:sz w:val="26"/>
                <w:lang w:val="en-US" w:eastAsia="zh-CN"/>
              </w:rPr>
              <w:t>根据上表分析，本项目非正常工况下超标，环评要求项目一</w:t>
            </w:r>
            <w:r>
              <w:rPr>
                <w:rFonts w:hint="default" w:ascii="Times New Roman" w:hAnsi="Times New Roman" w:eastAsia="宋体" w:cs="Times New Roman"/>
                <w:bCs/>
                <w:color w:val="auto"/>
                <w:sz w:val="26"/>
                <w:lang w:val="en-US" w:eastAsia="zh-CN"/>
              </w:rPr>
              <w:t>旦发生非正常排放，必须</w:t>
            </w:r>
            <w:r>
              <w:rPr>
                <w:rFonts w:hint="default"/>
                <w:bCs/>
                <w:color w:val="auto"/>
                <w:sz w:val="26"/>
                <w:lang w:val="en-US" w:eastAsia="zh-CN"/>
              </w:rPr>
              <w:t>立即停产，对废气处理设施进行及时检修。为杜绝废气非正常排放，应采取以下措施确保废气</w:t>
            </w:r>
            <w:r>
              <w:rPr>
                <w:rFonts w:hint="eastAsia"/>
                <w:bCs/>
                <w:color w:val="auto"/>
                <w:sz w:val="26"/>
                <w:lang w:val="en-US" w:eastAsia="zh-CN"/>
              </w:rPr>
              <w:t>处理</w:t>
            </w:r>
            <w:r>
              <w:rPr>
                <w:rFonts w:hint="default"/>
                <w:bCs/>
                <w:color w:val="auto"/>
                <w:sz w:val="26"/>
                <w:lang w:val="en-US" w:eastAsia="zh-CN"/>
              </w:rPr>
              <w:t>达标排放：</w:t>
            </w:r>
          </w:p>
          <w:p w14:paraId="3F498326">
            <w:pPr>
              <w:adjustRightInd w:val="0"/>
              <w:snapToGrid w:val="0"/>
              <w:spacing w:line="460" w:lineRule="exact"/>
              <w:ind w:firstLine="520" w:firstLineChars="200"/>
              <w:rPr>
                <w:rFonts w:hint="default"/>
                <w:bCs/>
                <w:color w:val="auto"/>
                <w:sz w:val="26"/>
                <w:lang w:val="en-US" w:eastAsia="zh-CN"/>
              </w:rPr>
            </w:pPr>
            <w:r>
              <w:rPr>
                <w:rFonts w:hint="default"/>
                <w:bCs/>
                <w:color w:val="auto"/>
                <w:sz w:val="26"/>
                <w:lang w:val="en-US" w:eastAsia="zh-CN"/>
              </w:rPr>
              <w:t>①安排专人负责环保设备的日常维护和管理，每</w:t>
            </w:r>
            <w:r>
              <w:rPr>
                <w:rFonts w:hint="eastAsia"/>
                <w:bCs/>
                <w:color w:val="auto"/>
                <w:sz w:val="26"/>
                <w:lang w:val="en-US" w:eastAsia="zh-CN"/>
              </w:rPr>
              <w:t>隔</w:t>
            </w:r>
            <w:r>
              <w:rPr>
                <w:rFonts w:hint="default"/>
                <w:bCs/>
                <w:color w:val="auto"/>
                <w:sz w:val="26"/>
                <w:lang w:val="en-US" w:eastAsia="zh-CN"/>
              </w:rPr>
              <w:t>固定时间检查、汇报情况，及时发现废气处理设备的隐患，确保废气处理系统正常运行；</w:t>
            </w:r>
          </w:p>
          <w:p w14:paraId="7379E76A">
            <w:pPr>
              <w:adjustRightInd w:val="0"/>
              <w:snapToGrid w:val="0"/>
              <w:spacing w:line="460" w:lineRule="exact"/>
              <w:ind w:firstLine="520" w:firstLineChars="200"/>
              <w:rPr>
                <w:rFonts w:hint="default"/>
                <w:bCs/>
                <w:color w:val="auto"/>
                <w:sz w:val="26"/>
                <w:lang w:val="en-US" w:eastAsia="zh-CN"/>
              </w:rPr>
            </w:pPr>
            <w:r>
              <w:rPr>
                <w:rFonts w:hint="default"/>
                <w:bCs/>
                <w:color w:val="auto"/>
                <w:sz w:val="26"/>
                <w:lang w:val="en-US" w:eastAsia="zh-CN"/>
              </w:rPr>
              <w:t>②建立健全的环保管理机构，对环保管理人员和技术人员进行岗位培训，委托具有专业资质的环境检测单位对项目排放的各类污染物进行定期检测；</w:t>
            </w:r>
          </w:p>
          <w:p w14:paraId="194B442D">
            <w:pPr>
              <w:adjustRightInd w:val="0"/>
              <w:snapToGrid w:val="0"/>
              <w:spacing w:line="460" w:lineRule="exact"/>
              <w:ind w:firstLine="520" w:firstLineChars="200"/>
              <w:rPr>
                <w:rFonts w:hint="default"/>
                <w:bCs/>
                <w:color w:val="auto"/>
                <w:sz w:val="26"/>
                <w:lang w:val="en-US" w:eastAsia="zh-CN"/>
              </w:rPr>
            </w:pPr>
            <w:r>
              <w:rPr>
                <w:rFonts w:hint="default"/>
                <w:bCs/>
                <w:color w:val="auto"/>
                <w:sz w:val="26"/>
                <w:lang w:val="en-US" w:eastAsia="zh-CN"/>
              </w:rPr>
              <w:t>③应定期维护、检修废气处理装置，以保持废气处理装置的净化能力和净化容量。</w:t>
            </w:r>
          </w:p>
          <w:p w14:paraId="2518DFA0">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4.2.2</w:t>
            </w:r>
            <w:r>
              <w:rPr>
                <w:rFonts w:hint="default" w:ascii="Times New Roman" w:hAnsi="Times New Roman" w:eastAsia="宋体" w:cs="Times New Roman"/>
                <w:b/>
                <w:bCs/>
                <w:color w:val="auto"/>
                <w:sz w:val="26"/>
                <w:szCs w:val="26"/>
                <w:lang w:val="en-US" w:eastAsia="zh-CN"/>
              </w:rPr>
              <w:t>废水</w:t>
            </w:r>
          </w:p>
          <w:p w14:paraId="04BC1F61">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color w:val="auto"/>
                <w:kern w:val="0"/>
                <w:sz w:val="26"/>
                <w:szCs w:val="26"/>
                <w:highlight w:val="none"/>
                <w:lang w:val="en-US" w:eastAsia="zh-CN"/>
              </w:rPr>
            </w:pPr>
            <w:r>
              <w:rPr>
                <w:rFonts w:hint="eastAsia" w:ascii="Times New Roman" w:hAnsi="Times New Roman" w:eastAsia="宋体" w:cs="Times New Roman"/>
                <w:color w:val="auto"/>
                <w:kern w:val="0"/>
                <w:sz w:val="26"/>
                <w:szCs w:val="26"/>
                <w:highlight w:val="none"/>
                <w:lang w:val="en-US" w:eastAsia="zh-CN"/>
              </w:rPr>
              <w:t>本项目不新增劳动定员，不新增生活污水，主要有切削液用水和冷却循环用水，切削液循环使用不外排，定期添加；冷却循环水池定期清洁产生的废水排入雨水管网。</w:t>
            </w:r>
          </w:p>
          <w:p w14:paraId="4621F58C">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highlight w:val="none"/>
                <w:lang w:val="en-US" w:eastAsia="zh-CN"/>
              </w:rPr>
            </w:pPr>
            <w:r>
              <w:rPr>
                <w:rFonts w:hint="eastAsia" w:ascii="Times New Roman" w:hAnsi="Times New Roman" w:eastAsia="宋体" w:cs="Times New Roman"/>
                <w:b/>
                <w:bCs/>
                <w:color w:val="auto"/>
                <w:sz w:val="26"/>
                <w:szCs w:val="26"/>
                <w:highlight w:val="none"/>
                <w:lang w:val="en-US" w:eastAsia="zh-CN"/>
              </w:rPr>
              <w:t>4.2.3</w:t>
            </w:r>
            <w:r>
              <w:rPr>
                <w:rFonts w:hint="default" w:ascii="Times New Roman" w:hAnsi="Times New Roman" w:eastAsia="宋体" w:cs="Times New Roman"/>
                <w:b/>
                <w:bCs/>
                <w:color w:val="auto"/>
                <w:sz w:val="26"/>
                <w:szCs w:val="26"/>
                <w:highlight w:val="none"/>
                <w:lang w:val="en-US" w:eastAsia="zh-CN"/>
              </w:rPr>
              <w:t>噪声</w:t>
            </w:r>
          </w:p>
          <w:p w14:paraId="2BC0EC46">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highlight w:val="none"/>
                <w:lang w:val="en-US" w:eastAsia="zh-CN"/>
              </w:rPr>
            </w:pPr>
            <w:r>
              <w:rPr>
                <w:rFonts w:hint="eastAsia" w:ascii="Times New Roman" w:hAnsi="Times New Roman" w:eastAsia="宋体" w:cs="Times New Roman"/>
                <w:b/>
                <w:bCs/>
                <w:color w:val="auto"/>
                <w:sz w:val="26"/>
                <w:szCs w:val="26"/>
                <w:highlight w:val="none"/>
                <w:lang w:val="en-US" w:eastAsia="zh-CN"/>
              </w:rPr>
              <w:t>4.2.3.1</w:t>
            </w:r>
            <w:r>
              <w:rPr>
                <w:rFonts w:hint="default" w:ascii="Times New Roman" w:hAnsi="Times New Roman" w:eastAsia="宋体" w:cs="Times New Roman"/>
                <w:b/>
                <w:bCs/>
                <w:color w:val="auto"/>
                <w:sz w:val="26"/>
                <w:szCs w:val="26"/>
                <w:highlight w:val="none"/>
                <w:lang w:val="en-US" w:eastAsia="zh-CN"/>
              </w:rPr>
              <w:t>噪声源源强核算</w:t>
            </w:r>
          </w:p>
          <w:p w14:paraId="4BF1E3A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color w:val="auto"/>
                <w:kern w:val="0"/>
                <w:sz w:val="26"/>
                <w:szCs w:val="26"/>
                <w:highlight w:val="none"/>
                <w:lang w:val="en-US" w:eastAsia="zh-CN" w:bidi="ar-SA"/>
              </w:rPr>
            </w:pPr>
            <w:r>
              <w:rPr>
                <w:rFonts w:hint="eastAsia" w:ascii="Times New Roman" w:hAnsi="Times New Roman" w:eastAsia="宋体" w:cs="Times New Roman"/>
                <w:color w:val="auto"/>
                <w:kern w:val="0"/>
                <w:sz w:val="26"/>
                <w:szCs w:val="26"/>
                <w:highlight w:val="none"/>
                <w:lang w:val="en-US" w:eastAsia="zh-CN" w:bidi="ar-SA"/>
              </w:rPr>
              <w:t>本项目主要依托现有设施设备，新增部分铝液包和烘包器，铝液包和烘包器噪声值较小，不纳入产噪设备。</w:t>
            </w:r>
          </w:p>
          <w:p w14:paraId="0F362900">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4.2.</w:t>
            </w:r>
            <w:r>
              <w:rPr>
                <w:rFonts w:hint="default" w:ascii="Times New Roman" w:hAnsi="Times New Roman" w:eastAsia="宋体" w:cs="Times New Roman"/>
                <w:b/>
                <w:bCs/>
                <w:color w:val="auto"/>
                <w:sz w:val="26"/>
                <w:szCs w:val="26"/>
                <w:lang w:val="en-US" w:eastAsia="zh-CN"/>
              </w:rPr>
              <w:t>3.</w:t>
            </w:r>
            <w:r>
              <w:rPr>
                <w:rFonts w:hint="eastAsia" w:ascii="Times New Roman" w:hAnsi="Times New Roman" w:eastAsia="宋体" w:cs="Times New Roman"/>
                <w:b/>
                <w:bCs/>
                <w:color w:val="auto"/>
                <w:sz w:val="26"/>
                <w:szCs w:val="26"/>
                <w:lang w:val="en-US" w:eastAsia="zh-CN"/>
              </w:rPr>
              <w:t>2</w:t>
            </w:r>
            <w:r>
              <w:rPr>
                <w:rFonts w:hint="default" w:ascii="Times New Roman" w:hAnsi="Times New Roman" w:eastAsia="宋体" w:cs="Times New Roman"/>
                <w:b/>
                <w:bCs/>
                <w:color w:val="auto"/>
                <w:sz w:val="26"/>
                <w:szCs w:val="26"/>
                <w:lang w:val="en-US" w:eastAsia="zh-CN"/>
              </w:rPr>
              <w:t>声环境影响分析</w:t>
            </w:r>
          </w:p>
          <w:p w14:paraId="056DF8E1">
            <w:pPr>
              <w:keepNext w:val="0"/>
              <w:keepLines w:val="0"/>
              <w:pageBreakBefore w:val="0"/>
              <w:widowControl w:val="0"/>
              <w:kinsoku/>
              <w:wordWrap/>
              <w:overflowPunct/>
              <w:topLinePunct w:val="0"/>
              <w:autoSpaceDE/>
              <w:autoSpaceDN/>
              <w:bidi w:val="0"/>
              <w:adjustRightInd/>
              <w:snapToGrid/>
              <w:spacing w:beforeAutospacing="0" w:line="460" w:lineRule="exact"/>
              <w:ind w:firstLine="480"/>
              <w:textAlignment w:val="auto"/>
              <w:outlineLvl w:val="2"/>
              <w:rPr>
                <w:rFonts w:hint="default" w:ascii="Times New Roman" w:hAnsi="Times New Roman" w:cs="Times New Roman"/>
                <w:color w:val="auto"/>
                <w:sz w:val="26"/>
                <w:szCs w:val="26"/>
              </w:rPr>
            </w:pPr>
            <w:r>
              <w:rPr>
                <w:rFonts w:hint="default" w:ascii="Times New Roman" w:hAnsi="Times New Roman" w:cs="Times New Roman"/>
                <w:color w:val="auto"/>
                <w:sz w:val="26"/>
                <w:szCs w:val="26"/>
              </w:rPr>
              <w:t>（1）预测内容及评价范围</w:t>
            </w:r>
          </w:p>
          <w:p w14:paraId="30A3EA0B">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cs="Times New Roman"/>
                <w:color w:val="auto"/>
                <w:sz w:val="26"/>
                <w:szCs w:val="26"/>
              </w:rPr>
            </w:pPr>
            <w:r>
              <w:rPr>
                <w:rFonts w:hint="eastAsia" w:ascii="Times New Roman" w:hAnsi="Times New Roman" w:cs="Times New Roman"/>
                <w:color w:val="auto"/>
                <w:sz w:val="26"/>
                <w:szCs w:val="26"/>
                <w:lang w:val="en-US" w:eastAsia="zh-CN"/>
              </w:rPr>
              <w:t>本</w:t>
            </w:r>
            <w:r>
              <w:rPr>
                <w:rFonts w:hint="default" w:ascii="Times New Roman" w:hAnsi="Times New Roman" w:cs="Times New Roman"/>
                <w:color w:val="auto"/>
                <w:sz w:val="26"/>
                <w:szCs w:val="26"/>
                <w:lang w:eastAsia="zh-CN"/>
              </w:rPr>
              <w:t>项目</w:t>
            </w:r>
            <w:r>
              <w:rPr>
                <w:rFonts w:hint="default" w:ascii="Times New Roman" w:hAnsi="Times New Roman" w:cs="Times New Roman"/>
                <w:color w:val="auto"/>
                <w:sz w:val="26"/>
                <w:szCs w:val="26"/>
              </w:rPr>
              <w:t>厂界外</w:t>
            </w:r>
            <w:r>
              <w:rPr>
                <w:rFonts w:hint="eastAsia" w:ascii="Times New Roman" w:hAnsi="Times New Roman" w:cs="Times New Roman"/>
                <w:color w:val="auto"/>
                <w:sz w:val="26"/>
                <w:szCs w:val="26"/>
                <w:lang w:val="en-US" w:eastAsia="zh-CN"/>
              </w:rPr>
              <w:t>50</w:t>
            </w:r>
            <w:r>
              <w:rPr>
                <w:rFonts w:hint="default" w:ascii="Times New Roman" w:hAnsi="Times New Roman" w:cs="Times New Roman"/>
                <w:color w:val="auto"/>
                <w:sz w:val="26"/>
                <w:szCs w:val="26"/>
              </w:rPr>
              <w:t>m范围内</w:t>
            </w:r>
            <w:r>
              <w:rPr>
                <w:rFonts w:hint="eastAsia" w:ascii="Times New Roman" w:hAnsi="Times New Roman" w:cs="Times New Roman"/>
                <w:color w:val="auto"/>
                <w:sz w:val="26"/>
                <w:szCs w:val="26"/>
                <w:lang w:val="en-US" w:eastAsia="zh-CN"/>
              </w:rPr>
              <w:t>声环境保护目标主要为南侧厂界外的散居居民</w:t>
            </w:r>
            <w:r>
              <w:rPr>
                <w:rFonts w:hint="default" w:ascii="Times New Roman" w:hAnsi="Times New Roman" w:cs="Times New Roman"/>
                <w:color w:val="auto"/>
                <w:sz w:val="26"/>
                <w:szCs w:val="26"/>
              </w:rPr>
              <w:t>。本次评价声环境预测内容确定为</w:t>
            </w:r>
            <w:r>
              <w:rPr>
                <w:rFonts w:hint="eastAsia" w:ascii="Times New Roman" w:hAnsi="Times New Roman" w:cs="Times New Roman"/>
                <w:color w:val="auto"/>
                <w:sz w:val="26"/>
                <w:szCs w:val="26"/>
                <w:lang w:val="en-US" w:eastAsia="zh-CN"/>
              </w:rPr>
              <w:t>①本项目</w:t>
            </w:r>
            <w:r>
              <w:rPr>
                <w:rFonts w:hint="default" w:ascii="Times New Roman" w:hAnsi="Times New Roman" w:cs="Times New Roman"/>
                <w:color w:val="auto"/>
                <w:sz w:val="26"/>
                <w:szCs w:val="26"/>
              </w:rPr>
              <w:t>对厂区</w:t>
            </w:r>
            <w:r>
              <w:rPr>
                <w:rFonts w:hint="eastAsia" w:ascii="Times New Roman" w:hAnsi="Times New Roman" w:cs="Times New Roman"/>
                <w:color w:val="auto"/>
                <w:sz w:val="26"/>
                <w:szCs w:val="26"/>
                <w:lang w:val="en-US" w:eastAsia="zh-CN"/>
              </w:rPr>
              <w:t>四周</w:t>
            </w:r>
            <w:r>
              <w:rPr>
                <w:rFonts w:hint="default" w:ascii="Times New Roman" w:hAnsi="Times New Roman" w:cs="Times New Roman"/>
                <w:color w:val="auto"/>
                <w:sz w:val="26"/>
                <w:szCs w:val="26"/>
              </w:rPr>
              <w:t>厂界噪声贡献值</w:t>
            </w:r>
            <w:r>
              <w:rPr>
                <w:rFonts w:hint="eastAsia" w:ascii="Times New Roman" w:hAnsi="Times New Roman" w:cs="Times New Roman"/>
                <w:color w:val="auto"/>
                <w:sz w:val="26"/>
                <w:szCs w:val="26"/>
                <w:lang w:val="en-US" w:eastAsia="zh-CN"/>
              </w:rPr>
              <w:t>并叠加现有项目后全厂预测贡献值；②全厂噪声对南侧声环境保护目标的叠加影响值</w:t>
            </w:r>
            <w:r>
              <w:rPr>
                <w:rFonts w:hint="default" w:ascii="Times New Roman" w:hAnsi="Times New Roman" w:cs="Times New Roman"/>
                <w:color w:val="auto"/>
                <w:sz w:val="26"/>
                <w:szCs w:val="26"/>
              </w:rPr>
              <w:t>。</w:t>
            </w:r>
          </w:p>
          <w:p w14:paraId="74224AB4">
            <w:pPr>
              <w:keepNext w:val="0"/>
              <w:keepLines w:val="0"/>
              <w:pageBreakBefore w:val="0"/>
              <w:widowControl w:val="0"/>
              <w:kinsoku/>
              <w:wordWrap/>
              <w:overflowPunct/>
              <w:topLinePunct w:val="0"/>
              <w:autoSpaceDE/>
              <w:autoSpaceDN/>
              <w:bidi w:val="0"/>
              <w:adjustRightInd/>
              <w:snapToGrid/>
              <w:spacing w:beforeAutospacing="0" w:line="460" w:lineRule="exact"/>
              <w:ind w:firstLine="480"/>
              <w:textAlignment w:val="auto"/>
              <w:outlineLvl w:val="2"/>
              <w:rPr>
                <w:rFonts w:hint="default" w:ascii="Times New Roman" w:hAnsi="Times New Roman" w:cs="Times New Roman"/>
                <w:color w:val="auto"/>
                <w:sz w:val="26"/>
                <w:szCs w:val="26"/>
              </w:rPr>
            </w:pPr>
            <w:r>
              <w:rPr>
                <w:rFonts w:hint="default" w:ascii="Times New Roman" w:hAnsi="Times New Roman" w:cs="Times New Roman"/>
                <w:color w:val="auto"/>
                <w:sz w:val="26"/>
                <w:szCs w:val="26"/>
              </w:rPr>
              <w:t>（</w:t>
            </w:r>
            <w:r>
              <w:rPr>
                <w:rFonts w:hint="default" w:ascii="Times New Roman" w:hAnsi="Times New Roman" w:cs="Times New Roman"/>
                <w:color w:val="auto"/>
                <w:sz w:val="26"/>
                <w:szCs w:val="26"/>
                <w:lang w:val="en-US" w:eastAsia="zh-CN"/>
              </w:rPr>
              <w:t>2</w:t>
            </w:r>
            <w:r>
              <w:rPr>
                <w:rFonts w:hint="default" w:ascii="Times New Roman" w:hAnsi="Times New Roman" w:cs="Times New Roman"/>
                <w:color w:val="auto"/>
                <w:sz w:val="26"/>
                <w:szCs w:val="26"/>
              </w:rPr>
              <w:t>）噪声源强</w:t>
            </w:r>
          </w:p>
          <w:p w14:paraId="7E96B525">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cs="Times New Roman"/>
                <w:color w:val="auto"/>
                <w:kern w:val="2"/>
                <w:sz w:val="26"/>
                <w:szCs w:val="26"/>
                <w:lang w:val="en-US" w:eastAsia="zh-CN" w:bidi="ar"/>
              </w:rPr>
            </w:pPr>
            <w:r>
              <w:rPr>
                <w:rFonts w:hint="eastAsia" w:ascii="Times New Roman" w:hAnsi="Times New Roman" w:cs="Times New Roman"/>
                <w:color w:val="auto"/>
                <w:kern w:val="2"/>
                <w:sz w:val="26"/>
                <w:szCs w:val="26"/>
                <w:lang w:val="en-US" w:eastAsia="zh-CN" w:bidi="ar"/>
              </w:rPr>
              <w:t>本</w:t>
            </w:r>
            <w:r>
              <w:rPr>
                <w:rFonts w:hint="default" w:ascii="Times New Roman" w:hAnsi="Times New Roman" w:cs="Times New Roman"/>
                <w:color w:val="auto"/>
                <w:kern w:val="2"/>
                <w:sz w:val="26"/>
                <w:szCs w:val="26"/>
                <w:lang w:bidi="ar"/>
              </w:rPr>
              <w:t>项目</w:t>
            </w:r>
            <w:r>
              <w:rPr>
                <w:rFonts w:hint="eastAsia" w:ascii="Times New Roman" w:hAnsi="Times New Roman" w:cs="Times New Roman"/>
                <w:color w:val="auto"/>
                <w:kern w:val="2"/>
                <w:sz w:val="26"/>
                <w:szCs w:val="26"/>
                <w:lang w:eastAsia="zh-CN" w:bidi="ar"/>
              </w:rPr>
              <w:t>主要依托现有设施设备，不新增产噪设备</w:t>
            </w:r>
            <w:r>
              <w:rPr>
                <w:rFonts w:hint="default" w:ascii="Times New Roman" w:hAnsi="Times New Roman" w:cs="Times New Roman"/>
                <w:color w:val="auto"/>
                <w:kern w:val="2"/>
                <w:sz w:val="26"/>
                <w:szCs w:val="26"/>
                <w:lang w:val="en-US" w:eastAsia="zh-CN" w:bidi="ar"/>
              </w:rPr>
              <w:t>。</w:t>
            </w:r>
          </w:p>
          <w:p w14:paraId="4C67FB27">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（3）预测模式</w:t>
            </w:r>
          </w:p>
          <w:p w14:paraId="082EB582">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预测模式如下：</w:t>
            </w:r>
          </w:p>
          <w:p w14:paraId="223D573A">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pt-BR" w:eastAsia="zh-CN"/>
              </w:rPr>
              <w:t>①</w:t>
            </w:r>
            <w:r>
              <w:rPr>
                <w:rFonts w:hint="eastAsia" w:ascii="Times New Roman" w:hAnsi="Times New Roman" w:eastAsia="宋体" w:cs="Times New Roman"/>
                <w:color w:val="auto"/>
                <w:sz w:val="26"/>
                <w:szCs w:val="26"/>
                <w:lang w:val="en-US" w:eastAsia="zh-CN"/>
              </w:rPr>
              <w:t>室内声源</w:t>
            </w:r>
            <w:r>
              <w:rPr>
                <w:rFonts w:hint="default" w:ascii="Times New Roman" w:hAnsi="Times New Roman" w:eastAsia="宋体" w:cs="Times New Roman"/>
                <w:color w:val="auto"/>
                <w:sz w:val="26"/>
                <w:szCs w:val="26"/>
                <w:lang w:val="en-US" w:eastAsia="zh-CN"/>
              </w:rPr>
              <w:t>等效室外声源声功率级计算方法</w:t>
            </w:r>
          </w:p>
          <w:p w14:paraId="725FCACF">
            <w:pPr>
              <w:adjustRightInd w:val="0"/>
              <w:snapToGrid w:val="0"/>
              <w:spacing w:line="470" w:lineRule="exact"/>
              <w:ind w:firstLine="520" w:firstLineChars="200"/>
              <w:jc w:val="center"/>
              <w:rPr>
                <w:rFonts w:hint="eastAsia" w:ascii="Times New Roman"/>
                <w:color w:val="auto"/>
                <w:sz w:val="26"/>
                <w:szCs w:val="26"/>
              </w:rPr>
            </w:pPr>
            <w:r>
              <w:rPr>
                <w:rFonts w:ascii="Times New Roman"/>
                <w:color w:val="auto"/>
                <w:sz w:val="26"/>
                <w:szCs w:val="26"/>
              </w:rPr>
              <w:t>L</w:t>
            </w:r>
            <w:r>
              <w:rPr>
                <w:rFonts w:ascii="Times New Roman"/>
                <w:color w:val="auto"/>
                <w:sz w:val="26"/>
                <w:szCs w:val="26"/>
                <w:vertAlign w:val="subscript"/>
              </w:rPr>
              <w:t>p2</w:t>
            </w:r>
            <w:r>
              <w:rPr>
                <w:rFonts w:ascii="Times New Roman"/>
                <w:color w:val="auto"/>
                <w:sz w:val="26"/>
                <w:szCs w:val="26"/>
              </w:rPr>
              <w:t>=L</w:t>
            </w:r>
            <w:r>
              <w:rPr>
                <w:rFonts w:ascii="Times New Roman"/>
                <w:color w:val="auto"/>
                <w:sz w:val="26"/>
                <w:szCs w:val="26"/>
                <w:vertAlign w:val="subscript"/>
              </w:rPr>
              <w:t>p1</w:t>
            </w:r>
            <w:r>
              <w:rPr>
                <w:rFonts w:ascii="Times New Roman"/>
                <w:color w:val="auto"/>
                <w:sz w:val="26"/>
                <w:szCs w:val="26"/>
              </w:rPr>
              <w:t>-</w:t>
            </w:r>
            <w:r>
              <w:rPr>
                <w:rFonts w:hint="eastAsia" w:ascii="Times New Roman"/>
                <w:color w:val="auto"/>
                <w:sz w:val="26"/>
                <w:szCs w:val="26"/>
              </w:rPr>
              <w:t>（TL+6）</w:t>
            </w:r>
          </w:p>
          <w:p w14:paraId="53D096EF">
            <w:pPr>
              <w:adjustRightInd w:val="0"/>
              <w:snapToGrid w:val="0"/>
              <w:spacing w:line="460" w:lineRule="exact"/>
              <w:ind w:firstLine="520" w:firstLineChars="200"/>
              <w:rPr>
                <w:rFonts w:hint="eastAsia" w:ascii="Times New Roman"/>
                <w:color w:val="auto"/>
                <w:sz w:val="26"/>
                <w:szCs w:val="26"/>
              </w:rPr>
            </w:pPr>
            <w:r>
              <w:rPr>
                <w:rFonts w:ascii="Times New Roman"/>
                <w:color w:val="auto"/>
                <w:sz w:val="26"/>
                <w:szCs w:val="26"/>
              </w:rPr>
              <w:t>式中：</w:t>
            </w:r>
            <w:r>
              <w:rPr>
                <w:rFonts w:hint="eastAsia" w:ascii="Times New Roman"/>
                <w:color w:val="auto"/>
                <w:sz w:val="26"/>
                <w:szCs w:val="26"/>
              </w:rPr>
              <w:t>L</w:t>
            </w:r>
            <w:r>
              <w:rPr>
                <w:rFonts w:hint="eastAsia" w:ascii="Times New Roman"/>
                <w:color w:val="auto"/>
                <w:sz w:val="26"/>
                <w:szCs w:val="26"/>
                <w:vertAlign w:val="subscript"/>
              </w:rPr>
              <w:t>pl</w:t>
            </w:r>
            <w:r>
              <w:rPr>
                <w:rFonts w:hint="eastAsia" w:ascii="Times New Roman"/>
                <w:color w:val="auto"/>
                <w:sz w:val="26"/>
                <w:szCs w:val="26"/>
              </w:rPr>
              <w:t>——靠近开口处（或窗户）室内某倍频带的声压级或A声级，dB；</w:t>
            </w:r>
          </w:p>
          <w:p w14:paraId="67124870">
            <w:pPr>
              <w:adjustRightInd w:val="0"/>
              <w:snapToGrid w:val="0"/>
              <w:spacing w:line="460" w:lineRule="exact"/>
              <w:ind w:firstLine="1300" w:firstLineChars="500"/>
              <w:rPr>
                <w:rFonts w:hint="eastAsia" w:ascii="Times New Roman"/>
                <w:color w:val="auto"/>
                <w:sz w:val="26"/>
                <w:szCs w:val="26"/>
              </w:rPr>
            </w:pPr>
            <w:r>
              <w:rPr>
                <w:rFonts w:hint="eastAsia" w:ascii="Times New Roman"/>
                <w:color w:val="auto"/>
                <w:sz w:val="26"/>
                <w:szCs w:val="26"/>
              </w:rPr>
              <w:t>L</w:t>
            </w:r>
            <w:r>
              <w:rPr>
                <w:rFonts w:hint="eastAsia" w:ascii="Times New Roman"/>
                <w:color w:val="auto"/>
                <w:sz w:val="26"/>
                <w:szCs w:val="26"/>
                <w:vertAlign w:val="subscript"/>
              </w:rPr>
              <w:t>p2</w:t>
            </w:r>
            <w:r>
              <w:rPr>
                <w:rFonts w:hint="eastAsia" w:ascii="Times New Roman"/>
                <w:color w:val="auto"/>
                <w:sz w:val="26"/>
                <w:szCs w:val="26"/>
              </w:rPr>
              <w:t>——靠近开口处</w:t>
            </w:r>
            <w:r>
              <w:rPr>
                <w:rFonts w:hint="eastAsia" w:ascii="Times New Roman"/>
                <w:color w:val="auto"/>
                <w:sz w:val="26"/>
                <w:szCs w:val="26"/>
                <w:lang w:eastAsia="zh-CN"/>
              </w:rPr>
              <w:t>（</w:t>
            </w:r>
            <w:r>
              <w:rPr>
                <w:rFonts w:hint="eastAsia" w:ascii="Times New Roman"/>
                <w:color w:val="auto"/>
                <w:sz w:val="26"/>
                <w:szCs w:val="26"/>
              </w:rPr>
              <w:t>或窗户</w:t>
            </w:r>
            <w:r>
              <w:rPr>
                <w:rFonts w:hint="eastAsia" w:ascii="Times New Roman"/>
                <w:color w:val="auto"/>
                <w:sz w:val="26"/>
                <w:szCs w:val="26"/>
                <w:lang w:eastAsia="zh-CN"/>
              </w:rPr>
              <w:t>）</w:t>
            </w:r>
            <w:r>
              <w:rPr>
                <w:rFonts w:hint="eastAsia" w:ascii="Times New Roman"/>
                <w:color w:val="auto"/>
                <w:sz w:val="26"/>
                <w:szCs w:val="26"/>
              </w:rPr>
              <w:t>室外某倍频带的声压级或A声级，dB；</w:t>
            </w:r>
          </w:p>
          <w:p w14:paraId="0E6945F0">
            <w:pPr>
              <w:spacing w:line="460" w:lineRule="exact"/>
              <w:ind w:firstLine="1300" w:firstLineChars="500"/>
              <w:rPr>
                <w:rFonts w:hint="eastAsia" w:ascii="Times New Roman" w:hAnsi="Times New Roman" w:eastAsia="宋体" w:cs="Times New Roman"/>
                <w:color w:val="auto"/>
                <w:sz w:val="26"/>
                <w:szCs w:val="26"/>
                <w:lang w:val="en-US" w:eastAsia="zh-CN"/>
              </w:rPr>
            </w:pPr>
            <w:r>
              <w:rPr>
                <w:rFonts w:hint="eastAsia" w:ascii="Times New Roman"/>
                <w:color w:val="auto"/>
                <w:sz w:val="26"/>
                <w:szCs w:val="26"/>
              </w:rPr>
              <w:t>TL——隔墙</w:t>
            </w:r>
            <w:r>
              <w:rPr>
                <w:rFonts w:hint="eastAsia" w:ascii="Times New Roman"/>
                <w:color w:val="auto"/>
                <w:sz w:val="26"/>
                <w:szCs w:val="26"/>
                <w:lang w:eastAsia="zh-CN"/>
              </w:rPr>
              <w:t>（</w:t>
            </w:r>
            <w:r>
              <w:rPr>
                <w:rFonts w:hint="eastAsia" w:ascii="Times New Roman"/>
                <w:color w:val="auto"/>
                <w:sz w:val="26"/>
                <w:szCs w:val="26"/>
              </w:rPr>
              <w:t>或窗户</w:t>
            </w:r>
            <w:r>
              <w:rPr>
                <w:rFonts w:hint="eastAsia" w:ascii="Times New Roman"/>
                <w:color w:val="auto"/>
                <w:sz w:val="26"/>
                <w:szCs w:val="26"/>
                <w:lang w:eastAsia="zh-CN"/>
              </w:rPr>
              <w:t>）</w:t>
            </w:r>
            <w:r>
              <w:rPr>
                <w:rFonts w:hint="eastAsia" w:ascii="Times New Roman"/>
                <w:color w:val="auto"/>
                <w:sz w:val="26"/>
                <w:szCs w:val="26"/>
              </w:rPr>
              <w:t>倍频带或A声级的隔声量，dB。</w:t>
            </w:r>
          </w:p>
          <w:p w14:paraId="6EFBB494">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②点声源模式</w:t>
            </w:r>
          </w:p>
          <w:p w14:paraId="153B0B77">
            <w:pPr>
              <w:adjustRightInd w:val="0"/>
              <w:snapToGrid w:val="0"/>
              <w:spacing w:before="120" w:beforeLines="50" w:after="120" w:afterLines="50" w:line="460" w:lineRule="exact"/>
              <w:ind w:firstLine="520" w:firstLineChars="200"/>
              <w:jc w:val="center"/>
              <w:rPr>
                <w:rFonts w:ascii="Times New Roman" w:hAnsi="Times New Roman"/>
                <w:color w:val="auto"/>
                <w:sz w:val="26"/>
                <w:szCs w:val="26"/>
              </w:rPr>
            </w:pPr>
            <w:r>
              <w:rPr>
                <w:rFonts w:ascii="Times New Roman"/>
                <w:color w:val="auto"/>
                <w:sz w:val="26"/>
                <w:szCs w:val="26"/>
              </w:rPr>
              <w:t>L</w:t>
            </w:r>
            <w:r>
              <w:rPr>
                <w:rFonts w:hint="eastAsia" w:ascii="Times New Roman"/>
                <w:color w:val="auto"/>
                <w:sz w:val="26"/>
                <w:szCs w:val="26"/>
                <w:vertAlign w:val="subscript"/>
              </w:rPr>
              <w:t>A</w:t>
            </w:r>
            <w:r>
              <w:rPr>
                <w:rFonts w:ascii="Times New Roman"/>
                <w:color w:val="auto"/>
                <w:sz w:val="26"/>
                <w:szCs w:val="26"/>
              </w:rPr>
              <w:t>=L</w:t>
            </w:r>
            <w:r>
              <w:rPr>
                <w:rFonts w:ascii="Times New Roman"/>
                <w:color w:val="auto"/>
                <w:sz w:val="26"/>
                <w:szCs w:val="26"/>
                <w:vertAlign w:val="subscript"/>
              </w:rPr>
              <w:t>p</w:t>
            </w:r>
            <w:r>
              <w:rPr>
                <w:rFonts w:hint="eastAsia" w:ascii="Times New Roman"/>
                <w:color w:val="auto"/>
                <w:sz w:val="26"/>
                <w:szCs w:val="26"/>
                <w:vertAlign w:val="subscript"/>
              </w:rPr>
              <w:t>2</w:t>
            </w:r>
            <w:r>
              <w:rPr>
                <w:rFonts w:ascii="Times New Roman"/>
                <w:color w:val="auto"/>
                <w:sz w:val="26"/>
                <w:szCs w:val="26"/>
              </w:rPr>
              <w:t>-20lg</w:t>
            </w:r>
            <w:r>
              <w:rPr>
                <w:rFonts w:hint="eastAsia" w:ascii="Times New Roman"/>
                <w:color w:val="auto"/>
                <w:sz w:val="26"/>
                <w:szCs w:val="26"/>
                <w:lang w:eastAsia="zh-CN"/>
              </w:rPr>
              <w:t>（</w:t>
            </w:r>
            <w:r>
              <w:rPr>
                <w:rFonts w:ascii="Times New Roman"/>
                <w:color w:val="auto"/>
                <w:sz w:val="26"/>
                <w:szCs w:val="26"/>
              </w:rPr>
              <w:t>r/r</w:t>
            </w:r>
            <w:r>
              <w:rPr>
                <w:rFonts w:hint="eastAsia" w:ascii="Times New Roman"/>
                <w:color w:val="auto"/>
                <w:sz w:val="26"/>
                <w:szCs w:val="26"/>
                <w:vertAlign w:val="subscript"/>
              </w:rPr>
              <w:t>0</w:t>
            </w:r>
            <w:r>
              <w:rPr>
                <w:rFonts w:hint="eastAsia" w:ascii="Times New Roman"/>
                <w:color w:val="auto"/>
                <w:sz w:val="26"/>
                <w:szCs w:val="26"/>
                <w:lang w:eastAsia="zh-CN"/>
              </w:rPr>
              <w:t>）</w:t>
            </w:r>
          </w:p>
          <w:p w14:paraId="72B0F4F9">
            <w:pPr>
              <w:adjustRightInd w:val="0"/>
              <w:snapToGrid w:val="0"/>
              <w:spacing w:line="470" w:lineRule="exact"/>
              <w:ind w:firstLine="520" w:firstLineChars="200"/>
              <w:rPr>
                <w:rFonts w:ascii="Times New Roman"/>
                <w:color w:val="auto"/>
                <w:sz w:val="26"/>
                <w:szCs w:val="26"/>
              </w:rPr>
            </w:pPr>
            <w:r>
              <w:rPr>
                <w:rFonts w:ascii="Times New Roman"/>
                <w:color w:val="auto"/>
                <w:sz w:val="26"/>
                <w:szCs w:val="26"/>
              </w:rPr>
              <w:t>式中：L</w:t>
            </w:r>
            <w:r>
              <w:rPr>
                <w:rFonts w:hint="eastAsia" w:ascii="Times New Roman"/>
                <w:color w:val="auto"/>
                <w:sz w:val="26"/>
                <w:szCs w:val="26"/>
                <w:vertAlign w:val="subscript"/>
              </w:rPr>
              <w:t>A</w:t>
            </w:r>
            <w:r>
              <w:rPr>
                <w:rFonts w:ascii="Times New Roman"/>
                <w:color w:val="auto"/>
                <w:sz w:val="26"/>
                <w:szCs w:val="26"/>
              </w:rPr>
              <w:t>——预测点声</w:t>
            </w:r>
            <w:r>
              <w:rPr>
                <w:rFonts w:hint="eastAsia" w:ascii="Times New Roman"/>
                <w:color w:val="auto"/>
                <w:sz w:val="26"/>
                <w:szCs w:val="26"/>
              </w:rPr>
              <w:t>压</w:t>
            </w:r>
            <w:r>
              <w:rPr>
                <w:rFonts w:ascii="Times New Roman"/>
                <w:color w:val="auto"/>
                <w:sz w:val="26"/>
                <w:szCs w:val="26"/>
              </w:rPr>
              <w:t>级，dB</w:t>
            </w:r>
            <w:r>
              <w:rPr>
                <w:rFonts w:hint="eastAsia" w:ascii="Times New Roman"/>
                <w:color w:val="auto"/>
                <w:sz w:val="26"/>
                <w:szCs w:val="26"/>
                <w:lang w:eastAsia="zh-CN"/>
              </w:rPr>
              <w:t>（</w:t>
            </w:r>
            <w:r>
              <w:rPr>
                <w:rFonts w:ascii="Times New Roman"/>
                <w:color w:val="auto"/>
                <w:sz w:val="26"/>
                <w:szCs w:val="26"/>
              </w:rPr>
              <w:t>A</w:t>
            </w:r>
            <w:r>
              <w:rPr>
                <w:rFonts w:hint="eastAsia" w:ascii="Times New Roman"/>
                <w:color w:val="auto"/>
                <w:sz w:val="26"/>
                <w:szCs w:val="26"/>
                <w:lang w:eastAsia="zh-CN"/>
              </w:rPr>
              <w:t>）</w:t>
            </w:r>
            <w:r>
              <w:rPr>
                <w:rFonts w:ascii="Times New Roman"/>
                <w:color w:val="auto"/>
                <w:sz w:val="26"/>
                <w:szCs w:val="26"/>
              </w:rPr>
              <w:t>；</w:t>
            </w:r>
          </w:p>
          <w:p w14:paraId="26D29A46">
            <w:pPr>
              <w:adjustRightInd w:val="0"/>
              <w:snapToGrid w:val="0"/>
              <w:spacing w:line="460" w:lineRule="exact"/>
              <w:ind w:firstLine="1300" w:firstLineChars="500"/>
              <w:rPr>
                <w:rFonts w:ascii="Times New Roman"/>
                <w:color w:val="auto"/>
                <w:sz w:val="26"/>
                <w:szCs w:val="26"/>
              </w:rPr>
            </w:pPr>
            <w:r>
              <w:rPr>
                <w:rFonts w:ascii="Times New Roman"/>
                <w:color w:val="auto"/>
                <w:sz w:val="26"/>
                <w:szCs w:val="26"/>
              </w:rPr>
              <w:t>L</w:t>
            </w:r>
            <w:r>
              <w:rPr>
                <w:rFonts w:ascii="Times New Roman"/>
                <w:color w:val="auto"/>
                <w:sz w:val="26"/>
                <w:szCs w:val="26"/>
                <w:vertAlign w:val="subscript"/>
              </w:rPr>
              <w:t>p</w:t>
            </w:r>
            <w:r>
              <w:rPr>
                <w:rFonts w:hint="eastAsia" w:ascii="Times New Roman"/>
                <w:color w:val="auto"/>
                <w:sz w:val="26"/>
                <w:szCs w:val="26"/>
                <w:vertAlign w:val="subscript"/>
              </w:rPr>
              <w:t>2</w:t>
            </w:r>
            <w:r>
              <w:rPr>
                <w:rFonts w:ascii="Times New Roman"/>
                <w:color w:val="auto"/>
                <w:sz w:val="26"/>
                <w:szCs w:val="26"/>
              </w:rPr>
              <w:t>——</w:t>
            </w:r>
            <w:r>
              <w:rPr>
                <w:rFonts w:hint="eastAsia" w:ascii="Times New Roman"/>
                <w:color w:val="auto"/>
                <w:sz w:val="26"/>
                <w:szCs w:val="26"/>
              </w:rPr>
              <w:t>参考位置</w:t>
            </w:r>
            <w:r>
              <w:rPr>
                <w:rFonts w:ascii="Times New Roman"/>
                <w:color w:val="auto"/>
                <w:sz w:val="26"/>
                <w:szCs w:val="26"/>
              </w:rPr>
              <w:t>r</w:t>
            </w:r>
            <w:r>
              <w:rPr>
                <w:rFonts w:hint="eastAsia" w:ascii="Times New Roman"/>
                <w:color w:val="auto"/>
                <w:sz w:val="26"/>
                <w:szCs w:val="26"/>
                <w:vertAlign w:val="subscript"/>
              </w:rPr>
              <w:t>0</w:t>
            </w:r>
            <w:r>
              <w:rPr>
                <w:rFonts w:ascii="Times New Roman"/>
                <w:color w:val="auto"/>
                <w:sz w:val="26"/>
                <w:szCs w:val="26"/>
              </w:rPr>
              <w:t>处的声</w:t>
            </w:r>
            <w:r>
              <w:rPr>
                <w:rFonts w:hint="eastAsia" w:ascii="Times New Roman"/>
                <w:color w:val="auto"/>
                <w:sz w:val="26"/>
                <w:szCs w:val="26"/>
              </w:rPr>
              <w:t>压</w:t>
            </w:r>
            <w:r>
              <w:rPr>
                <w:rFonts w:ascii="Times New Roman"/>
                <w:color w:val="auto"/>
                <w:sz w:val="26"/>
                <w:szCs w:val="26"/>
              </w:rPr>
              <w:t>级，dB</w:t>
            </w:r>
            <w:r>
              <w:rPr>
                <w:rFonts w:hint="eastAsia" w:ascii="Times New Roman"/>
                <w:color w:val="auto"/>
                <w:sz w:val="26"/>
                <w:szCs w:val="26"/>
                <w:lang w:eastAsia="zh-CN"/>
              </w:rPr>
              <w:t>（</w:t>
            </w:r>
            <w:r>
              <w:rPr>
                <w:rFonts w:ascii="Times New Roman"/>
                <w:color w:val="auto"/>
                <w:sz w:val="26"/>
                <w:szCs w:val="26"/>
              </w:rPr>
              <w:t>A</w:t>
            </w:r>
            <w:r>
              <w:rPr>
                <w:rFonts w:hint="eastAsia" w:ascii="Times New Roman"/>
                <w:color w:val="auto"/>
                <w:sz w:val="26"/>
                <w:szCs w:val="26"/>
                <w:lang w:eastAsia="zh-CN"/>
              </w:rPr>
              <w:t>）</w:t>
            </w:r>
            <w:r>
              <w:rPr>
                <w:rFonts w:ascii="Times New Roman"/>
                <w:color w:val="auto"/>
                <w:sz w:val="26"/>
                <w:szCs w:val="26"/>
              </w:rPr>
              <w:t>；</w:t>
            </w:r>
          </w:p>
          <w:p w14:paraId="7440F7AD">
            <w:pPr>
              <w:adjustRightInd w:val="0"/>
              <w:snapToGrid w:val="0"/>
              <w:spacing w:line="460" w:lineRule="exact"/>
              <w:ind w:firstLine="1300" w:firstLineChars="500"/>
              <w:rPr>
                <w:rFonts w:ascii="Times New Roman"/>
                <w:color w:val="auto"/>
                <w:sz w:val="26"/>
                <w:szCs w:val="26"/>
              </w:rPr>
            </w:pPr>
            <w:r>
              <w:rPr>
                <w:rFonts w:ascii="Times New Roman"/>
                <w:color w:val="auto"/>
                <w:sz w:val="26"/>
                <w:szCs w:val="26"/>
              </w:rPr>
              <w:t>r——预测点</w:t>
            </w:r>
            <w:r>
              <w:rPr>
                <w:rFonts w:hint="eastAsia" w:ascii="Times New Roman"/>
                <w:color w:val="auto"/>
                <w:sz w:val="26"/>
                <w:szCs w:val="26"/>
              </w:rPr>
              <w:t>距</w:t>
            </w:r>
            <w:r>
              <w:rPr>
                <w:rFonts w:ascii="Times New Roman"/>
                <w:color w:val="auto"/>
                <w:sz w:val="26"/>
                <w:szCs w:val="26"/>
              </w:rPr>
              <w:t>声源的距离，m；</w:t>
            </w:r>
          </w:p>
          <w:p w14:paraId="01356B26">
            <w:pPr>
              <w:snapToGrid w:val="0"/>
              <w:spacing w:line="460" w:lineRule="exact"/>
              <w:ind w:firstLine="1300" w:firstLineChars="500"/>
              <w:rPr>
                <w:rFonts w:ascii="Times New Roman" w:hAnsi="Times New Roman"/>
                <w:color w:val="auto"/>
                <w:sz w:val="26"/>
                <w:szCs w:val="26"/>
              </w:rPr>
            </w:pPr>
            <w:r>
              <w:rPr>
                <w:rFonts w:ascii="Times New Roman"/>
                <w:color w:val="auto"/>
                <w:sz w:val="26"/>
                <w:szCs w:val="26"/>
              </w:rPr>
              <w:t>r</w:t>
            </w:r>
            <w:r>
              <w:rPr>
                <w:rFonts w:hint="eastAsia" w:ascii="Times New Roman"/>
                <w:color w:val="auto"/>
                <w:sz w:val="26"/>
                <w:szCs w:val="26"/>
                <w:vertAlign w:val="subscript"/>
              </w:rPr>
              <w:t>0</w:t>
            </w:r>
            <w:r>
              <w:rPr>
                <w:rFonts w:ascii="Times New Roman"/>
                <w:color w:val="auto"/>
                <w:sz w:val="26"/>
                <w:szCs w:val="26"/>
              </w:rPr>
              <w:t>——</w:t>
            </w:r>
            <w:r>
              <w:rPr>
                <w:rFonts w:hint="eastAsia" w:ascii="Times New Roman"/>
                <w:color w:val="auto"/>
                <w:sz w:val="26"/>
                <w:szCs w:val="26"/>
              </w:rPr>
              <w:t>参考位置距声源的</w:t>
            </w:r>
            <w:r>
              <w:rPr>
                <w:rFonts w:ascii="Times New Roman"/>
                <w:color w:val="auto"/>
                <w:sz w:val="26"/>
                <w:szCs w:val="26"/>
              </w:rPr>
              <w:t>距离，m。</w:t>
            </w:r>
          </w:p>
          <w:p w14:paraId="47312088">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ascii="Times New Roman" w:hAnsi="Times New Roman" w:eastAsia="宋体" w:cs="Times New Roman"/>
                <w:color w:val="auto"/>
                <w:sz w:val="26"/>
                <w:szCs w:val="26"/>
                <w:lang w:val="en-US" w:eastAsia="zh-CN"/>
              </w:rPr>
            </w:pPr>
            <w:r>
              <w:rPr>
                <w:rFonts w:hint="default" w:ascii="Times New Roman" w:hAnsi="Times New Roman" w:cs="Times New Roman"/>
                <w:bCs/>
                <w:color w:val="auto"/>
                <w:sz w:val="26"/>
                <w:szCs w:val="26"/>
              </w:rPr>
              <w:t>③</w:t>
            </w:r>
            <w:r>
              <w:rPr>
                <w:rFonts w:hint="eastAsia" w:ascii="Times New Roman" w:hAnsi="Times New Roman" w:cs="Times New Roman"/>
                <w:bCs/>
                <w:color w:val="auto"/>
                <w:sz w:val="26"/>
                <w:szCs w:val="26"/>
                <w:lang w:val="en-US" w:eastAsia="zh-CN"/>
              </w:rPr>
              <w:t xml:space="preserve"> </w:t>
            </w:r>
            <w:r>
              <w:rPr>
                <w:rFonts w:hint="default" w:ascii="Times New Roman" w:hAnsi="Times New Roman" w:eastAsia="宋体" w:cs="Times New Roman"/>
                <w:color w:val="auto"/>
                <w:sz w:val="26"/>
                <w:szCs w:val="26"/>
                <w:lang w:val="en-US" w:eastAsia="zh-CN"/>
              </w:rPr>
              <w:t>工业企业噪声计算</w:t>
            </w:r>
          </w:p>
          <w:p w14:paraId="21FB12C5">
            <w:pPr>
              <w:adjustRightInd w:val="0"/>
              <w:snapToGrid w:val="0"/>
              <w:spacing w:line="470" w:lineRule="exact"/>
              <w:ind w:firstLine="520" w:firstLineChars="200"/>
              <w:rPr>
                <w:rFonts w:hint="eastAsia" w:ascii="Times New Roman"/>
                <w:color w:val="auto"/>
                <w:sz w:val="26"/>
                <w:szCs w:val="26"/>
              </w:rPr>
            </w:pPr>
            <w:r>
              <w:rPr>
                <w:rFonts w:hint="eastAsia" w:ascii="Times New Roman"/>
                <w:color w:val="auto"/>
                <w:sz w:val="26"/>
                <w:szCs w:val="26"/>
              </w:rPr>
              <w:t>设第i个室外声源在预测点产生的A声级为L</w:t>
            </w:r>
            <w:r>
              <w:rPr>
                <w:rFonts w:hint="eastAsia" w:ascii="Times New Roman"/>
                <w:color w:val="auto"/>
                <w:sz w:val="26"/>
                <w:szCs w:val="26"/>
                <w:vertAlign w:val="subscript"/>
              </w:rPr>
              <w:t>Ai</w:t>
            </w:r>
            <w:r>
              <w:rPr>
                <w:rFonts w:hint="eastAsia" w:ascii="Times New Roman"/>
                <w:color w:val="auto"/>
                <w:sz w:val="26"/>
                <w:szCs w:val="26"/>
              </w:rPr>
              <w:t>，在T时间内该声源工作时间为t</w:t>
            </w:r>
            <w:r>
              <w:rPr>
                <w:rFonts w:hint="eastAsia" w:ascii="Times New Roman"/>
                <w:color w:val="auto"/>
                <w:sz w:val="26"/>
                <w:szCs w:val="26"/>
                <w:vertAlign w:val="subscript"/>
              </w:rPr>
              <w:t>i</w:t>
            </w:r>
            <w:r>
              <w:rPr>
                <w:rFonts w:hint="eastAsia" w:ascii="Times New Roman"/>
                <w:color w:val="auto"/>
                <w:sz w:val="26"/>
                <w:szCs w:val="26"/>
              </w:rPr>
              <w:t>﹔第j个等效室外声源在预测点产生的A声级为L</w:t>
            </w:r>
            <w:r>
              <w:rPr>
                <w:rFonts w:hint="eastAsia" w:ascii="Times New Roman"/>
                <w:color w:val="auto"/>
                <w:sz w:val="26"/>
                <w:szCs w:val="26"/>
                <w:vertAlign w:val="subscript"/>
              </w:rPr>
              <w:t>Aj</w:t>
            </w:r>
            <w:r>
              <w:rPr>
                <w:rFonts w:hint="eastAsia" w:ascii="Times New Roman"/>
                <w:color w:val="auto"/>
                <w:sz w:val="26"/>
                <w:szCs w:val="26"/>
              </w:rPr>
              <w:t>，在T时间内该声源工作时间为t</w:t>
            </w:r>
            <w:r>
              <w:rPr>
                <w:rFonts w:hint="eastAsia" w:ascii="Times New Roman"/>
                <w:color w:val="auto"/>
                <w:sz w:val="26"/>
                <w:szCs w:val="26"/>
                <w:vertAlign w:val="subscript"/>
              </w:rPr>
              <w:t>j</w:t>
            </w:r>
            <w:r>
              <w:rPr>
                <w:rFonts w:hint="eastAsia" w:ascii="Times New Roman"/>
                <w:color w:val="auto"/>
                <w:sz w:val="26"/>
                <w:szCs w:val="26"/>
              </w:rPr>
              <w:t>，则拟建工程声源对预测点产生的贡献值（L</w:t>
            </w:r>
            <w:r>
              <w:rPr>
                <w:rFonts w:hint="eastAsia" w:ascii="Times New Roman"/>
                <w:color w:val="auto"/>
                <w:sz w:val="26"/>
                <w:szCs w:val="26"/>
                <w:vertAlign w:val="subscript"/>
              </w:rPr>
              <w:t>eqg</w:t>
            </w:r>
            <w:r>
              <w:rPr>
                <w:rFonts w:hint="eastAsia" w:ascii="Times New Roman"/>
                <w:color w:val="auto"/>
                <w:sz w:val="26"/>
                <w:szCs w:val="26"/>
              </w:rPr>
              <w:t>）为：</w:t>
            </w:r>
          </w:p>
          <w:p w14:paraId="218F35FF">
            <w:pPr>
              <w:adjustRightInd w:val="0"/>
              <w:snapToGrid w:val="0"/>
              <w:ind w:firstLine="420" w:firstLineChars="200"/>
              <w:rPr>
                <w:color w:val="auto"/>
              </w:rPr>
            </w:pPr>
            <w:r>
              <w:rPr>
                <w:color w:val="auto"/>
              </w:rPr>
              <w:drawing>
                <wp:inline distT="0" distB="0" distL="114300" distR="114300">
                  <wp:extent cx="3924300" cy="704850"/>
                  <wp:effectExtent l="0" t="0" r="0" b="0"/>
                  <wp:docPr id="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2"/>
                          <pic:cNvPicPr>
                            <a:picLocks noChangeAspect="1"/>
                          </pic:cNvPicPr>
                        </pic:nvPicPr>
                        <pic:blipFill>
                          <a:blip r:embed="rId28"/>
                          <a:stretch>
                            <a:fillRect/>
                          </a:stretch>
                        </pic:blipFill>
                        <pic:spPr>
                          <a:xfrm>
                            <a:off x="0" y="0"/>
                            <a:ext cx="3924300" cy="704850"/>
                          </a:xfrm>
                          <a:prstGeom prst="rect">
                            <a:avLst/>
                          </a:prstGeom>
                          <a:noFill/>
                          <a:ln>
                            <a:noFill/>
                          </a:ln>
                        </pic:spPr>
                      </pic:pic>
                    </a:graphicData>
                  </a:graphic>
                </wp:inline>
              </w:drawing>
            </w:r>
          </w:p>
          <w:p w14:paraId="228AFF26">
            <w:pPr>
              <w:pStyle w:val="23"/>
              <w:keepNext w:val="0"/>
              <w:keepLines w:val="0"/>
              <w:pageBreakBefore w:val="0"/>
              <w:widowControl w:val="0"/>
              <w:kinsoku/>
              <w:wordWrap/>
              <w:overflowPunct/>
              <w:topLinePunct w:val="0"/>
              <w:autoSpaceDE/>
              <w:autoSpaceDN/>
              <w:bidi w:val="0"/>
              <w:adjustRightInd/>
              <w:snapToGrid/>
              <w:spacing w:after="0" w:line="240" w:lineRule="exact"/>
              <w:ind w:left="0" w:leftChars="0" w:firstLine="210"/>
              <w:textAlignment w:val="auto"/>
              <w:rPr>
                <w:color w:val="auto"/>
              </w:rPr>
            </w:pPr>
          </w:p>
          <w:p w14:paraId="46F36B2F">
            <w:pPr>
              <w:keepNext w:val="0"/>
              <w:keepLines w:val="0"/>
              <w:pageBreakBefore w:val="0"/>
              <w:widowControl w:val="0"/>
              <w:kinsoku/>
              <w:wordWrap/>
              <w:overflowPunct/>
              <w:topLinePunct w:val="0"/>
              <w:autoSpaceDE/>
              <w:autoSpaceDN/>
              <w:bidi w:val="0"/>
              <w:adjustRightInd w:val="0"/>
              <w:snapToGrid w:val="0"/>
              <w:spacing w:line="460" w:lineRule="exact"/>
              <w:ind w:firstLine="520" w:firstLineChars="200"/>
              <w:textAlignment w:val="auto"/>
              <w:rPr>
                <w:rFonts w:ascii="Times New Roman"/>
                <w:color w:val="auto"/>
                <w:sz w:val="26"/>
                <w:szCs w:val="26"/>
              </w:rPr>
            </w:pPr>
            <w:r>
              <w:rPr>
                <w:rFonts w:ascii="Times New Roman"/>
                <w:color w:val="auto"/>
                <w:sz w:val="26"/>
                <w:szCs w:val="26"/>
              </w:rPr>
              <w:t>式中：</w:t>
            </w:r>
            <w:r>
              <w:rPr>
                <w:rFonts w:ascii="Times New Roman"/>
                <w:color w:val="auto"/>
                <w:sz w:val="26"/>
                <w:szCs w:val="26"/>
              </w:rPr>
              <w:object>
                <v:shape id="_x0000_i1031" o:spt="75" type="#_x0000_t75" style="height:22.5pt;width:22.5pt;" o:ole="t" filled="f" o:preferrelative="t" stroked="f" coordsize="21600,21600">
                  <v:path/>
                  <v:fill on="f" focussize="0,0"/>
                  <v:stroke on="f"/>
                  <v:imagedata r:id="rId30" o:title=""/>
                  <o:lock v:ext="edit" aspectratio="t"/>
                  <w10:wrap type="none"/>
                  <w10:anchorlock/>
                </v:shape>
                <o:OLEObject Type="Embed" ProgID="Equation.3" ShapeID="_x0000_i1031" DrawAspect="Content" ObjectID="_1468075734" r:id="rId29">
                  <o:LockedField>false</o:LockedField>
                </o:OLEObject>
              </w:object>
            </w:r>
            <w:r>
              <w:rPr>
                <w:rFonts w:ascii="Times New Roman"/>
                <w:color w:val="auto"/>
                <w:sz w:val="26"/>
                <w:szCs w:val="26"/>
              </w:rPr>
              <w:t>—建设项目声源在预测点</w:t>
            </w:r>
            <w:r>
              <w:rPr>
                <w:rFonts w:hint="eastAsia" w:ascii="Times New Roman"/>
                <w:color w:val="auto"/>
                <w:sz w:val="26"/>
                <w:szCs w:val="26"/>
              </w:rPr>
              <w:t>产生的噪声</w:t>
            </w:r>
            <w:r>
              <w:rPr>
                <w:rFonts w:ascii="Times New Roman"/>
                <w:color w:val="auto"/>
                <w:sz w:val="26"/>
                <w:szCs w:val="26"/>
              </w:rPr>
              <w:t>贡献值，dB（A）；</w:t>
            </w:r>
          </w:p>
          <w:p w14:paraId="042D9C39">
            <w:pPr>
              <w:keepNext w:val="0"/>
              <w:keepLines w:val="0"/>
              <w:pageBreakBefore w:val="0"/>
              <w:widowControl w:val="0"/>
              <w:kinsoku/>
              <w:wordWrap/>
              <w:overflowPunct/>
              <w:topLinePunct w:val="0"/>
              <w:autoSpaceDE/>
              <w:autoSpaceDN/>
              <w:bidi w:val="0"/>
              <w:adjustRightInd w:val="0"/>
              <w:snapToGrid w:val="0"/>
              <w:spacing w:line="460" w:lineRule="exact"/>
              <w:ind w:firstLine="1300" w:firstLineChars="500"/>
              <w:textAlignment w:val="auto"/>
              <w:rPr>
                <w:rFonts w:ascii="Times New Roman"/>
                <w:color w:val="auto"/>
                <w:sz w:val="26"/>
                <w:szCs w:val="26"/>
              </w:rPr>
            </w:pPr>
            <w:r>
              <w:rPr>
                <w:rFonts w:hint="eastAsia" w:ascii="Times New Roman"/>
                <w:color w:val="auto"/>
                <w:sz w:val="26"/>
                <w:szCs w:val="26"/>
              </w:rPr>
              <w:t>L</w:t>
            </w:r>
            <w:r>
              <w:rPr>
                <w:rFonts w:hint="eastAsia" w:ascii="Times New Roman"/>
                <w:color w:val="auto"/>
                <w:sz w:val="26"/>
                <w:szCs w:val="26"/>
                <w:vertAlign w:val="subscript"/>
              </w:rPr>
              <w:t>Ai</w:t>
            </w:r>
            <w:r>
              <w:rPr>
                <w:rFonts w:ascii="Times New Roman"/>
                <w:color w:val="auto"/>
                <w:sz w:val="26"/>
                <w:szCs w:val="26"/>
              </w:rPr>
              <w:t>—</w:t>
            </w:r>
            <w:r>
              <w:rPr>
                <w:rFonts w:hint="eastAsia" w:ascii="Times New Roman"/>
                <w:color w:val="auto"/>
                <w:sz w:val="26"/>
                <w:szCs w:val="26"/>
              </w:rPr>
              <w:t>室外</w:t>
            </w:r>
            <w:r>
              <w:rPr>
                <w:rFonts w:ascii="Times New Roman"/>
                <w:color w:val="auto"/>
                <w:sz w:val="26"/>
                <w:szCs w:val="26"/>
              </w:rPr>
              <w:t>声源在预测点产生的A声级，dB（A）；</w:t>
            </w:r>
          </w:p>
          <w:p w14:paraId="6B60DC72">
            <w:pPr>
              <w:keepNext w:val="0"/>
              <w:keepLines w:val="0"/>
              <w:pageBreakBefore w:val="0"/>
              <w:widowControl w:val="0"/>
              <w:kinsoku/>
              <w:wordWrap/>
              <w:overflowPunct/>
              <w:topLinePunct w:val="0"/>
              <w:autoSpaceDE/>
              <w:autoSpaceDN/>
              <w:bidi w:val="0"/>
              <w:adjustRightInd w:val="0"/>
              <w:snapToGrid w:val="0"/>
              <w:spacing w:line="460" w:lineRule="exact"/>
              <w:ind w:firstLine="1300" w:firstLineChars="500"/>
              <w:textAlignment w:val="auto"/>
              <w:rPr>
                <w:rFonts w:ascii="Times New Roman"/>
                <w:color w:val="auto"/>
                <w:sz w:val="26"/>
                <w:szCs w:val="26"/>
              </w:rPr>
            </w:pPr>
            <w:r>
              <w:rPr>
                <w:rFonts w:hint="eastAsia" w:ascii="Times New Roman"/>
                <w:color w:val="auto"/>
                <w:sz w:val="26"/>
                <w:szCs w:val="26"/>
              </w:rPr>
              <w:t>T</w:t>
            </w:r>
            <w:r>
              <w:rPr>
                <w:rFonts w:ascii="Times New Roman"/>
                <w:color w:val="auto"/>
                <w:sz w:val="26"/>
                <w:szCs w:val="26"/>
              </w:rPr>
              <w:t>—</w:t>
            </w:r>
            <w:r>
              <w:rPr>
                <w:rFonts w:hint="eastAsia" w:ascii="Times New Roman"/>
                <w:color w:val="auto"/>
                <w:sz w:val="26"/>
                <w:szCs w:val="26"/>
              </w:rPr>
              <w:t>用于计算等效声级</w:t>
            </w:r>
            <w:r>
              <w:rPr>
                <w:rFonts w:ascii="Times New Roman"/>
                <w:color w:val="auto"/>
                <w:sz w:val="26"/>
                <w:szCs w:val="26"/>
              </w:rPr>
              <w:t>的时间，s；</w:t>
            </w:r>
          </w:p>
          <w:p w14:paraId="4CFB6738">
            <w:pPr>
              <w:keepNext w:val="0"/>
              <w:keepLines w:val="0"/>
              <w:pageBreakBefore w:val="0"/>
              <w:widowControl w:val="0"/>
              <w:kinsoku/>
              <w:wordWrap/>
              <w:overflowPunct/>
              <w:topLinePunct w:val="0"/>
              <w:autoSpaceDE/>
              <w:autoSpaceDN/>
              <w:bidi w:val="0"/>
              <w:adjustRightInd w:val="0"/>
              <w:snapToGrid w:val="0"/>
              <w:spacing w:line="460" w:lineRule="exact"/>
              <w:ind w:firstLine="1300" w:firstLineChars="500"/>
              <w:textAlignment w:val="auto"/>
              <w:rPr>
                <w:rFonts w:hint="eastAsia" w:ascii="Times New Roman"/>
                <w:color w:val="auto"/>
                <w:sz w:val="26"/>
                <w:szCs w:val="26"/>
              </w:rPr>
            </w:pPr>
            <w:r>
              <w:rPr>
                <w:rFonts w:hint="eastAsia" w:ascii="Times New Roman"/>
                <w:color w:val="auto"/>
                <w:sz w:val="26"/>
                <w:szCs w:val="26"/>
              </w:rPr>
              <w:t>N-室外</w:t>
            </w:r>
            <w:r>
              <w:rPr>
                <w:rFonts w:ascii="Times New Roman"/>
                <w:color w:val="auto"/>
                <w:sz w:val="26"/>
                <w:szCs w:val="26"/>
              </w:rPr>
              <w:t>声源</w:t>
            </w:r>
            <w:r>
              <w:rPr>
                <w:rFonts w:hint="eastAsia" w:ascii="Times New Roman"/>
                <w:color w:val="auto"/>
                <w:sz w:val="26"/>
                <w:szCs w:val="26"/>
              </w:rPr>
              <w:t>个数；</w:t>
            </w:r>
          </w:p>
          <w:p w14:paraId="722EBF0C">
            <w:pPr>
              <w:keepNext w:val="0"/>
              <w:keepLines w:val="0"/>
              <w:pageBreakBefore w:val="0"/>
              <w:widowControl w:val="0"/>
              <w:kinsoku/>
              <w:wordWrap/>
              <w:overflowPunct/>
              <w:topLinePunct w:val="0"/>
              <w:autoSpaceDE/>
              <w:autoSpaceDN/>
              <w:bidi w:val="0"/>
              <w:adjustRightInd w:val="0"/>
              <w:snapToGrid w:val="0"/>
              <w:spacing w:line="460" w:lineRule="exact"/>
              <w:ind w:firstLine="1300" w:firstLineChars="500"/>
              <w:textAlignment w:val="auto"/>
              <w:rPr>
                <w:rFonts w:hint="eastAsia" w:ascii="Times New Roman"/>
                <w:color w:val="auto"/>
                <w:sz w:val="26"/>
                <w:szCs w:val="26"/>
              </w:rPr>
            </w:pPr>
            <w:r>
              <w:rPr>
                <w:rFonts w:hint="eastAsia" w:ascii="Times New Roman"/>
                <w:color w:val="auto"/>
                <w:sz w:val="26"/>
                <w:szCs w:val="26"/>
              </w:rPr>
              <w:t>t</w:t>
            </w:r>
            <w:r>
              <w:rPr>
                <w:rFonts w:hint="eastAsia" w:ascii="Times New Roman"/>
                <w:color w:val="auto"/>
                <w:sz w:val="26"/>
                <w:szCs w:val="26"/>
                <w:vertAlign w:val="subscript"/>
              </w:rPr>
              <w:t>i</w:t>
            </w:r>
            <w:r>
              <w:rPr>
                <w:rFonts w:ascii="Times New Roman"/>
                <w:color w:val="auto"/>
                <w:sz w:val="26"/>
                <w:szCs w:val="26"/>
              </w:rPr>
              <w:t>—在</w:t>
            </w:r>
            <w:r>
              <w:rPr>
                <w:rFonts w:hint="eastAsia" w:ascii="Times New Roman"/>
                <w:color w:val="auto"/>
                <w:sz w:val="26"/>
                <w:szCs w:val="26"/>
              </w:rPr>
              <w:t>T</w:t>
            </w:r>
            <w:r>
              <w:rPr>
                <w:rFonts w:ascii="Times New Roman"/>
                <w:color w:val="auto"/>
                <w:sz w:val="26"/>
                <w:szCs w:val="26"/>
              </w:rPr>
              <w:t>时</w:t>
            </w:r>
            <w:r>
              <w:rPr>
                <w:rFonts w:hint="eastAsia" w:ascii="Times New Roman"/>
                <w:color w:val="auto"/>
                <w:sz w:val="26"/>
                <w:szCs w:val="26"/>
              </w:rPr>
              <w:t>间</w:t>
            </w:r>
            <w:r>
              <w:rPr>
                <w:rFonts w:ascii="Times New Roman"/>
                <w:color w:val="auto"/>
                <w:sz w:val="26"/>
                <w:szCs w:val="26"/>
              </w:rPr>
              <w:t>内</w:t>
            </w:r>
            <w:r>
              <w:rPr>
                <w:rFonts w:hint="eastAsia" w:ascii="Times New Roman"/>
                <w:color w:val="auto"/>
                <w:sz w:val="26"/>
                <w:szCs w:val="26"/>
              </w:rPr>
              <w:t>i</w:t>
            </w:r>
            <w:r>
              <w:rPr>
                <w:rFonts w:ascii="Times New Roman"/>
                <w:color w:val="auto"/>
                <w:sz w:val="26"/>
                <w:szCs w:val="26"/>
              </w:rPr>
              <w:t>声源的</w:t>
            </w:r>
            <w:r>
              <w:rPr>
                <w:rFonts w:hint="eastAsia" w:ascii="Times New Roman"/>
                <w:color w:val="auto"/>
                <w:sz w:val="26"/>
                <w:szCs w:val="26"/>
              </w:rPr>
              <w:t>工作</w:t>
            </w:r>
            <w:r>
              <w:rPr>
                <w:rFonts w:ascii="Times New Roman"/>
                <w:color w:val="auto"/>
                <w:sz w:val="26"/>
                <w:szCs w:val="26"/>
              </w:rPr>
              <w:t>时间，s</w:t>
            </w:r>
            <w:r>
              <w:rPr>
                <w:rFonts w:hint="eastAsia" w:ascii="Times New Roman"/>
                <w:color w:val="auto"/>
                <w:sz w:val="26"/>
                <w:szCs w:val="26"/>
              </w:rPr>
              <w:t>；</w:t>
            </w:r>
          </w:p>
          <w:p w14:paraId="11B7E347">
            <w:pPr>
              <w:keepNext w:val="0"/>
              <w:keepLines w:val="0"/>
              <w:pageBreakBefore w:val="0"/>
              <w:widowControl w:val="0"/>
              <w:kinsoku/>
              <w:wordWrap/>
              <w:overflowPunct/>
              <w:topLinePunct w:val="0"/>
              <w:autoSpaceDE/>
              <w:autoSpaceDN/>
              <w:bidi w:val="0"/>
              <w:adjustRightInd w:val="0"/>
              <w:snapToGrid w:val="0"/>
              <w:spacing w:line="460" w:lineRule="exact"/>
              <w:ind w:firstLine="1300" w:firstLineChars="500"/>
              <w:textAlignment w:val="auto"/>
              <w:rPr>
                <w:rFonts w:hint="eastAsia" w:ascii="Times New Roman"/>
                <w:color w:val="auto"/>
                <w:sz w:val="26"/>
                <w:szCs w:val="26"/>
              </w:rPr>
            </w:pPr>
            <w:r>
              <w:rPr>
                <w:rFonts w:hint="eastAsia" w:ascii="Times New Roman"/>
                <w:color w:val="auto"/>
                <w:sz w:val="26"/>
                <w:szCs w:val="26"/>
              </w:rPr>
              <w:t>L</w:t>
            </w:r>
            <w:r>
              <w:rPr>
                <w:rFonts w:hint="eastAsia" w:ascii="Times New Roman"/>
                <w:color w:val="auto"/>
                <w:sz w:val="26"/>
                <w:szCs w:val="26"/>
                <w:vertAlign w:val="subscript"/>
              </w:rPr>
              <w:t>Aj</w:t>
            </w:r>
            <w:r>
              <w:rPr>
                <w:rFonts w:ascii="Times New Roman"/>
                <w:color w:val="auto"/>
                <w:sz w:val="26"/>
                <w:szCs w:val="26"/>
              </w:rPr>
              <w:t>—</w:t>
            </w:r>
            <w:r>
              <w:rPr>
                <w:rFonts w:hint="eastAsia" w:ascii="Times New Roman"/>
                <w:color w:val="auto"/>
                <w:sz w:val="26"/>
                <w:szCs w:val="26"/>
              </w:rPr>
              <w:t>等效室外声源</w:t>
            </w:r>
            <w:r>
              <w:rPr>
                <w:rFonts w:ascii="Times New Roman"/>
                <w:color w:val="auto"/>
                <w:sz w:val="26"/>
                <w:szCs w:val="26"/>
              </w:rPr>
              <w:t>在预测点产生的A声级，dB（A）；</w:t>
            </w:r>
          </w:p>
          <w:p w14:paraId="4F16119E">
            <w:pPr>
              <w:keepNext w:val="0"/>
              <w:keepLines w:val="0"/>
              <w:pageBreakBefore w:val="0"/>
              <w:widowControl w:val="0"/>
              <w:kinsoku/>
              <w:wordWrap/>
              <w:overflowPunct/>
              <w:topLinePunct w:val="0"/>
              <w:autoSpaceDE/>
              <w:autoSpaceDN/>
              <w:bidi w:val="0"/>
              <w:adjustRightInd w:val="0"/>
              <w:snapToGrid w:val="0"/>
              <w:spacing w:line="460" w:lineRule="exact"/>
              <w:ind w:firstLine="1300" w:firstLineChars="500"/>
              <w:textAlignment w:val="auto"/>
              <w:rPr>
                <w:rFonts w:hint="eastAsia" w:ascii="Times New Roman"/>
                <w:color w:val="auto"/>
                <w:sz w:val="26"/>
                <w:szCs w:val="26"/>
              </w:rPr>
            </w:pPr>
            <w:r>
              <w:rPr>
                <w:rFonts w:hint="eastAsia" w:ascii="Times New Roman"/>
                <w:color w:val="auto"/>
                <w:sz w:val="26"/>
                <w:szCs w:val="26"/>
              </w:rPr>
              <w:t>M——等效室外声源个数；</w:t>
            </w:r>
          </w:p>
          <w:p w14:paraId="046CBD78">
            <w:pPr>
              <w:keepNext w:val="0"/>
              <w:keepLines w:val="0"/>
              <w:pageBreakBefore w:val="0"/>
              <w:widowControl w:val="0"/>
              <w:kinsoku/>
              <w:wordWrap/>
              <w:overflowPunct/>
              <w:topLinePunct w:val="0"/>
              <w:autoSpaceDE/>
              <w:autoSpaceDN/>
              <w:bidi w:val="0"/>
              <w:adjustRightInd/>
              <w:snapToGrid w:val="0"/>
              <w:spacing w:line="460" w:lineRule="exact"/>
              <w:ind w:firstLine="1300" w:firstLineChars="500"/>
              <w:textAlignment w:val="auto"/>
              <w:rPr>
                <w:rFonts w:hint="eastAsia" w:ascii="Times New Roman" w:hAnsi="Times New Roman" w:eastAsia="宋体" w:cs="Times New Roman"/>
                <w:color w:val="auto"/>
                <w:sz w:val="26"/>
                <w:szCs w:val="26"/>
                <w:lang w:val="en-US" w:eastAsia="zh-CN"/>
              </w:rPr>
            </w:pPr>
            <w:r>
              <w:rPr>
                <w:rFonts w:hint="eastAsia" w:ascii="Times New Roman"/>
                <w:color w:val="auto"/>
                <w:sz w:val="26"/>
                <w:szCs w:val="26"/>
              </w:rPr>
              <w:t>t</w:t>
            </w:r>
            <w:r>
              <w:rPr>
                <w:rFonts w:hint="eastAsia" w:ascii="Times New Roman"/>
                <w:color w:val="auto"/>
                <w:sz w:val="26"/>
                <w:szCs w:val="26"/>
                <w:vertAlign w:val="subscript"/>
              </w:rPr>
              <w:t>j</w:t>
            </w:r>
            <w:r>
              <w:rPr>
                <w:rFonts w:hint="eastAsia" w:ascii="Times New Roman"/>
                <w:color w:val="auto"/>
                <w:sz w:val="26"/>
                <w:szCs w:val="26"/>
              </w:rPr>
              <w:t>——在T时间内j声源工作时间，s。</w:t>
            </w:r>
          </w:p>
          <w:p w14:paraId="7F82E052">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color w:val="auto"/>
                <w:sz w:val="26"/>
                <w:szCs w:val="26"/>
                <w:highlight w:val="none"/>
              </w:rPr>
            </w:pPr>
            <w:r>
              <w:rPr>
                <w:rFonts w:hint="eastAsia" w:ascii="Times New Roman" w:hAnsi="Times New Roman" w:eastAsia="宋体" w:cs="Times New Roman"/>
                <w:color w:val="auto"/>
                <w:sz w:val="26"/>
                <w:szCs w:val="26"/>
                <w:highlight w:val="none"/>
                <w:lang w:eastAsia="zh-CN"/>
              </w:rPr>
              <w:t>（</w:t>
            </w:r>
            <w:r>
              <w:rPr>
                <w:rFonts w:hint="eastAsia" w:ascii="Times New Roman" w:hAnsi="Times New Roman" w:eastAsia="宋体" w:cs="Times New Roman"/>
                <w:color w:val="auto"/>
                <w:sz w:val="26"/>
                <w:szCs w:val="26"/>
                <w:highlight w:val="none"/>
                <w:lang w:val="en-US" w:eastAsia="zh-CN"/>
              </w:rPr>
              <w:t>4</w:t>
            </w:r>
            <w:r>
              <w:rPr>
                <w:rFonts w:hint="eastAsia" w:ascii="Times New Roman" w:hAnsi="Times New Roman" w:eastAsia="宋体" w:cs="Times New Roman"/>
                <w:color w:val="auto"/>
                <w:sz w:val="26"/>
                <w:szCs w:val="26"/>
                <w:highlight w:val="none"/>
                <w:lang w:eastAsia="zh-CN"/>
              </w:rPr>
              <w:t>）</w:t>
            </w:r>
            <w:r>
              <w:rPr>
                <w:rFonts w:hint="default" w:ascii="Times New Roman" w:hAnsi="Times New Roman" w:eastAsia="宋体" w:cs="Times New Roman"/>
                <w:color w:val="auto"/>
                <w:sz w:val="26"/>
                <w:szCs w:val="26"/>
                <w:highlight w:val="none"/>
              </w:rPr>
              <w:t>评价标准</w:t>
            </w:r>
          </w:p>
          <w:p w14:paraId="514607CF">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cs="Times New Roman"/>
                <w:color w:val="auto"/>
                <w:sz w:val="26"/>
                <w:szCs w:val="26"/>
                <w:highlight w:val="none"/>
              </w:rPr>
            </w:pPr>
            <w:r>
              <w:rPr>
                <w:rFonts w:hint="eastAsia" w:ascii="Times New Roman" w:hAnsi="Times New Roman"/>
                <w:snapToGrid w:val="0"/>
                <w:color w:val="auto"/>
                <w:sz w:val="26"/>
                <w:szCs w:val="26"/>
                <w:lang w:val="en-US" w:eastAsia="zh-CN"/>
              </w:rPr>
              <w:t>四周</w:t>
            </w:r>
            <w:r>
              <w:rPr>
                <w:rFonts w:ascii="Times New Roman" w:hAnsi="Times New Roman"/>
                <w:snapToGrid w:val="0"/>
                <w:color w:val="auto"/>
                <w:sz w:val="26"/>
                <w:szCs w:val="26"/>
              </w:rPr>
              <w:t>厂界</w:t>
            </w:r>
            <w:r>
              <w:rPr>
                <w:rFonts w:hint="eastAsia" w:ascii="Times New Roman" w:hAnsi="Times New Roman"/>
                <w:snapToGrid w:val="0"/>
                <w:color w:val="auto"/>
                <w:sz w:val="26"/>
                <w:szCs w:val="26"/>
              </w:rPr>
              <w:t>噪声</w:t>
            </w:r>
            <w:r>
              <w:rPr>
                <w:rFonts w:ascii="Times New Roman" w:hAnsi="Times New Roman"/>
                <w:snapToGrid w:val="0"/>
                <w:color w:val="auto"/>
                <w:sz w:val="26"/>
                <w:szCs w:val="26"/>
              </w:rPr>
              <w:t>采用《工业企业厂界环境噪声排放标准》</w:t>
            </w:r>
            <w:r>
              <w:rPr>
                <w:rFonts w:hint="eastAsia" w:ascii="Times New Roman" w:hAnsi="Times New Roman"/>
                <w:snapToGrid w:val="0"/>
                <w:color w:val="auto"/>
                <w:sz w:val="26"/>
                <w:szCs w:val="26"/>
              </w:rPr>
              <w:t>（GB12348-2008）</w:t>
            </w:r>
            <w:r>
              <w:rPr>
                <w:rFonts w:hint="eastAsia" w:ascii="Times New Roman" w:hAnsi="Times New Roman"/>
                <w:snapToGrid w:val="0"/>
                <w:color w:val="auto"/>
                <w:sz w:val="26"/>
                <w:szCs w:val="26"/>
                <w:lang w:val="en-US" w:eastAsia="zh-CN"/>
              </w:rPr>
              <w:t>3</w:t>
            </w:r>
            <w:r>
              <w:rPr>
                <w:rFonts w:ascii="Times New Roman" w:hAnsi="Times New Roman"/>
                <w:snapToGrid w:val="0"/>
                <w:color w:val="auto"/>
                <w:sz w:val="26"/>
                <w:szCs w:val="26"/>
              </w:rPr>
              <w:t>类标准评价</w:t>
            </w:r>
            <w:r>
              <w:rPr>
                <w:rFonts w:hint="eastAsia" w:ascii="Times New Roman" w:hAnsi="Times New Roman"/>
                <w:snapToGrid w:val="0"/>
                <w:color w:val="auto"/>
                <w:sz w:val="26"/>
                <w:szCs w:val="26"/>
                <w:lang w:eastAsia="zh-CN"/>
              </w:rPr>
              <w:t>；</w:t>
            </w:r>
            <w:r>
              <w:rPr>
                <w:rFonts w:hint="eastAsia" w:ascii="Times New Roman" w:hAnsi="Times New Roman"/>
                <w:snapToGrid w:val="0"/>
                <w:color w:val="auto"/>
                <w:sz w:val="26"/>
                <w:szCs w:val="26"/>
                <w:lang w:val="en-US" w:eastAsia="zh-CN"/>
              </w:rPr>
              <w:t>声环境保护目标</w:t>
            </w:r>
            <w:r>
              <w:rPr>
                <w:rFonts w:ascii="Times New Roman" w:hAnsi="Times New Roman"/>
                <w:snapToGrid w:val="0"/>
                <w:color w:val="auto"/>
                <w:sz w:val="26"/>
                <w:szCs w:val="26"/>
              </w:rPr>
              <w:t>采用</w:t>
            </w:r>
            <w:r>
              <w:rPr>
                <w:rFonts w:hint="default" w:ascii="Times New Roman" w:hAnsi="Times New Roman" w:cs="Times New Roman"/>
                <w:color w:val="auto"/>
                <w:sz w:val="26"/>
                <w:szCs w:val="26"/>
              </w:rPr>
              <w:t>《声环境质量标准》（GB3096-2008）</w:t>
            </w:r>
            <w:r>
              <w:rPr>
                <w:rFonts w:hint="default" w:ascii="Times New Roman" w:hAnsi="Times New Roman" w:cs="Times New Roman"/>
                <w:color w:val="auto"/>
                <w:sz w:val="26"/>
                <w:szCs w:val="26"/>
                <w:lang w:val="en-US" w:eastAsia="zh-CN"/>
              </w:rPr>
              <w:t>3</w:t>
            </w:r>
            <w:r>
              <w:rPr>
                <w:rFonts w:hint="default" w:ascii="Times New Roman" w:hAnsi="Times New Roman" w:cs="Times New Roman"/>
                <w:color w:val="auto"/>
                <w:sz w:val="26"/>
                <w:szCs w:val="26"/>
              </w:rPr>
              <w:t>类标准</w:t>
            </w:r>
            <w:r>
              <w:rPr>
                <w:rFonts w:ascii="Times New Roman" w:hAnsi="Times New Roman"/>
                <w:snapToGrid w:val="0"/>
                <w:color w:val="auto"/>
                <w:sz w:val="26"/>
                <w:szCs w:val="26"/>
              </w:rPr>
              <w:t>。</w:t>
            </w:r>
          </w:p>
          <w:p w14:paraId="3D64AC06">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color w:val="auto"/>
                <w:sz w:val="26"/>
                <w:szCs w:val="26"/>
                <w:highlight w:val="none"/>
                <w:lang w:val="en-US" w:eastAsia="zh-CN"/>
              </w:rPr>
            </w:pPr>
            <w:r>
              <w:rPr>
                <w:rFonts w:hint="default" w:ascii="Times New Roman" w:hAnsi="Times New Roman" w:cs="Times New Roman"/>
                <w:color w:val="auto"/>
                <w:sz w:val="26"/>
                <w:szCs w:val="26"/>
                <w:highlight w:val="none"/>
              </w:rPr>
              <w:t>（</w:t>
            </w:r>
            <w:r>
              <w:rPr>
                <w:rFonts w:hint="eastAsia" w:ascii="Times New Roman" w:hAnsi="Times New Roman" w:cs="Times New Roman"/>
                <w:color w:val="auto"/>
                <w:sz w:val="26"/>
                <w:szCs w:val="26"/>
                <w:highlight w:val="none"/>
                <w:lang w:val="en-US" w:eastAsia="zh-CN"/>
              </w:rPr>
              <w:t>5</w:t>
            </w:r>
            <w:r>
              <w:rPr>
                <w:rFonts w:hint="default" w:ascii="Times New Roman" w:hAnsi="Times New Roman" w:cs="Times New Roman"/>
                <w:color w:val="auto"/>
                <w:sz w:val="26"/>
                <w:szCs w:val="26"/>
                <w:highlight w:val="none"/>
              </w:rPr>
              <w:t>）</w:t>
            </w:r>
            <w:r>
              <w:rPr>
                <w:rFonts w:hint="default" w:ascii="Times New Roman" w:hAnsi="Times New Roman" w:eastAsia="宋体" w:cs="Times New Roman"/>
                <w:color w:val="auto"/>
                <w:sz w:val="26"/>
                <w:szCs w:val="26"/>
                <w:highlight w:val="none"/>
              </w:rPr>
              <w:t>声环境影响预测</w:t>
            </w:r>
            <w:r>
              <w:rPr>
                <w:rFonts w:hint="default" w:ascii="Times New Roman" w:hAnsi="Times New Roman" w:eastAsia="宋体" w:cs="Times New Roman"/>
                <w:color w:val="auto"/>
                <w:sz w:val="26"/>
                <w:szCs w:val="26"/>
                <w:highlight w:val="none"/>
                <w:lang w:val="en-US" w:eastAsia="zh-CN"/>
              </w:rPr>
              <w:t>结果与分析</w:t>
            </w:r>
          </w:p>
          <w:p w14:paraId="78130E64">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① 厂界预测</w:t>
            </w:r>
          </w:p>
          <w:p w14:paraId="0CEA8D70">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ascii="Times New Roman" w:hAnsi="Times New Roman" w:eastAsia="宋体" w:cs="Times New Roman"/>
                <w:snapToGrid w:val="0"/>
                <w:color w:val="auto"/>
                <w:sz w:val="26"/>
                <w:szCs w:val="26"/>
                <w:lang w:eastAsia="zh-CN"/>
              </w:rPr>
            </w:pPr>
            <w:r>
              <w:rPr>
                <w:rFonts w:hint="eastAsia" w:ascii="Times New Roman" w:hAnsi="Times New Roman" w:eastAsia="宋体" w:cs="Times New Roman"/>
                <w:snapToGrid w:val="0"/>
                <w:color w:val="auto"/>
                <w:sz w:val="26"/>
                <w:szCs w:val="26"/>
                <w:lang w:eastAsia="zh-CN"/>
              </w:rPr>
              <w:t>厂区现有“</w:t>
            </w:r>
            <w:r>
              <w:rPr>
                <w:rFonts w:hint="default" w:ascii="Times New Roman" w:hAnsi="Times New Roman" w:eastAsia="宋体" w:cs="Times New Roman"/>
                <w:snapToGrid w:val="0"/>
                <w:color w:val="auto"/>
                <w:sz w:val="26"/>
                <w:szCs w:val="26"/>
                <w:lang w:val="en-US" w:eastAsia="zh-CN"/>
              </w:rPr>
              <w:t>老一区熔炼中心熔铸生产线改扩建项目</w:t>
            </w:r>
            <w:r>
              <w:rPr>
                <w:rFonts w:hint="eastAsia" w:ascii="Times New Roman" w:hAnsi="Times New Roman" w:eastAsia="宋体" w:cs="Times New Roman"/>
                <w:snapToGrid w:val="0"/>
                <w:color w:val="auto"/>
                <w:sz w:val="26"/>
                <w:szCs w:val="26"/>
                <w:lang w:eastAsia="zh-CN"/>
              </w:rPr>
              <w:t>”和“</w:t>
            </w:r>
            <w:r>
              <w:rPr>
                <w:rFonts w:hint="default" w:ascii="Times New Roman" w:hAnsi="Times New Roman" w:eastAsia="宋体" w:cs="Times New Roman"/>
                <w:snapToGrid w:val="0"/>
                <w:color w:val="auto"/>
                <w:sz w:val="26"/>
                <w:szCs w:val="26"/>
                <w:lang w:val="en-US" w:eastAsia="zh-CN"/>
              </w:rPr>
              <w:t>铝合金深加工智能化生产线建设项目（重新报批）</w:t>
            </w:r>
            <w:r>
              <w:rPr>
                <w:rFonts w:hint="eastAsia" w:ascii="Times New Roman" w:hAnsi="Times New Roman" w:eastAsia="宋体" w:cs="Times New Roman"/>
                <w:snapToGrid w:val="0"/>
                <w:color w:val="auto"/>
                <w:sz w:val="26"/>
                <w:szCs w:val="26"/>
                <w:lang w:eastAsia="zh-CN"/>
              </w:rPr>
              <w:t>”两个项目，本项目是依托“</w:t>
            </w:r>
            <w:r>
              <w:rPr>
                <w:rFonts w:hint="default" w:ascii="Times New Roman" w:hAnsi="Times New Roman" w:eastAsia="宋体" w:cs="Times New Roman"/>
                <w:snapToGrid w:val="0"/>
                <w:color w:val="auto"/>
                <w:sz w:val="26"/>
                <w:szCs w:val="26"/>
                <w:lang w:val="en-US" w:eastAsia="zh-CN"/>
              </w:rPr>
              <w:t>老一区熔炼中心熔铸生产线改扩建项目</w:t>
            </w:r>
            <w:r>
              <w:rPr>
                <w:rFonts w:hint="eastAsia" w:ascii="Times New Roman" w:hAnsi="Times New Roman" w:eastAsia="宋体" w:cs="Times New Roman"/>
                <w:snapToGrid w:val="0"/>
                <w:color w:val="auto"/>
                <w:sz w:val="26"/>
                <w:szCs w:val="26"/>
                <w:lang w:eastAsia="zh-CN"/>
              </w:rPr>
              <w:t>”的设施设备，不新增产噪设备，因此，本项目厂界噪声贡献值引用“</w:t>
            </w:r>
            <w:r>
              <w:rPr>
                <w:rFonts w:hint="default" w:ascii="Times New Roman" w:hAnsi="Times New Roman" w:eastAsia="宋体" w:cs="Times New Roman"/>
                <w:snapToGrid w:val="0"/>
                <w:color w:val="auto"/>
                <w:sz w:val="26"/>
                <w:szCs w:val="26"/>
                <w:lang w:val="en-US" w:eastAsia="zh-CN"/>
              </w:rPr>
              <w:t>老一区熔炼中心熔铸生产线改扩建项目</w:t>
            </w:r>
            <w:r>
              <w:rPr>
                <w:rFonts w:hint="eastAsia" w:ascii="Times New Roman" w:hAnsi="Times New Roman" w:eastAsia="宋体" w:cs="Times New Roman"/>
                <w:snapToGrid w:val="0"/>
                <w:color w:val="auto"/>
                <w:sz w:val="26"/>
                <w:szCs w:val="26"/>
                <w:lang w:eastAsia="zh-CN"/>
              </w:rPr>
              <w:t>”的验收监测值</w:t>
            </w:r>
            <w:r>
              <w:rPr>
                <w:rFonts w:hint="default" w:ascii="Times New Roman" w:hAnsi="Times New Roman" w:eastAsia="宋体" w:cs="Times New Roman"/>
                <w:snapToGrid w:val="0"/>
                <w:color w:val="auto"/>
                <w:sz w:val="26"/>
                <w:szCs w:val="26"/>
              </w:rPr>
              <w:t>（监测报告编号</w:t>
            </w:r>
            <w:r>
              <w:rPr>
                <w:rFonts w:hint="eastAsia" w:ascii="Times New Roman" w:hAnsi="Times New Roman" w:eastAsia="宋体" w:cs="Times New Roman"/>
                <w:snapToGrid w:val="0"/>
                <w:color w:val="auto"/>
                <w:sz w:val="26"/>
                <w:szCs w:val="26"/>
                <w:lang w:eastAsia="zh-CN"/>
              </w:rPr>
              <w:t>：</w:t>
            </w:r>
            <w:r>
              <w:rPr>
                <w:rFonts w:hint="eastAsia" w:ascii="Times New Roman" w:hAnsi="Times New Roman" w:eastAsia="宋体" w:cs="Times New Roman"/>
                <w:snapToGrid w:val="0"/>
                <w:color w:val="auto"/>
                <w:sz w:val="26"/>
                <w:szCs w:val="26"/>
                <w:lang w:val="en-US" w:eastAsia="zh-CN"/>
              </w:rPr>
              <w:t>渝大安（环）</w:t>
            </w:r>
            <w:r>
              <w:rPr>
                <w:rFonts w:hint="default" w:ascii="Times New Roman" w:hAnsi="Times New Roman" w:eastAsia="宋体" w:cs="Times New Roman"/>
                <w:snapToGrid w:val="0"/>
                <w:color w:val="auto"/>
                <w:sz w:val="26"/>
                <w:szCs w:val="26"/>
              </w:rPr>
              <w:t>检</w:t>
            </w:r>
            <w:r>
              <w:rPr>
                <w:rFonts w:hint="eastAsia" w:ascii="Times New Roman" w:hAnsi="Times New Roman" w:eastAsia="宋体" w:cs="Times New Roman"/>
                <w:snapToGrid w:val="0"/>
                <w:color w:val="auto"/>
                <w:sz w:val="26"/>
                <w:szCs w:val="26"/>
                <w:lang w:val="en-US" w:eastAsia="zh-CN"/>
              </w:rPr>
              <w:t>〔2023〕第YS026</w:t>
            </w:r>
            <w:r>
              <w:rPr>
                <w:rFonts w:hint="default" w:ascii="Times New Roman" w:hAnsi="Times New Roman" w:eastAsia="宋体" w:cs="Times New Roman"/>
                <w:snapToGrid w:val="0"/>
                <w:color w:val="auto"/>
                <w:sz w:val="26"/>
                <w:szCs w:val="26"/>
              </w:rPr>
              <w:t>号）</w:t>
            </w:r>
            <w:r>
              <w:rPr>
                <w:rFonts w:hint="eastAsia" w:ascii="Times New Roman" w:hAnsi="Times New Roman" w:eastAsia="宋体" w:cs="Times New Roman"/>
                <w:snapToGrid w:val="0"/>
                <w:color w:val="auto"/>
                <w:sz w:val="26"/>
                <w:szCs w:val="26"/>
                <w:lang w:eastAsia="zh-CN"/>
              </w:rPr>
              <w:t>，</w:t>
            </w:r>
            <w:r>
              <w:rPr>
                <w:rFonts w:hint="eastAsia" w:ascii="Times New Roman" w:hAnsi="Times New Roman" w:eastAsia="宋体" w:cs="Times New Roman"/>
                <w:snapToGrid w:val="0"/>
                <w:color w:val="auto"/>
                <w:sz w:val="26"/>
                <w:szCs w:val="26"/>
                <w:lang w:val="en-US" w:eastAsia="zh-CN"/>
              </w:rPr>
              <w:t>验收监测阶段各设备处于正常运转状态，此数据可表征全厂排放值；</w:t>
            </w:r>
            <w:r>
              <w:rPr>
                <w:rFonts w:hint="eastAsia" w:ascii="Times New Roman" w:hAnsi="Times New Roman" w:eastAsia="宋体" w:cs="Times New Roman"/>
                <w:snapToGrid w:val="0"/>
                <w:color w:val="auto"/>
                <w:sz w:val="26"/>
                <w:szCs w:val="26"/>
                <w:lang w:eastAsia="zh-CN"/>
              </w:rPr>
              <w:t>“</w:t>
            </w:r>
            <w:r>
              <w:rPr>
                <w:rFonts w:hint="default" w:ascii="Times New Roman" w:hAnsi="Times New Roman" w:eastAsia="宋体" w:cs="Times New Roman"/>
                <w:snapToGrid w:val="0"/>
                <w:color w:val="auto"/>
                <w:sz w:val="26"/>
                <w:szCs w:val="26"/>
                <w:lang w:val="en-US" w:eastAsia="zh-CN"/>
              </w:rPr>
              <w:t>铝合金深加工智能化生产线建设项目（重新报批）</w:t>
            </w:r>
            <w:r>
              <w:rPr>
                <w:rFonts w:hint="eastAsia" w:ascii="Times New Roman" w:hAnsi="Times New Roman" w:eastAsia="宋体" w:cs="Times New Roman"/>
                <w:snapToGrid w:val="0"/>
                <w:color w:val="auto"/>
                <w:sz w:val="26"/>
                <w:szCs w:val="26"/>
                <w:lang w:eastAsia="zh-CN"/>
              </w:rPr>
              <w:t>”厂界噪声贡献值引用其环评预测值，具体本项目建成后厂界噪声预测值见下表。</w:t>
            </w:r>
          </w:p>
          <w:p w14:paraId="032B9694">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Times New Roman"/>
                <w:b/>
                <w:bCs/>
                <w:color w:val="auto"/>
                <w:sz w:val="26"/>
                <w:szCs w:val="26"/>
                <w:highlight w:val="none"/>
              </w:rPr>
            </w:pPr>
            <w:r>
              <w:rPr>
                <w:rFonts w:hint="default" w:ascii="Times New Roman" w:hAnsi="Times New Roman" w:eastAsia="宋体" w:cs="Times New Roman"/>
                <w:b/>
                <w:bCs/>
                <w:color w:val="auto"/>
                <w:sz w:val="26"/>
                <w:szCs w:val="26"/>
                <w:highlight w:val="none"/>
              </w:rPr>
              <w:t>表4.2-1</w:t>
            </w:r>
            <w:r>
              <w:rPr>
                <w:rFonts w:hint="eastAsia" w:ascii="Times New Roman" w:hAnsi="Times New Roman" w:eastAsia="宋体" w:cs="Times New Roman"/>
                <w:b/>
                <w:bCs/>
                <w:color w:val="auto"/>
                <w:sz w:val="26"/>
                <w:szCs w:val="26"/>
                <w:highlight w:val="none"/>
                <w:lang w:val="en-US" w:eastAsia="zh-CN"/>
              </w:rPr>
              <w:t>8</w:t>
            </w:r>
            <w:r>
              <w:rPr>
                <w:rFonts w:hint="default" w:ascii="Times New Roman" w:hAnsi="Times New Roman" w:eastAsia="宋体" w:cs="Times New Roman"/>
                <w:b/>
                <w:bCs/>
                <w:color w:val="auto"/>
                <w:sz w:val="26"/>
                <w:szCs w:val="26"/>
                <w:highlight w:val="none"/>
              </w:rPr>
              <w:t xml:space="preserve">  噪声影响预测结果</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92"/>
              <w:gridCol w:w="493"/>
              <w:gridCol w:w="493"/>
              <w:gridCol w:w="885"/>
              <w:gridCol w:w="885"/>
              <w:gridCol w:w="697"/>
              <w:gridCol w:w="697"/>
              <w:gridCol w:w="752"/>
              <w:gridCol w:w="1206"/>
              <w:gridCol w:w="1206"/>
            </w:tblGrid>
            <w:tr w14:paraId="50111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575" w:type="dxa"/>
                  <w:vMerge w:val="restart"/>
                  <w:tcBorders>
                    <w:tl2br w:val="nil"/>
                    <w:tr2bl w:val="nil"/>
                  </w:tcBorders>
                  <w:noWrap w:val="0"/>
                  <w:vAlign w:val="center"/>
                </w:tcPr>
                <w:p w14:paraId="61E91E4C">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预测点</w:t>
                  </w:r>
                </w:p>
              </w:tc>
              <w:tc>
                <w:tcPr>
                  <w:tcW w:w="958" w:type="dxa"/>
                  <w:gridSpan w:val="2"/>
                  <w:tcBorders>
                    <w:tl2br w:val="nil"/>
                    <w:tr2bl w:val="nil"/>
                  </w:tcBorders>
                  <w:noWrap w:val="0"/>
                  <w:vAlign w:val="center"/>
                </w:tcPr>
                <w:p w14:paraId="0E8C0081">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lang w:val="en-US" w:eastAsia="zh-CN"/>
                    </w:rPr>
                    <w:t>本</w:t>
                  </w:r>
                  <w:r>
                    <w:rPr>
                      <w:rFonts w:hint="default" w:ascii="Times New Roman" w:hAnsi="Times New Roman" w:eastAsia="宋体" w:cs="Times New Roman"/>
                      <w:color w:val="auto"/>
                      <w:kern w:val="0"/>
                      <w:sz w:val="22"/>
                      <w:szCs w:val="22"/>
                    </w:rPr>
                    <w:t>项目厂界</w:t>
                  </w:r>
                </w:p>
                <w:p w14:paraId="42FB9FD9">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贡献值</w:t>
                  </w:r>
                </w:p>
              </w:tc>
              <w:tc>
                <w:tcPr>
                  <w:tcW w:w="1720" w:type="dxa"/>
                  <w:gridSpan w:val="2"/>
                  <w:tcBorders>
                    <w:tl2br w:val="nil"/>
                    <w:tr2bl w:val="nil"/>
                  </w:tcBorders>
                  <w:noWrap w:val="0"/>
                  <w:vAlign w:val="center"/>
                </w:tcPr>
                <w:p w14:paraId="4DAEEA4E">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lang w:eastAsia="zh-CN"/>
                    </w:rPr>
                    <w:t>现有智能化</w:t>
                  </w:r>
                  <w:r>
                    <w:rPr>
                      <w:rFonts w:hint="default" w:ascii="Times New Roman" w:hAnsi="Times New Roman" w:eastAsia="宋体" w:cs="Times New Roman"/>
                      <w:color w:val="auto"/>
                      <w:kern w:val="0"/>
                      <w:sz w:val="22"/>
                      <w:szCs w:val="22"/>
                    </w:rPr>
                    <w:t>项目厂界贡献值</w:t>
                  </w:r>
                </w:p>
              </w:tc>
              <w:tc>
                <w:tcPr>
                  <w:tcW w:w="1354" w:type="dxa"/>
                  <w:gridSpan w:val="2"/>
                  <w:tcBorders>
                    <w:tl2br w:val="nil"/>
                    <w:tr2bl w:val="nil"/>
                  </w:tcBorders>
                  <w:noWrap w:val="0"/>
                  <w:vAlign w:val="center"/>
                </w:tcPr>
                <w:p w14:paraId="6901FF07">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叠加</w:t>
                  </w:r>
                  <w:r>
                    <w:rPr>
                      <w:rFonts w:hint="default" w:ascii="Times New Roman" w:hAnsi="Times New Roman" w:eastAsia="宋体" w:cs="Times New Roman"/>
                      <w:color w:val="auto"/>
                      <w:kern w:val="0"/>
                      <w:sz w:val="22"/>
                      <w:szCs w:val="22"/>
                      <w:lang w:val="en-US" w:eastAsia="zh-CN"/>
                    </w:rPr>
                    <w:t>后的</w:t>
                  </w:r>
                  <w:r>
                    <w:rPr>
                      <w:rFonts w:hint="default" w:ascii="Times New Roman" w:hAnsi="Times New Roman" w:eastAsia="宋体" w:cs="Times New Roman"/>
                      <w:color w:val="auto"/>
                      <w:kern w:val="0"/>
                      <w:sz w:val="22"/>
                      <w:szCs w:val="22"/>
                    </w:rPr>
                    <w:t>预测值</w:t>
                  </w:r>
                </w:p>
              </w:tc>
              <w:tc>
                <w:tcPr>
                  <w:tcW w:w="731" w:type="dxa"/>
                  <w:vMerge w:val="restart"/>
                  <w:tcBorders>
                    <w:tl2br w:val="nil"/>
                    <w:tr2bl w:val="nil"/>
                  </w:tcBorders>
                  <w:noWrap w:val="0"/>
                  <w:vAlign w:val="center"/>
                </w:tcPr>
                <w:p w14:paraId="64B183D0">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达标情况</w:t>
                  </w:r>
                </w:p>
              </w:tc>
              <w:tc>
                <w:tcPr>
                  <w:tcW w:w="2343" w:type="dxa"/>
                  <w:gridSpan w:val="2"/>
                  <w:tcBorders>
                    <w:tl2br w:val="nil"/>
                    <w:tr2bl w:val="nil"/>
                  </w:tcBorders>
                  <w:noWrap w:val="0"/>
                  <w:vAlign w:val="center"/>
                </w:tcPr>
                <w:p w14:paraId="63DCB62F">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排放标准限值GB12348-2008</w:t>
                  </w:r>
                </w:p>
              </w:tc>
            </w:tr>
            <w:tr w14:paraId="29E18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575" w:type="dxa"/>
                  <w:vMerge w:val="continue"/>
                  <w:tcBorders>
                    <w:tl2br w:val="nil"/>
                    <w:tr2bl w:val="nil"/>
                  </w:tcBorders>
                  <w:noWrap w:val="0"/>
                  <w:vAlign w:val="center"/>
                </w:tcPr>
                <w:p w14:paraId="0D0DEE91">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p>
              </w:tc>
              <w:tc>
                <w:tcPr>
                  <w:tcW w:w="479" w:type="dxa"/>
                  <w:tcBorders>
                    <w:tl2br w:val="nil"/>
                    <w:tr2bl w:val="nil"/>
                  </w:tcBorders>
                  <w:noWrap w:val="0"/>
                  <w:vAlign w:val="center"/>
                </w:tcPr>
                <w:p w14:paraId="76901FD0">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昼间</w:t>
                  </w:r>
                </w:p>
              </w:tc>
              <w:tc>
                <w:tcPr>
                  <w:tcW w:w="479" w:type="dxa"/>
                  <w:tcBorders>
                    <w:tl2br w:val="nil"/>
                    <w:tr2bl w:val="nil"/>
                  </w:tcBorders>
                  <w:noWrap w:val="0"/>
                  <w:vAlign w:val="center"/>
                </w:tcPr>
                <w:p w14:paraId="3E757D8D">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lang w:val="en-US" w:eastAsia="zh-CN"/>
                    </w:rPr>
                    <w:t>夜间</w:t>
                  </w:r>
                </w:p>
              </w:tc>
              <w:tc>
                <w:tcPr>
                  <w:tcW w:w="860" w:type="dxa"/>
                  <w:tcBorders>
                    <w:tl2br w:val="nil"/>
                    <w:tr2bl w:val="nil"/>
                  </w:tcBorders>
                  <w:noWrap w:val="0"/>
                  <w:vAlign w:val="center"/>
                </w:tcPr>
                <w:p w14:paraId="742026B8">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昼间</w:t>
                  </w:r>
                </w:p>
              </w:tc>
              <w:tc>
                <w:tcPr>
                  <w:tcW w:w="860" w:type="dxa"/>
                  <w:tcBorders>
                    <w:tl2br w:val="nil"/>
                    <w:tr2bl w:val="nil"/>
                  </w:tcBorders>
                  <w:noWrap w:val="0"/>
                  <w:vAlign w:val="center"/>
                </w:tcPr>
                <w:p w14:paraId="1155DA88">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lang w:val="en-US" w:eastAsia="zh-CN"/>
                    </w:rPr>
                    <w:t>夜间</w:t>
                  </w:r>
                </w:p>
              </w:tc>
              <w:tc>
                <w:tcPr>
                  <w:tcW w:w="677" w:type="dxa"/>
                  <w:tcBorders>
                    <w:tl2br w:val="nil"/>
                    <w:tr2bl w:val="nil"/>
                  </w:tcBorders>
                  <w:noWrap w:val="0"/>
                  <w:vAlign w:val="center"/>
                </w:tcPr>
                <w:p w14:paraId="5185938A">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昼间</w:t>
                  </w:r>
                </w:p>
              </w:tc>
              <w:tc>
                <w:tcPr>
                  <w:tcW w:w="677" w:type="dxa"/>
                  <w:tcBorders>
                    <w:tl2br w:val="nil"/>
                    <w:tr2bl w:val="nil"/>
                  </w:tcBorders>
                  <w:noWrap w:val="0"/>
                  <w:vAlign w:val="center"/>
                </w:tcPr>
                <w:p w14:paraId="587CD761">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lang w:val="en-US" w:eastAsia="zh-CN"/>
                    </w:rPr>
                    <w:t>夜间</w:t>
                  </w:r>
                </w:p>
              </w:tc>
              <w:tc>
                <w:tcPr>
                  <w:tcW w:w="731" w:type="dxa"/>
                  <w:vMerge w:val="continue"/>
                  <w:tcBorders>
                    <w:tl2br w:val="nil"/>
                    <w:tr2bl w:val="nil"/>
                  </w:tcBorders>
                  <w:noWrap w:val="0"/>
                  <w:vAlign w:val="center"/>
                </w:tcPr>
                <w:p w14:paraId="159CF94A">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p>
              </w:tc>
              <w:tc>
                <w:tcPr>
                  <w:tcW w:w="1172" w:type="dxa"/>
                  <w:tcBorders>
                    <w:tl2br w:val="nil"/>
                    <w:tr2bl w:val="nil"/>
                  </w:tcBorders>
                  <w:noWrap w:val="0"/>
                  <w:vAlign w:val="center"/>
                </w:tcPr>
                <w:p w14:paraId="7E6CBAF3">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昼间</w:t>
                  </w:r>
                </w:p>
              </w:tc>
              <w:tc>
                <w:tcPr>
                  <w:tcW w:w="1171" w:type="dxa"/>
                  <w:tcBorders>
                    <w:tl2br w:val="nil"/>
                    <w:tr2bl w:val="nil"/>
                  </w:tcBorders>
                  <w:noWrap w:val="0"/>
                  <w:vAlign w:val="center"/>
                </w:tcPr>
                <w:p w14:paraId="7C267397">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夜间</w:t>
                  </w:r>
                </w:p>
              </w:tc>
            </w:tr>
            <w:tr w14:paraId="12F7EB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575" w:type="dxa"/>
                  <w:tcBorders>
                    <w:tl2br w:val="nil"/>
                    <w:tr2bl w:val="nil"/>
                  </w:tcBorders>
                  <w:noWrap w:val="0"/>
                  <w:vAlign w:val="center"/>
                </w:tcPr>
                <w:p w14:paraId="303E9326">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东厂界</w:t>
                  </w:r>
                </w:p>
              </w:tc>
              <w:tc>
                <w:tcPr>
                  <w:tcW w:w="479" w:type="dxa"/>
                  <w:tcBorders>
                    <w:tl2br w:val="nil"/>
                    <w:tr2bl w:val="nil"/>
                  </w:tcBorders>
                  <w:noWrap w:val="0"/>
                  <w:vAlign w:val="center"/>
                </w:tcPr>
                <w:p w14:paraId="385FB00D">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rPr>
                    <w:t>54</w:t>
                  </w:r>
                </w:p>
              </w:tc>
              <w:tc>
                <w:tcPr>
                  <w:tcW w:w="479" w:type="dxa"/>
                  <w:tcBorders>
                    <w:tl2br w:val="nil"/>
                    <w:tr2bl w:val="nil"/>
                  </w:tcBorders>
                  <w:noWrap w:val="0"/>
                  <w:vAlign w:val="center"/>
                </w:tcPr>
                <w:p w14:paraId="6966F88C">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rPr>
                    <w:t>46</w:t>
                  </w:r>
                </w:p>
              </w:tc>
              <w:tc>
                <w:tcPr>
                  <w:tcW w:w="860" w:type="dxa"/>
                  <w:tcBorders>
                    <w:tl2br w:val="nil"/>
                    <w:tr2bl w:val="nil"/>
                  </w:tcBorders>
                  <w:noWrap w:val="0"/>
                  <w:vAlign w:val="center"/>
                </w:tcPr>
                <w:p w14:paraId="20205277">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27.2</w:t>
                  </w:r>
                </w:p>
              </w:tc>
              <w:tc>
                <w:tcPr>
                  <w:tcW w:w="860" w:type="dxa"/>
                  <w:tcBorders>
                    <w:tl2br w:val="nil"/>
                    <w:tr2bl w:val="nil"/>
                  </w:tcBorders>
                  <w:noWrap w:val="0"/>
                  <w:vAlign w:val="center"/>
                </w:tcPr>
                <w:p w14:paraId="77684DFF">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27.2</w:t>
                  </w:r>
                </w:p>
              </w:tc>
              <w:tc>
                <w:tcPr>
                  <w:tcW w:w="677" w:type="dxa"/>
                  <w:tcBorders>
                    <w:tl2br w:val="nil"/>
                    <w:tr2bl w:val="nil"/>
                  </w:tcBorders>
                  <w:noWrap w:val="0"/>
                  <w:vAlign w:val="center"/>
                </w:tcPr>
                <w:p w14:paraId="747D3C61">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 xml:space="preserve">54.0 </w:t>
                  </w:r>
                </w:p>
              </w:tc>
              <w:tc>
                <w:tcPr>
                  <w:tcW w:w="677" w:type="dxa"/>
                  <w:tcBorders>
                    <w:tl2br w:val="nil"/>
                    <w:tr2bl w:val="nil"/>
                  </w:tcBorders>
                  <w:noWrap w:val="0"/>
                  <w:vAlign w:val="center"/>
                </w:tcPr>
                <w:p w14:paraId="401D6515">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 xml:space="preserve">46.1 </w:t>
                  </w:r>
                </w:p>
              </w:tc>
              <w:tc>
                <w:tcPr>
                  <w:tcW w:w="731" w:type="dxa"/>
                  <w:tcBorders>
                    <w:tl2br w:val="nil"/>
                    <w:tr2bl w:val="nil"/>
                  </w:tcBorders>
                  <w:noWrap w:val="0"/>
                  <w:vAlign w:val="center"/>
                </w:tcPr>
                <w:p w14:paraId="587DF4B8">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达标</w:t>
                  </w:r>
                </w:p>
              </w:tc>
              <w:tc>
                <w:tcPr>
                  <w:tcW w:w="1172" w:type="dxa"/>
                  <w:tcBorders>
                    <w:tl2br w:val="nil"/>
                    <w:tr2bl w:val="nil"/>
                  </w:tcBorders>
                  <w:noWrap w:val="0"/>
                  <w:vAlign w:val="center"/>
                </w:tcPr>
                <w:p w14:paraId="19D1A85F">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65</w:t>
                  </w:r>
                </w:p>
              </w:tc>
              <w:tc>
                <w:tcPr>
                  <w:tcW w:w="1171" w:type="dxa"/>
                  <w:tcBorders>
                    <w:tl2br w:val="nil"/>
                    <w:tr2bl w:val="nil"/>
                  </w:tcBorders>
                  <w:noWrap w:val="0"/>
                  <w:vAlign w:val="center"/>
                </w:tcPr>
                <w:p w14:paraId="5EAD109F">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55</w:t>
                  </w:r>
                </w:p>
              </w:tc>
            </w:tr>
            <w:tr w14:paraId="21213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575" w:type="dxa"/>
                  <w:tcBorders>
                    <w:tl2br w:val="nil"/>
                    <w:tr2bl w:val="nil"/>
                  </w:tcBorders>
                  <w:noWrap w:val="0"/>
                  <w:vAlign w:val="center"/>
                </w:tcPr>
                <w:p w14:paraId="7A40532D">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南厂界</w:t>
                  </w:r>
                </w:p>
              </w:tc>
              <w:tc>
                <w:tcPr>
                  <w:tcW w:w="479" w:type="dxa"/>
                  <w:tcBorders>
                    <w:tl2br w:val="nil"/>
                    <w:tr2bl w:val="nil"/>
                  </w:tcBorders>
                  <w:noWrap w:val="0"/>
                  <w:vAlign w:val="center"/>
                </w:tcPr>
                <w:p w14:paraId="4F4EF891">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rPr>
                    <w:t>55</w:t>
                  </w:r>
                </w:p>
              </w:tc>
              <w:tc>
                <w:tcPr>
                  <w:tcW w:w="479" w:type="dxa"/>
                  <w:tcBorders>
                    <w:tl2br w:val="nil"/>
                    <w:tr2bl w:val="nil"/>
                  </w:tcBorders>
                  <w:noWrap w:val="0"/>
                  <w:vAlign w:val="center"/>
                </w:tcPr>
                <w:p w14:paraId="2C4FB056">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rPr>
                    <w:t>47</w:t>
                  </w:r>
                </w:p>
              </w:tc>
              <w:tc>
                <w:tcPr>
                  <w:tcW w:w="860" w:type="dxa"/>
                  <w:tcBorders>
                    <w:tl2br w:val="nil"/>
                    <w:tr2bl w:val="nil"/>
                  </w:tcBorders>
                  <w:noWrap w:val="0"/>
                  <w:vAlign w:val="center"/>
                </w:tcPr>
                <w:p w14:paraId="4ACFF8BF">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35.7</w:t>
                  </w:r>
                </w:p>
              </w:tc>
              <w:tc>
                <w:tcPr>
                  <w:tcW w:w="860" w:type="dxa"/>
                  <w:tcBorders>
                    <w:tl2br w:val="nil"/>
                    <w:tr2bl w:val="nil"/>
                  </w:tcBorders>
                  <w:noWrap w:val="0"/>
                  <w:vAlign w:val="center"/>
                </w:tcPr>
                <w:p w14:paraId="6B4A823B">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35.7</w:t>
                  </w:r>
                </w:p>
              </w:tc>
              <w:tc>
                <w:tcPr>
                  <w:tcW w:w="677" w:type="dxa"/>
                  <w:tcBorders>
                    <w:tl2br w:val="nil"/>
                    <w:tr2bl w:val="nil"/>
                  </w:tcBorders>
                  <w:noWrap w:val="0"/>
                  <w:vAlign w:val="center"/>
                </w:tcPr>
                <w:p w14:paraId="78FC04F9">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 xml:space="preserve">55.1 </w:t>
                  </w:r>
                </w:p>
              </w:tc>
              <w:tc>
                <w:tcPr>
                  <w:tcW w:w="677" w:type="dxa"/>
                  <w:tcBorders>
                    <w:tl2br w:val="nil"/>
                    <w:tr2bl w:val="nil"/>
                  </w:tcBorders>
                  <w:noWrap w:val="0"/>
                  <w:vAlign w:val="center"/>
                </w:tcPr>
                <w:p w14:paraId="454CF6FC">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 xml:space="preserve">47.3 </w:t>
                  </w:r>
                </w:p>
              </w:tc>
              <w:tc>
                <w:tcPr>
                  <w:tcW w:w="731" w:type="dxa"/>
                  <w:tcBorders>
                    <w:tl2br w:val="nil"/>
                    <w:tr2bl w:val="nil"/>
                  </w:tcBorders>
                  <w:noWrap w:val="0"/>
                  <w:vAlign w:val="center"/>
                </w:tcPr>
                <w:p w14:paraId="596025A2">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达标</w:t>
                  </w:r>
                </w:p>
              </w:tc>
              <w:tc>
                <w:tcPr>
                  <w:tcW w:w="1172" w:type="dxa"/>
                  <w:tcBorders>
                    <w:tl2br w:val="nil"/>
                    <w:tr2bl w:val="nil"/>
                  </w:tcBorders>
                  <w:noWrap w:val="0"/>
                  <w:vAlign w:val="center"/>
                </w:tcPr>
                <w:p w14:paraId="00FAC6B1">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65</w:t>
                  </w:r>
                </w:p>
              </w:tc>
              <w:tc>
                <w:tcPr>
                  <w:tcW w:w="1171" w:type="dxa"/>
                  <w:tcBorders>
                    <w:tl2br w:val="nil"/>
                    <w:tr2bl w:val="nil"/>
                  </w:tcBorders>
                  <w:noWrap w:val="0"/>
                  <w:vAlign w:val="center"/>
                </w:tcPr>
                <w:p w14:paraId="68F2492C">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55</w:t>
                  </w:r>
                </w:p>
              </w:tc>
            </w:tr>
            <w:tr w14:paraId="088818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575" w:type="dxa"/>
                  <w:tcBorders>
                    <w:tl2br w:val="nil"/>
                    <w:tr2bl w:val="nil"/>
                  </w:tcBorders>
                  <w:noWrap w:val="0"/>
                  <w:vAlign w:val="center"/>
                </w:tcPr>
                <w:p w14:paraId="254C9F7F">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西厂界</w:t>
                  </w:r>
                </w:p>
              </w:tc>
              <w:tc>
                <w:tcPr>
                  <w:tcW w:w="479" w:type="dxa"/>
                  <w:tcBorders>
                    <w:tl2br w:val="nil"/>
                    <w:tr2bl w:val="nil"/>
                  </w:tcBorders>
                  <w:noWrap w:val="0"/>
                  <w:vAlign w:val="center"/>
                </w:tcPr>
                <w:p w14:paraId="61E26779">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rPr>
                    <w:t>58</w:t>
                  </w:r>
                </w:p>
              </w:tc>
              <w:tc>
                <w:tcPr>
                  <w:tcW w:w="479" w:type="dxa"/>
                  <w:tcBorders>
                    <w:tl2br w:val="nil"/>
                    <w:tr2bl w:val="nil"/>
                  </w:tcBorders>
                  <w:noWrap w:val="0"/>
                  <w:vAlign w:val="center"/>
                </w:tcPr>
                <w:p w14:paraId="16DDC30D">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rPr>
                    <w:t>49</w:t>
                  </w:r>
                </w:p>
              </w:tc>
              <w:tc>
                <w:tcPr>
                  <w:tcW w:w="860" w:type="dxa"/>
                  <w:tcBorders>
                    <w:tl2br w:val="nil"/>
                    <w:tr2bl w:val="nil"/>
                  </w:tcBorders>
                  <w:noWrap w:val="0"/>
                  <w:vAlign w:val="center"/>
                </w:tcPr>
                <w:p w14:paraId="6F966CF1">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52.6</w:t>
                  </w:r>
                </w:p>
              </w:tc>
              <w:tc>
                <w:tcPr>
                  <w:tcW w:w="860" w:type="dxa"/>
                  <w:tcBorders>
                    <w:tl2br w:val="nil"/>
                    <w:tr2bl w:val="nil"/>
                  </w:tcBorders>
                  <w:noWrap w:val="0"/>
                  <w:vAlign w:val="center"/>
                </w:tcPr>
                <w:p w14:paraId="2D36C5ED">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52.6</w:t>
                  </w:r>
                </w:p>
              </w:tc>
              <w:tc>
                <w:tcPr>
                  <w:tcW w:w="677" w:type="dxa"/>
                  <w:tcBorders>
                    <w:tl2br w:val="nil"/>
                    <w:tr2bl w:val="nil"/>
                  </w:tcBorders>
                  <w:noWrap w:val="0"/>
                  <w:vAlign w:val="center"/>
                </w:tcPr>
                <w:p w14:paraId="0722D221">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 xml:space="preserve">59.1 </w:t>
                  </w:r>
                </w:p>
              </w:tc>
              <w:tc>
                <w:tcPr>
                  <w:tcW w:w="677" w:type="dxa"/>
                  <w:tcBorders>
                    <w:tl2br w:val="nil"/>
                    <w:tr2bl w:val="nil"/>
                  </w:tcBorders>
                  <w:noWrap w:val="0"/>
                  <w:vAlign w:val="center"/>
                </w:tcPr>
                <w:p w14:paraId="426761DC">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 xml:space="preserve">54.1 </w:t>
                  </w:r>
                </w:p>
              </w:tc>
              <w:tc>
                <w:tcPr>
                  <w:tcW w:w="731" w:type="dxa"/>
                  <w:tcBorders>
                    <w:tl2br w:val="nil"/>
                    <w:tr2bl w:val="nil"/>
                  </w:tcBorders>
                  <w:noWrap w:val="0"/>
                  <w:vAlign w:val="center"/>
                </w:tcPr>
                <w:p w14:paraId="27CE4286">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达标</w:t>
                  </w:r>
                </w:p>
              </w:tc>
              <w:tc>
                <w:tcPr>
                  <w:tcW w:w="1172" w:type="dxa"/>
                  <w:tcBorders>
                    <w:tl2br w:val="nil"/>
                    <w:tr2bl w:val="nil"/>
                  </w:tcBorders>
                  <w:noWrap w:val="0"/>
                  <w:vAlign w:val="center"/>
                </w:tcPr>
                <w:p w14:paraId="71C13119">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65</w:t>
                  </w:r>
                </w:p>
              </w:tc>
              <w:tc>
                <w:tcPr>
                  <w:tcW w:w="1171" w:type="dxa"/>
                  <w:tcBorders>
                    <w:tl2br w:val="nil"/>
                    <w:tr2bl w:val="nil"/>
                  </w:tcBorders>
                  <w:noWrap w:val="0"/>
                  <w:vAlign w:val="center"/>
                </w:tcPr>
                <w:p w14:paraId="56F1BDB9">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55</w:t>
                  </w:r>
                </w:p>
              </w:tc>
            </w:tr>
            <w:tr w14:paraId="63F12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575" w:type="dxa"/>
                  <w:tcBorders>
                    <w:tl2br w:val="nil"/>
                    <w:tr2bl w:val="nil"/>
                  </w:tcBorders>
                  <w:noWrap w:val="0"/>
                  <w:vAlign w:val="center"/>
                </w:tcPr>
                <w:p w14:paraId="0A7FDB91">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北厂界</w:t>
                  </w:r>
                </w:p>
              </w:tc>
              <w:tc>
                <w:tcPr>
                  <w:tcW w:w="479" w:type="dxa"/>
                  <w:tcBorders>
                    <w:tl2br w:val="nil"/>
                    <w:tr2bl w:val="nil"/>
                  </w:tcBorders>
                  <w:noWrap w:val="0"/>
                  <w:vAlign w:val="center"/>
                </w:tcPr>
                <w:p w14:paraId="7AF0709E">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rPr>
                    <w:t>54</w:t>
                  </w:r>
                </w:p>
              </w:tc>
              <w:tc>
                <w:tcPr>
                  <w:tcW w:w="479" w:type="dxa"/>
                  <w:tcBorders>
                    <w:tl2br w:val="nil"/>
                    <w:tr2bl w:val="nil"/>
                  </w:tcBorders>
                  <w:noWrap w:val="0"/>
                  <w:vAlign w:val="center"/>
                </w:tcPr>
                <w:p w14:paraId="18DA0E75">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rPr>
                    <w:t>46</w:t>
                  </w:r>
                </w:p>
              </w:tc>
              <w:tc>
                <w:tcPr>
                  <w:tcW w:w="860" w:type="dxa"/>
                  <w:tcBorders>
                    <w:tl2br w:val="nil"/>
                    <w:tr2bl w:val="nil"/>
                  </w:tcBorders>
                  <w:noWrap w:val="0"/>
                  <w:vAlign w:val="center"/>
                </w:tcPr>
                <w:p w14:paraId="025328DA">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44.77</w:t>
                  </w:r>
                </w:p>
              </w:tc>
              <w:tc>
                <w:tcPr>
                  <w:tcW w:w="860" w:type="dxa"/>
                  <w:tcBorders>
                    <w:tl2br w:val="nil"/>
                    <w:tr2bl w:val="nil"/>
                  </w:tcBorders>
                  <w:noWrap w:val="0"/>
                  <w:vAlign w:val="center"/>
                </w:tcPr>
                <w:p w14:paraId="7A5626AA">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44.77</w:t>
                  </w:r>
                </w:p>
              </w:tc>
              <w:tc>
                <w:tcPr>
                  <w:tcW w:w="677" w:type="dxa"/>
                  <w:tcBorders>
                    <w:tl2br w:val="nil"/>
                    <w:tr2bl w:val="nil"/>
                  </w:tcBorders>
                  <w:noWrap w:val="0"/>
                  <w:vAlign w:val="center"/>
                </w:tcPr>
                <w:p w14:paraId="4A82CB9A">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 xml:space="preserve">54.5 </w:t>
                  </w:r>
                </w:p>
              </w:tc>
              <w:tc>
                <w:tcPr>
                  <w:tcW w:w="677" w:type="dxa"/>
                  <w:tcBorders>
                    <w:tl2br w:val="nil"/>
                    <w:tr2bl w:val="nil"/>
                  </w:tcBorders>
                  <w:noWrap w:val="0"/>
                  <w:vAlign w:val="center"/>
                </w:tcPr>
                <w:p w14:paraId="7FDF6931">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 xml:space="preserve">48.4 </w:t>
                  </w:r>
                </w:p>
              </w:tc>
              <w:tc>
                <w:tcPr>
                  <w:tcW w:w="731" w:type="dxa"/>
                  <w:tcBorders>
                    <w:tl2br w:val="nil"/>
                    <w:tr2bl w:val="nil"/>
                  </w:tcBorders>
                  <w:noWrap w:val="0"/>
                  <w:vAlign w:val="center"/>
                </w:tcPr>
                <w:p w14:paraId="1171F821">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达标</w:t>
                  </w:r>
                </w:p>
              </w:tc>
              <w:tc>
                <w:tcPr>
                  <w:tcW w:w="1172" w:type="dxa"/>
                  <w:tcBorders>
                    <w:tl2br w:val="nil"/>
                    <w:tr2bl w:val="nil"/>
                  </w:tcBorders>
                  <w:noWrap w:val="0"/>
                  <w:vAlign w:val="center"/>
                </w:tcPr>
                <w:p w14:paraId="7DAA0AA3">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65</w:t>
                  </w:r>
                </w:p>
              </w:tc>
              <w:tc>
                <w:tcPr>
                  <w:tcW w:w="1171" w:type="dxa"/>
                  <w:tcBorders>
                    <w:tl2br w:val="nil"/>
                    <w:tr2bl w:val="nil"/>
                  </w:tcBorders>
                  <w:noWrap w:val="0"/>
                  <w:vAlign w:val="center"/>
                </w:tcPr>
                <w:p w14:paraId="59228C6B">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55</w:t>
                  </w:r>
                </w:p>
              </w:tc>
            </w:tr>
          </w:tbl>
          <w:p w14:paraId="7C82978D">
            <w:pPr>
              <w:keepNext w:val="0"/>
              <w:keepLines w:val="0"/>
              <w:pageBreakBefore w:val="0"/>
              <w:widowControl w:val="0"/>
              <w:kinsoku/>
              <w:wordWrap/>
              <w:overflowPunct/>
              <w:topLinePunct w:val="0"/>
              <w:autoSpaceDE/>
              <w:autoSpaceDN/>
              <w:bidi w:val="0"/>
              <w:adjustRightInd/>
              <w:snapToGrid/>
              <w:spacing w:line="100" w:lineRule="exact"/>
              <w:ind w:firstLine="482"/>
              <w:textAlignment w:val="auto"/>
              <w:rPr>
                <w:rFonts w:hint="eastAsia" w:ascii="Times New Roman" w:hAnsi="Times New Roman" w:eastAsia="宋体" w:cs="Times New Roman"/>
                <w:color w:val="auto"/>
                <w:sz w:val="26"/>
                <w:szCs w:val="26"/>
                <w:highlight w:val="none"/>
              </w:rPr>
            </w:pPr>
          </w:p>
          <w:p w14:paraId="05B16D6F">
            <w:pPr>
              <w:keepNext w:val="0"/>
              <w:keepLines w:val="0"/>
              <w:pageBreakBefore w:val="0"/>
              <w:widowControl w:val="0"/>
              <w:kinsoku/>
              <w:wordWrap/>
              <w:overflowPunct/>
              <w:topLinePunct w:val="0"/>
              <w:autoSpaceDE/>
              <w:autoSpaceDN/>
              <w:bidi w:val="0"/>
              <w:adjustRightInd/>
              <w:snapToGrid/>
              <w:spacing w:line="100" w:lineRule="exact"/>
              <w:ind w:firstLine="482"/>
              <w:textAlignment w:val="auto"/>
              <w:rPr>
                <w:rFonts w:hint="eastAsia" w:ascii="Times New Roman" w:hAnsi="Times New Roman" w:eastAsia="宋体" w:cs="Times New Roman"/>
                <w:color w:val="auto"/>
                <w:sz w:val="26"/>
                <w:szCs w:val="26"/>
                <w:highlight w:val="none"/>
              </w:rPr>
            </w:pPr>
          </w:p>
          <w:p w14:paraId="70A10E06">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ascii="Times New Roman" w:hAnsi="Times New Roman" w:eastAsia="宋体" w:cs="Times New Roman"/>
                <w:color w:val="auto"/>
                <w:sz w:val="26"/>
                <w:szCs w:val="26"/>
                <w:highlight w:val="none"/>
              </w:rPr>
            </w:pPr>
            <w:r>
              <w:rPr>
                <w:rFonts w:hint="eastAsia" w:ascii="Times New Roman" w:hAnsi="Times New Roman" w:eastAsia="宋体" w:cs="Times New Roman"/>
                <w:color w:val="auto"/>
                <w:sz w:val="26"/>
                <w:szCs w:val="26"/>
                <w:highlight w:val="none"/>
              </w:rPr>
              <w:t>预测结果表明，在采取相应的噪声防治措施</w:t>
            </w:r>
            <w:r>
              <w:rPr>
                <w:rFonts w:hint="eastAsia" w:ascii="Times New Roman" w:hAnsi="Times New Roman" w:eastAsia="宋体" w:cs="Times New Roman"/>
                <w:color w:val="auto"/>
                <w:sz w:val="26"/>
                <w:szCs w:val="26"/>
                <w:highlight w:val="none"/>
                <w:lang w:eastAsia="zh-CN"/>
              </w:rPr>
              <w:t>后</w:t>
            </w:r>
            <w:r>
              <w:rPr>
                <w:rFonts w:hint="eastAsia" w:ascii="Times New Roman" w:hAnsi="Times New Roman" w:eastAsia="宋体" w:cs="Times New Roman"/>
                <w:color w:val="auto"/>
                <w:sz w:val="26"/>
                <w:szCs w:val="26"/>
                <w:highlight w:val="none"/>
              </w:rPr>
              <w:t>，</w:t>
            </w:r>
            <w:r>
              <w:rPr>
                <w:rFonts w:hint="eastAsia" w:ascii="Times New Roman" w:hAnsi="Times New Roman" w:eastAsia="宋体" w:cs="Times New Roman"/>
                <w:color w:val="auto"/>
                <w:sz w:val="26"/>
                <w:szCs w:val="26"/>
                <w:highlight w:val="none"/>
                <w:lang w:val="en-US" w:eastAsia="zh-CN"/>
              </w:rPr>
              <w:t>全厂</w:t>
            </w:r>
            <w:r>
              <w:rPr>
                <w:rFonts w:hint="eastAsia" w:ascii="Times New Roman" w:hAnsi="Times New Roman" w:eastAsia="宋体" w:cs="Times New Roman"/>
                <w:color w:val="auto"/>
                <w:sz w:val="26"/>
                <w:szCs w:val="26"/>
                <w:highlight w:val="none"/>
              </w:rPr>
              <w:t>厂界噪声值昼间</w:t>
            </w:r>
            <w:r>
              <w:rPr>
                <w:rFonts w:hint="eastAsia" w:ascii="Times New Roman" w:hAnsi="Times New Roman" w:eastAsia="宋体" w:cs="Times New Roman"/>
                <w:color w:val="auto"/>
                <w:sz w:val="26"/>
                <w:szCs w:val="26"/>
                <w:highlight w:val="none"/>
                <w:lang w:eastAsia="zh-CN"/>
              </w:rPr>
              <w:t>、夜间均</w:t>
            </w:r>
            <w:r>
              <w:rPr>
                <w:rFonts w:hint="eastAsia" w:ascii="Times New Roman" w:hAnsi="Times New Roman" w:eastAsia="宋体" w:cs="Times New Roman"/>
                <w:color w:val="auto"/>
                <w:sz w:val="26"/>
                <w:szCs w:val="26"/>
                <w:highlight w:val="none"/>
              </w:rPr>
              <w:t>能满足《工业企业厂界环境噪声排放标准》（</w:t>
            </w:r>
            <w:r>
              <w:rPr>
                <w:rFonts w:hint="default" w:ascii="Times New Roman" w:hAnsi="Times New Roman" w:eastAsia="宋体" w:cs="Times New Roman"/>
                <w:color w:val="auto"/>
                <w:sz w:val="26"/>
                <w:szCs w:val="26"/>
                <w:highlight w:val="none"/>
              </w:rPr>
              <w:t>GB12348-2008</w:t>
            </w:r>
            <w:r>
              <w:rPr>
                <w:rFonts w:hint="eastAsia" w:ascii="Times New Roman" w:hAnsi="Times New Roman" w:eastAsia="宋体" w:cs="Times New Roman"/>
                <w:color w:val="auto"/>
                <w:sz w:val="26"/>
                <w:szCs w:val="26"/>
                <w:highlight w:val="none"/>
              </w:rPr>
              <w:t>）</w:t>
            </w:r>
            <w:r>
              <w:rPr>
                <w:rFonts w:hint="default" w:ascii="Times New Roman" w:hAnsi="Times New Roman" w:eastAsia="宋体" w:cs="Times New Roman"/>
                <w:color w:val="auto"/>
                <w:sz w:val="26"/>
                <w:szCs w:val="26"/>
                <w:highlight w:val="none"/>
              </w:rPr>
              <w:t>3</w:t>
            </w:r>
            <w:r>
              <w:rPr>
                <w:rFonts w:hint="eastAsia" w:ascii="Times New Roman" w:hAnsi="Times New Roman" w:eastAsia="宋体" w:cs="Times New Roman"/>
                <w:color w:val="auto"/>
                <w:sz w:val="26"/>
                <w:szCs w:val="26"/>
                <w:highlight w:val="none"/>
              </w:rPr>
              <w:t>类标准。</w:t>
            </w:r>
          </w:p>
          <w:p w14:paraId="4B162DDB">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② 声环境保护目标预测</w:t>
            </w:r>
          </w:p>
          <w:p w14:paraId="1B47DFA1">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color w:val="auto"/>
                <w:sz w:val="26"/>
                <w:szCs w:val="26"/>
                <w:lang w:val="en-US" w:eastAsia="zh-CN"/>
              </w:rPr>
            </w:pPr>
            <w:r>
              <w:rPr>
                <w:rFonts w:hint="eastAsia"/>
                <w:color w:val="auto"/>
                <w:sz w:val="26"/>
                <w:szCs w:val="26"/>
                <w:lang w:val="en-US" w:eastAsia="zh-CN"/>
              </w:rPr>
              <w:t>本项目厂界四周50m声环境评价范围内最近居民点为南厂界最近外约10m处散居居民点（纳入8#散居居民点保护目标统计中），为了解项目对该居民点的影响，本次评价通过噪声影响值叠加该声环境保护目标处背景值进行评价。</w:t>
            </w:r>
          </w:p>
          <w:p w14:paraId="6E1E6287">
            <w:pPr>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eastAsia"/>
                <w:color w:val="auto"/>
                <w:sz w:val="26"/>
                <w:szCs w:val="26"/>
                <w:lang w:val="en-US" w:eastAsia="zh-CN"/>
              </w:rPr>
            </w:pPr>
            <w:r>
              <w:rPr>
                <w:rFonts w:hint="eastAsia"/>
                <w:color w:val="auto"/>
                <w:sz w:val="26"/>
                <w:szCs w:val="26"/>
                <w:lang w:val="en-US" w:eastAsia="zh-CN"/>
              </w:rPr>
              <w:t>预测结果详见下表所示。</w:t>
            </w:r>
          </w:p>
          <w:p w14:paraId="3A9FCC60">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Times New Roman"/>
                <w:b/>
                <w:bCs/>
                <w:color w:val="auto"/>
                <w:sz w:val="26"/>
                <w:szCs w:val="26"/>
                <w:highlight w:val="none"/>
              </w:rPr>
            </w:pPr>
            <w:r>
              <w:rPr>
                <w:rFonts w:hint="default" w:ascii="Times New Roman" w:hAnsi="Times New Roman" w:eastAsia="宋体" w:cs="Times New Roman"/>
                <w:b/>
                <w:bCs/>
                <w:color w:val="auto"/>
                <w:sz w:val="26"/>
                <w:szCs w:val="26"/>
                <w:highlight w:val="none"/>
              </w:rPr>
              <w:t>表4.2-1</w:t>
            </w:r>
            <w:r>
              <w:rPr>
                <w:rFonts w:hint="eastAsia" w:ascii="Times New Roman" w:hAnsi="Times New Roman" w:eastAsia="宋体" w:cs="Times New Roman"/>
                <w:b/>
                <w:bCs/>
                <w:color w:val="auto"/>
                <w:sz w:val="26"/>
                <w:szCs w:val="26"/>
                <w:highlight w:val="none"/>
                <w:lang w:val="en-US" w:eastAsia="zh-CN"/>
              </w:rPr>
              <w:t>9</w:t>
            </w:r>
            <w:r>
              <w:rPr>
                <w:rFonts w:hint="default" w:ascii="Times New Roman" w:hAnsi="Times New Roman" w:eastAsia="宋体" w:cs="Times New Roman"/>
                <w:b/>
                <w:bCs/>
                <w:color w:val="auto"/>
                <w:sz w:val="26"/>
                <w:szCs w:val="26"/>
                <w:highlight w:val="none"/>
              </w:rPr>
              <w:t xml:space="preserve">  噪声影响预测结果</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067"/>
              <w:gridCol w:w="696"/>
              <w:gridCol w:w="728"/>
              <w:gridCol w:w="718"/>
              <w:gridCol w:w="817"/>
              <w:gridCol w:w="710"/>
              <w:gridCol w:w="709"/>
              <w:gridCol w:w="897"/>
              <w:gridCol w:w="794"/>
              <w:gridCol w:w="770"/>
            </w:tblGrid>
            <w:tr w14:paraId="6AA2A4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765" w:type="dxa"/>
                  <w:vMerge w:val="restart"/>
                  <w:tcBorders>
                    <w:tl2br w:val="nil"/>
                    <w:tr2bl w:val="nil"/>
                  </w:tcBorders>
                  <w:noWrap w:val="0"/>
                  <w:vAlign w:val="center"/>
                </w:tcPr>
                <w:p w14:paraId="3DD5F8AD">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预测点</w:t>
                  </w:r>
                </w:p>
              </w:tc>
              <w:tc>
                <w:tcPr>
                  <w:tcW w:w="1021" w:type="dxa"/>
                  <w:gridSpan w:val="2"/>
                  <w:tcBorders>
                    <w:tl2br w:val="nil"/>
                    <w:tr2bl w:val="nil"/>
                  </w:tcBorders>
                  <w:noWrap w:val="0"/>
                  <w:vAlign w:val="center"/>
                </w:tcPr>
                <w:p w14:paraId="7BEB57CF">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eastAsia="zh-CN"/>
                    </w:rPr>
                    <w:t>现有智能化</w:t>
                  </w:r>
                  <w:r>
                    <w:rPr>
                      <w:rFonts w:hint="default" w:ascii="Times New Roman" w:hAnsi="Times New Roman" w:eastAsia="宋体" w:cs="Times New Roman"/>
                      <w:color w:val="auto"/>
                      <w:kern w:val="0"/>
                      <w:sz w:val="22"/>
                      <w:szCs w:val="22"/>
                    </w:rPr>
                    <w:t>项目</w:t>
                  </w:r>
                  <w:r>
                    <w:rPr>
                      <w:rFonts w:hint="default" w:ascii="Times New Roman" w:hAnsi="Times New Roman" w:eastAsia="宋体" w:cs="Times New Roman"/>
                      <w:color w:val="auto"/>
                      <w:kern w:val="0"/>
                      <w:sz w:val="22"/>
                      <w:szCs w:val="22"/>
                      <w:lang w:val="en-US" w:eastAsia="zh-CN"/>
                    </w:rPr>
                    <w:t>噪声贡献值</w:t>
                  </w:r>
                </w:p>
              </w:tc>
              <w:tc>
                <w:tcPr>
                  <w:tcW w:w="1101" w:type="dxa"/>
                  <w:gridSpan w:val="2"/>
                  <w:tcBorders>
                    <w:tl2br w:val="nil"/>
                    <w:tr2bl w:val="nil"/>
                  </w:tcBorders>
                  <w:noWrap w:val="0"/>
                  <w:vAlign w:val="center"/>
                </w:tcPr>
                <w:p w14:paraId="66DBC6E3">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bCs/>
                      <w:color w:val="auto"/>
                      <w:kern w:val="0"/>
                      <w:sz w:val="22"/>
                      <w:szCs w:val="22"/>
                      <w:lang w:val="en-US" w:eastAsia="zh-CN"/>
                    </w:rPr>
                    <w:t>声环境保护目标背景值</w:t>
                  </w:r>
                  <w:r>
                    <w:rPr>
                      <w:rFonts w:hint="default" w:ascii="Times New Roman" w:hAnsi="Times New Roman" w:eastAsia="宋体" w:cs="Times New Roman"/>
                      <w:bCs/>
                      <w:color w:val="auto"/>
                      <w:kern w:val="0"/>
                      <w:sz w:val="22"/>
                      <w:szCs w:val="22"/>
                      <w:vertAlign w:val="superscript"/>
                      <w:lang w:val="en-US" w:eastAsia="zh-CN"/>
                    </w:rPr>
                    <w:t>①</w:t>
                  </w:r>
                </w:p>
              </w:tc>
              <w:tc>
                <w:tcPr>
                  <w:tcW w:w="1017" w:type="dxa"/>
                  <w:gridSpan w:val="2"/>
                  <w:tcBorders>
                    <w:tl2br w:val="nil"/>
                    <w:tr2bl w:val="nil"/>
                  </w:tcBorders>
                  <w:noWrap w:val="0"/>
                  <w:vAlign w:val="center"/>
                </w:tcPr>
                <w:p w14:paraId="7AA0FED9">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eastAsia="zh-CN"/>
                    </w:rPr>
                  </w:pPr>
                  <w:r>
                    <w:rPr>
                      <w:rFonts w:hint="default" w:ascii="Times New Roman" w:hAnsi="Times New Roman" w:eastAsia="宋体" w:cs="Times New Roman"/>
                      <w:color w:val="auto"/>
                      <w:kern w:val="0"/>
                      <w:sz w:val="22"/>
                      <w:szCs w:val="22"/>
                    </w:rPr>
                    <w:t>预测值</w:t>
                  </w:r>
                </w:p>
              </w:tc>
              <w:tc>
                <w:tcPr>
                  <w:tcW w:w="643" w:type="dxa"/>
                  <w:vMerge w:val="restart"/>
                  <w:tcBorders>
                    <w:tl2br w:val="nil"/>
                    <w:tr2bl w:val="nil"/>
                  </w:tcBorders>
                  <w:noWrap w:val="0"/>
                  <w:vAlign w:val="center"/>
                </w:tcPr>
                <w:p w14:paraId="370FD3A4">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达标</w:t>
                  </w:r>
                </w:p>
                <w:p w14:paraId="2346A587">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情况</w:t>
                  </w:r>
                </w:p>
              </w:tc>
              <w:tc>
                <w:tcPr>
                  <w:tcW w:w="1121" w:type="dxa"/>
                  <w:gridSpan w:val="2"/>
                  <w:tcBorders>
                    <w:tl2br w:val="nil"/>
                    <w:tr2bl w:val="nil"/>
                  </w:tcBorders>
                  <w:noWrap w:val="0"/>
                  <w:vAlign w:val="center"/>
                </w:tcPr>
                <w:p w14:paraId="76C4E026">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排放标准限值GB12348-2008</w:t>
                  </w:r>
                </w:p>
              </w:tc>
            </w:tr>
            <w:tr w14:paraId="161F76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765" w:type="dxa"/>
                  <w:vMerge w:val="continue"/>
                  <w:tcBorders>
                    <w:tl2br w:val="nil"/>
                    <w:tr2bl w:val="nil"/>
                  </w:tcBorders>
                  <w:noWrap w:val="0"/>
                  <w:vAlign w:val="center"/>
                </w:tcPr>
                <w:p w14:paraId="5995A0EB">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p>
              </w:tc>
              <w:tc>
                <w:tcPr>
                  <w:tcW w:w="499" w:type="dxa"/>
                  <w:tcBorders>
                    <w:tl2br w:val="nil"/>
                    <w:tr2bl w:val="nil"/>
                  </w:tcBorders>
                  <w:noWrap w:val="0"/>
                  <w:vAlign w:val="center"/>
                </w:tcPr>
                <w:p w14:paraId="5E3D8EDA">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昼间</w:t>
                  </w:r>
                </w:p>
              </w:tc>
              <w:tc>
                <w:tcPr>
                  <w:tcW w:w="522" w:type="dxa"/>
                  <w:tcBorders>
                    <w:tl2br w:val="nil"/>
                    <w:tr2bl w:val="nil"/>
                  </w:tcBorders>
                  <w:noWrap w:val="0"/>
                  <w:vAlign w:val="center"/>
                </w:tcPr>
                <w:p w14:paraId="15A8ADB5">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lang w:val="en-US" w:eastAsia="zh-CN"/>
                    </w:rPr>
                    <w:t>夜间</w:t>
                  </w:r>
                </w:p>
              </w:tc>
              <w:tc>
                <w:tcPr>
                  <w:tcW w:w="515" w:type="dxa"/>
                  <w:tcBorders>
                    <w:tl2br w:val="nil"/>
                    <w:tr2bl w:val="nil"/>
                  </w:tcBorders>
                  <w:noWrap w:val="0"/>
                  <w:vAlign w:val="center"/>
                </w:tcPr>
                <w:p w14:paraId="1481E80B">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昼间</w:t>
                  </w:r>
                </w:p>
              </w:tc>
              <w:tc>
                <w:tcPr>
                  <w:tcW w:w="586" w:type="dxa"/>
                  <w:tcBorders>
                    <w:tl2br w:val="nil"/>
                    <w:tr2bl w:val="nil"/>
                  </w:tcBorders>
                  <w:noWrap w:val="0"/>
                  <w:vAlign w:val="center"/>
                </w:tcPr>
                <w:p w14:paraId="0C5C1DE1">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lang w:val="en-US" w:eastAsia="zh-CN"/>
                    </w:rPr>
                    <w:t>夜间</w:t>
                  </w:r>
                </w:p>
              </w:tc>
              <w:tc>
                <w:tcPr>
                  <w:tcW w:w="509" w:type="dxa"/>
                  <w:tcBorders>
                    <w:tl2br w:val="nil"/>
                    <w:tr2bl w:val="nil"/>
                  </w:tcBorders>
                  <w:noWrap w:val="0"/>
                  <w:vAlign w:val="center"/>
                </w:tcPr>
                <w:p w14:paraId="0BF7A570">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昼间</w:t>
                  </w:r>
                </w:p>
              </w:tc>
              <w:tc>
                <w:tcPr>
                  <w:tcW w:w="508" w:type="dxa"/>
                  <w:tcBorders>
                    <w:tl2br w:val="nil"/>
                    <w:tr2bl w:val="nil"/>
                  </w:tcBorders>
                  <w:noWrap w:val="0"/>
                  <w:vAlign w:val="center"/>
                </w:tcPr>
                <w:p w14:paraId="7AEA32C1">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lang w:val="en-US" w:eastAsia="zh-CN"/>
                    </w:rPr>
                    <w:t>夜间</w:t>
                  </w:r>
                </w:p>
              </w:tc>
              <w:tc>
                <w:tcPr>
                  <w:tcW w:w="643" w:type="dxa"/>
                  <w:vMerge w:val="continue"/>
                  <w:tcBorders>
                    <w:tl2br w:val="nil"/>
                    <w:tr2bl w:val="nil"/>
                  </w:tcBorders>
                  <w:noWrap w:val="0"/>
                  <w:vAlign w:val="center"/>
                </w:tcPr>
                <w:p w14:paraId="74859128">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p>
              </w:tc>
              <w:tc>
                <w:tcPr>
                  <w:tcW w:w="569" w:type="dxa"/>
                  <w:tcBorders>
                    <w:tl2br w:val="nil"/>
                    <w:tr2bl w:val="nil"/>
                  </w:tcBorders>
                  <w:noWrap w:val="0"/>
                  <w:vAlign w:val="center"/>
                </w:tcPr>
                <w:p w14:paraId="337E04E6">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昼间</w:t>
                  </w:r>
                </w:p>
              </w:tc>
              <w:tc>
                <w:tcPr>
                  <w:tcW w:w="552" w:type="dxa"/>
                  <w:tcBorders>
                    <w:tl2br w:val="nil"/>
                    <w:tr2bl w:val="nil"/>
                  </w:tcBorders>
                  <w:noWrap w:val="0"/>
                  <w:vAlign w:val="center"/>
                </w:tcPr>
                <w:p w14:paraId="13445A47">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夜间</w:t>
                  </w:r>
                </w:p>
              </w:tc>
            </w:tr>
            <w:tr w14:paraId="7ED5A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765" w:type="dxa"/>
                  <w:tcBorders>
                    <w:tl2br w:val="nil"/>
                    <w:tr2bl w:val="nil"/>
                  </w:tcBorders>
                  <w:noWrap w:val="0"/>
                  <w:vAlign w:val="center"/>
                </w:tcPr>
                <w:p w14:paraId="29F9BE85">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eastAsia="zh-CN"/>
                    </w:rPr>
                  </w:pPr>
                  <w:r>
                    <w:rPr>
                      <w:rFonts w:hint="default" w:ascii="Times New Roman" w:hAnsi="Times New Roman" w:eastAsia="宋体" w:cs="Times New Roman"/>
                      <w:color w:val="auto"/>
                      <w:sz w:val="22"/>
                      <w:szCs w:val="22"/>
                      <w:lang w:val="en-US" w:eastAsia="zh-CN"/>
                    </w:rPr>
                    <w:t>8#散居居民点</w:t>
                  </w:r>
                  <w:r>
                    <w:rPr>
                      <w:rFonts w:hint="default" w:ascii="Times New Roman" w:hAnsi="Times New Roman" w:eastAsia="宋体" w:cs="Times New Roman"/>
                      <w:color w:val="auto"/>
                      <w:sz w:val="22"/>
                      <w:szCs w:val="22"/>
                      <w:vertAlign w:val="superscript"/>
                      <w:lang w:val="en-US" w:eastAsia="zh-CN"/>
                    </w:rPr>
                    <w:fldChar w:fldCharType="begin"/>
                  </w:r>
                  <w:r>
                    <w:rPr>
                      <w:rFonts w:hint="default" w:ascii="Times New Roman" w:hAnsi="Times New Roman" w:eastAsia="宋体" w:cs="Times New Roman"/>
                      <w:color w:val="auto"/>
                      <w:sz w:val="22"/>
                      <w:szCs w:val="22"/>
                      <w:vertAlign w:val="superscript"/>
                      <w:lang w:val="en-US" w:eastAsia="zh-CN"/>
                    </w:rPr>
                    <w:instrText xml:space="preserve"> = 2 \* GB3 \* MERGEFORMAT </w:instrText>
                  </w:r>
                  <w:r>
                    <w:rPr>
                      <w:rFonts w:hint="default" w:ascii="Times New Roman" w:hAnsi="Times New Roman" w:eastAsia="宋体" w:cs="Times New Roman"/>
                      <w:color w:val="auto"/>
                      <w:sz w:val="22"/>
                      <w:szCs w:val="22"/>
                      <w:vertAlign w:val="superscript"/>
                      <w:lang w:val="en-US" w:eastAsia="zh-CN"/>
                    </w:rPr>
                    <w:fldChar w:fldCharType="separate"/>
                  </w:r>
                  <w:r>
                    <w:rPr>
                      <w:rFonts w:hint="default" w:ascii="Times New Roman" w:hAnsi="Times New Roman" w:eastAsia="宋体" w:cs="Times New Roman"/>
                      <w:color w:val="auto"/>
                      <w:sz w:val="22"/>
                      <w:szCs w:val="22"/>
                      <w:vertAlign w:val="superscript"/>
                    </w:rPr>
                    <w:t>②</w:t>
                  </w:r>
                  <w:r>
                    <w:rPr>
                      <w:rFonts w:hint="default" w:ascii="Times New Roman" w:hAnsi="Times New Roman" w:eastAsia="宋体" w:cs="Times New Roman"/>
                      <w:color w:val="auto"/>
                      <w:sz w:val="22"/>
                      <w:szCs w:val="22"/>
                      <w:vertAlign w:val="superscript"/>
                      <w:lang w:val="en-US" w:eastAsia="zh-CN"/>
                    </w:rPr>
                    <w:fldChar w:fldCharType="end"/>
                  </w:r>
                </w:p>
              </w:tc>
              <w:tc>
                <w:tcPr>
                  <w:tcW w:w="499" w:type="dxa"/>
                  <w:tcBorders>
                    <w:tl2br w:val="nil"/>
                    <w:tr2bl w:val="nil"/>
                  </w:tcBorders>
                  <w:noWrap w:val="0"/>
                  <w:vAlign w:val="center"/>
                </w:tcPr>
                <w:p w14:paraId="2BED8BE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24.3</w:t>
                  </w:r>
                </w:p>
              </w:tc>
              <w:tc>
                <w:tcPr>
                  <w:tcW w:w="522" w:type="dxa"/>
                  <w:tcBorders>
                    <w:tl2br w:val="nil"/>
                    <w:tr2bl w:val="nil"/>
                  </w:tcBorders>
                  <w:noWrap w:val="0"/>
                  <w:vAlign w:val="center"/>
                </w:tcPr>
                <w:p w14:paraId="5B4720C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24.3</w:t>
                  </w:r>
                </w:p>
              </w:tc>
              <w:tc>
                <w:tcPr>
                  <w:tcW w:w="515" w:type="dxa"/>
                  <w:tcBorders>
                    <w:tl2br w:val="nil"/>
                    <w:tr2bl w:val="nil"/>
                  </w:tcBorders>
                  <w:noWrap w:val="0"/>
                  <w:vAlign w:val="center"/>
                </w:tcPr>
                <w:p w14:paraId="4CD9011E">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53</w:t>
                  </w:r>
                </w:p>
              </w:tc>
              <w:tc>
                <w:tcPr>
                  <w:tcW w:w="586" w:type="dxa"/>
                  <w:tcBorders>
                    <w:tl2br w:val="nil"/>
                    <w:tr2bl w:val="nil"/>
                  </w:tcBorders>
                  <w:noWrap w:val="0"/>
                  <w:vAlign w:val="center"/>
                </w:tcPr>
                <w:p w14:paraId="1938F23D">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44</w:t>
                  </w:r>
                </w:p>
              </w:tc>
              <w:tc>
                <w:tcPr>
                  <w:tcW w:w="509" w:type="dxa"/>
                  <w:tcBorders>
                    <w:tl2br w:val="nil"/>
                    <w:tr2bl w:val="nil"/>
                  </w:tcBorders>
                  <w:noWrap w:val="0"/>
                  <w:vAlign w:val="center"/>
                </w:tcPr>
                <w:p w14:paraId="205F9FC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53</w:t>
                  </w:r>
                </w:p>
              </w:tc>
              <w:tc>
                <w:tcPr>
                  <w:tcW w:w="508" w:type="dxa"/>
                  <w:tcBorders>
                    <w:tl2br w:val="nil"/>
                    <w:tr2bl w:val="nil"/>
                  </w:tcBorders>
                  <w:noWrap w:val="0"/>
                  <w:vAlign w:val="center"/>
                </w:tcPr>
                <w:p w14:paraId="6CD33B0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44</w:t>
                  </w:r>
                </w:p>
              </w:tc>
              <w:tc>
                <w:tcPr>
                  <w:tcW w:w="643" w:type="dxa"/>
                  <w:tcBorders>
                    <w:tl2br w:val="nil"/>
                    <w:tr2bl w:val="nil"/>
                  </w:tcBorders>
                  <w:noWrap w:val="0"/>
                  <w:vAlign w:val="center"/>
                </w:tcPr>
                <w:p w14:paraId="094786DD">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达标</w:t>
                  </w:r>
                </w:p>
              </w:tc>
              <w:tc>
                <w:tcPr>
                  <w:tcW w:w="569" w:type="dxa"/>
                  <w:tcBorders>
                    <w:tl2br w:val="nil"/>
                    <w:tr2bl w:val="nil"/>
                  </w:tcBorders>
                  <w:noWrap w:val="0"/>
                  <w:vAlign w:val="center"/>
                </w:tcPr>
                <w:p w14:paraId="055E8153">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rPr>
                  </w:pPr>
                  <w:r>
                    <w:rPr>
                      <w:rFonts w:hint="default" w:ascii="Times New Roman" w:hAnsi="Times New Roman" w:eastAsia="宋体" w:cs="Times New Roman"/>
                      <w:color w:val="auto"/>
                      <w:kern w:val="0"/>
                      <w:sz w:val="22"/>
                      <w:szCs w:val="22"/>
                    </w:rPr>
                    <w:t>65</w:t>
                  </w:r>
                </w:p>
              </w:tc>
              <w:tc>
                <w:tcPr>
                  <w:tcW w:w="552" w:type="dxa"/>
                  <w:tcBorders>
                    <w:tl2br w:val="nil"/>
                    <w:tr2bl w:val="nil"/>
                  </w:tcBorders>
                  <w:noWrap w:val="0"/>
                  <w:vAlign w:val="center"/>
                </w:tcPr>
                <w:p w14:paraId="74CBA3FB">
                  <w:pPr>
                    <w:keepNext w:val="0"/>
                    <w:keepLines w:val="0"/>
                    <w:pageBreakBefore w:val="0"/>
                    <w:widowControl w:val="0"/>
                    <w:kinsoku/>
                    <w:wordWrap/>
                    <w:overflowPunct/>
                    <w:topLinePunct w:val="0"/>
                    <w:autoSpaceDE/>
                    <w:autoSpaceDN/>
                    <w:bidi w:val="0"/>
                    <w:adjustRightInd w:val="0"/>
                    <w:snapToGrid w:val="0"/>
                    <w:spacing w:before="24" w:beforeLines="10" w:after="24" w:afterLines="10" w:line="240" w:lineRule="auto"/>
                    <w:jc w:val="center"/>
                    <w:textAlignment w:val="auto"/>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0"/>
                      <w:sz w:val="22"/>
                      <w:szCs w:val="22"/>
                      <w:lang w:val="en-US" w:eastAsia="zh-CN"/>
                    </w:rPr>
                    <w:t>55</w:t>
                  </w:r>
                </w:p>
              </w:tc>
            </w:tr>
          </w:tbl>
          <w:p w14:paraId="2C41D5FD">
            <w:pPr>
              <w:adjustRightInd w:val="0"/>
              <w:snapToGrid w:val="0"/>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注：①声环境保护目标背景值数据在现有厂区设备处于正常运转状态下监测；②不考虑围墙、树木等阻隔，仅考虑距离衰减。</w:t>
            </w:r>
          </w:p>
          <w:p w14:paraId="4A4AF39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lang w:val="en-US" w:eastAsia="zh-CN"/>
              </w:rPr>
              <w:t>由上表可知，本项目建成后，全厂产生的噪声对项目南侧最近声环境保护目标处的声环境影响小，昼间、夜间预测值均满足</w:t>
            </w:r>
            <w:r>
              <w:rPr>
                <w:rFonts w:hint="default" w:ascii="Times New Roman" w:hAnsi="Times New Roman" w:eastAsia="宋体" w:cs="Times New Roman"/>
                <w:color w:val="auto"/>
                <w:sz w:val="26"/>
                <w:szCs w:val="26"/>
                <w:lang w:val="en-US" w:eastAsia="zh-CN"/>
              </w:rPr>
              <w:t>《声环境质量标准》（GB3096-2008）3类标准</w:t>
            </w:r>
            <w:r>
              <w:rPr>
                <w:rFonts w:hint="eastAsia" w:ascii="Times New Roman" w:hAnsi="Times New Roman" w:eastAsia="宋体" w:cs="Times New Roman"/>
                <w:color w:val="auto"/>
                <w:sz w:val="26"/>
                <w:szCs w:val="26"/>
                <w:lang w:val="en-US" w:eastAsia="zh-CN"/>
              </w:rPr>
              <w:t>。</w:t>
            </w:r>
          </w:p>
          <w:p w14:paraId="3812C5CA">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4.2.</w:t>
            </w:r>
            <w:r>
              <w:rPr>
                <w:rFonts w:hint="default" w:ascii="Times New Roman" w:hAnsi="Times New Roman" w:eastAsia="宋体" w:cs="Times New Roman"/>
                <w:b/>
                <w:bCs/>
                <w:color w:val="auto"/>
                <w:sz w:val="26"/>
                <w:szCs w:val="26"/>
                <w:lang w:val="en-US" w:eastAsia="zh-CN"/>
              </w:rPr>
              <w:t>3.</w:t>
            </w:r>
            <w:r>
              <w:rPr>
                <w:rFonts w:hint="eastAsia" w:ascii="Times New Roman" w:hAnsi="Times New Roman" w:eastAsia="宋体" w:cs="Times New Roman"/>
                <w:b/>
                <w:bCs/>
                <w:color w:val="auto"/>
                <w:sz w:val="26"/>
                <w:szCs w:val="26"/>
                <w:lang w:val="en-US" w:eastAsia="zh-CN"/>
              </w:rPr>
              <w:t>3</w:t>
            </w:r>
            <w:r>
              <w:rPr>
                <w:rFonts w:hint="default" w:ascii="Times New Roman" w:hAnsi="Times New Roman" w:eastAsia="宋体" w:cs="Times New Roman"/>
                <w:b/>
                <w:bCs/>
                <w:color w:val="auto"/>
                <w:sz w:val="26"/>
                <w:szCs w:val="26"/>
                <w:lang w:val="en-US" w:eastAsia="zh-CN"/>
              </w:rPr>
              <w:t>噪声污染防治措施及其可行性论证</w:t>
            </w:r>
          </w:p>
          <w:p w14:paraId="6B40ABDE">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本项目</w:t>
            </w:r>
            <w:r>
              <w:rPr>
                <w:rFonts w:hint="default" w:ascii="Times New Roman" w:hAnsi="Times New Roman" w:eastAsia="宋体" w:cs="Times New Roman"/>
                <w:color w:val="auto"/>
                <w:sz w:val="26"/>
                <w:szCs w:val="26"/>
                <w:lang w:val="en-US" w:eastAsia="zh-CN"/>
              </w:rPr>
              <w:t>噪声源主要是</w:t>
            </w:r>
            <w:r>
              <w:rPr>
                <w:rFonts w:hint="eastAsia" w:ascii="Times New Roman" w:hAnsi="Times New Roman" w:eastAsia="宋体" w:cs="Times New Roman"/>
                <w:color w:val="auto"/>
                <w:kern w:val="0"/>
                <w:sz w:val="26"/>
                <w:szCs w:val="26"/>
                <w:highlight w:val="none"/>
                <w:lang w:val="en-US" w:eastAsia="zh-CN" w:bidi="ar-SA"/>
              </w:rPr>
              <w:t>风机、熔铸生产线、冷却塔、空压机、泵等</w:t>
            </w:r>
            <w:r>
              <w:rPr>
                <w:rFonts w:hint="eastAsia" w:ascii="Times New Roman" w:hAnsi="Times New Roman" w:eastAsia="宋体"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为了减轻噪声污染，降低其对周围声环境的影响，采取的噪声防治措施如下：</w:t>
            </w:r>
          </w:p>
          <w:p w14:paraId="6E303CB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（1）在设备选型、订货时尽量选用</w:t>
            </w:r>
            <w:r>
              <w:rPr>
                <w:rFonts w:hint="eastAsia" w:ascii="Times New Roman" w:hAnsi="Times New Roman" w:eastAsia="宋体" w:cs="Times New Roman"/>
                <w:color w:val="auto"/>
                <w:sz w:val="26"/>
                <w:szCs w:val="26"/>
                <w:lang w:val="en-US" w:eastAsia="zh-CN"/>
              </w:rPr>
              <w:t>了</w:t>
            </w:r>
            <w:r>
              <w:rPr>
                <w:rFonts w:hint="default" w:ascii="Times New Roman" w:hAnsi="Times New Roman" w:eastAsia="宋体" w:cs="Times New Roman"/>
                <w:color w:val="auto"/>
                <w:sz w:val="26"/>
                <w:szCs w:val="26"/>
                <w:lang w:val="en-US" w:eastAsia="zh-CN"/>
              </w:rPr>
              <w:t>性能先进、高效节能、低噪声的设备，</w:t>
            </w:r>
            <w:r>
              <w:rPr>
                <w:rFonts w:hint="eastAsia" w:ascii="Times New Roman" w:hAnsi="Times New Roman" w:eastAsia="宋体" w:cs="Times New Roman"/>
                <w:color w:val="auto"/>
                <w:sz w:val="26"/>
                <w:szCs w:val="26"/>
                <w:lang w:val="en-US" w:eastAsia="zh-CN"/>
              </w:rPr>
              <w:t>定期</w:t>
            </w:r>
            <w:r>
              <w:rPr>
                <w:rFonts w:hint="default" w:ascii="Times New Roman" w:hAnsi="Times New Roman" w:eastAsia="宋体" w:cs="Times New Roman"/>
                <w:color w:val="auto"/>
                <w:sz w:val="26"/>
                <w:szCs w:val="26"/>
                <w:lang w:val="en-US" w:eastAsia="zh-CN"/>
              </w:rPr>
              <w:t>对设备维护管理，从源头上控制噪声的产生；</w:t>
            </w:r>
          </w:p>
          <w:p w14:paraId="23BCCDCF">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（2）</w:t>
            </w:r>
            <w:r>
              <w:rPr>
                <w:rFonts w:hint="eastAsia" w:ascii="Times New Roman" w:hAnsi="Times New Roman" w:eastAsia="宋体" w:cs="Times New Roman"/>
                <w:color w:val="auto"/>
                <w:sz w:val="26"/>
                <w:szCs w:val="26"/>
                <w:lang w:val="en-US" w:eastAsia="zh-CN"/>
              </w:rPr>
              <w:t>对厂房周围及厂区空地进行了绿化，</w:t>
            </w:r>
            <w:r>
              <w:rPr>
                <w:rFonts w:hint="default" w:ascii="Times New Roman" w:hAnsi="Times New Roman" w:eastAsia="宋体" w:cs="Times New Roman"/>
                <w:color w:val="auto"/>
                <w:sz w:val="26"/>
                <w:szCs w:val="26"/>
                <w:lang w:val="en-US" w:eastAsia="zh-CN"/>
              </w:rPr>
              <w:t>降低</w:t>
            </w:r>
            <w:r>
              <w:rPr>
                <w:rFonts w:hint="eastAsia" w:ascii="Times New Roman" w:hAnsi="Times New Roman" w:eastAsia="宋体" w:cs="Times New Roman"/>
                <w:color w:val="auto"/>
                <w:sz w:val="26"/>
                <w:szCs w:val="26"/>
                <w:lang w:val="en-US" w:eastAsia="zh-CN"/>
              </w:rPr>
              <w:t>了</w:t>
            </w:r>
            <w:r>
              <w:rPr>
                <w:rFonts w:hint="default" w:ascii="Times New Roman" w:hAnsi="Times New Roman" w:eastAsia="宋体" w:cs="Times New Roman"/>
                <w:color w:val="auto"/>
                <w:sz w:val="26"/>
                <w:szCs w:val="26"/>
                <w:lang w:val="en-US" w:eastAsia="zh-CN"/>
              </w:rPr>
              <w:t>噪声的影响</w:t>
            </w:r>
            <w:r>
              <w:rPr>
                <w:rFonts w:hint="eastAsia" w:ascii="Times New Roman" w:hAnsi="Times New Roman" w:eastAsia="宋体" w:cs="Times New Roman"/>
                <w:color w:val="auto"/>
                <w:sz w:val="26"/>
                <w:szCs w:val="26"/>
                <w:lang w:val="en-US" w:eastAsia="zh-CN"/>
              </w:rPr>
              <w:t>；</w:t>
            </w:r>
          </w:p>
          <w:p w14:paraId="060DA51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采取以上治理措施后，</w:t>
            </w:r>
            <w:r>
              <w:rPr>
                <w:rFonts w:hint="eastAsia" w:ascii="Times New Roman" w:hAnsi="Times New Roman" w:eastAsia="宋体" w:cs="Times New Roman"/>
                <w:color w:val="auto"/>
                <w:sz w:val="26"/>
                <w:szCs w:val="26"/>
                <w:lang w:val="en-US" w:eastAsia="zh-CN"/>
              </w:rPr>
              <w:t>厂界及环境敏感目标均能满足相应标准。综上</w:t>
            </w:r>
            <w:r>
              <w:rPr>
                <w:rFonts w:hint="default" w:ascii="Times New Roman" w:hAnsi="Times New Roman" w:eastAsia="宋体" w:cs="Times New Roman"/>
                <w:color w:val="auto"/>
                <w:sz w:val="26"/>
                <w:szCs w:val="26"/>
                <w:lang w:val="en-US" w:eastAsia="zh-CN"/>
              </w:rPr>
              <w:t>，</w:t>
            </w:r>
            <w:r>
              <w:rPr>
                <w:rFonts w:hint="eastAsia" w:ascii="Times New Roman" w:hAnsi="Times New Roman" w:eastAsia="宋体" w:cs="Times New Roman"/>
                <w:color w:val="auto"/>
                <w:sz w:val="26"/>
                <w:szCs w:val="26"/>
                <w:lang w:val="en-US" w:eastAsia="zh-CN"/>
              </w:rPr>
              <w:t>本项目</w:t>
            </w:r>
            <w:r>
              <w:rPr>
                <w:rFonts w:hint="default" w:ascii="Times New Roman" w:hAnsi="Times New Roman" w:eastAsia="宋体" w:cs="Times New Roman"/>
                <w:color w:val="auto"/>
                <w:sz w:val="26"/>
                <w:szCs w:val="26"/>
                <w:lang w:val="en-US" w:eastAsia="zh-CN"/>
              </w:rPr>
              <w:t>噪声污染防治措施可行。</w:t>
            </w:r>
          </w:p>
          <w:p w14:paraId="4CFFDA0F">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4.2.</w:t>
            </w:r>
            <w:r>
              <w:rPr>
                <w:rFonts w:hint="default" w:ascii="Times New Roman" w:hAnsi="Times New Roman" w:eastAsia="宋体" w:cs="Times New Roman"/>
                <w:b/>
                <w:bCs/>
                <w:color w:val="auto"/>
                <w:sz w:val="26"/>
                <w:szCs w:val="26"/>
                <w:lang w:val="en-US" w:eastAsia="zh-CN"/>
              </w:rPr>
              <w:t>3.</w:t>
            </w:r>
            <w:r>
              <w:rPr>
                <w:rFonts w:hint="eastAsia" w:ascii="Times New Roman" w:hAnsi="Times New Roman" w:eastAsia="宋体" w:cs="Times New Roman"/>
                <w:b/>
                <w:bCs/>
                <w:color w:val="auto"/>
                <w:sz w:val="26"/>
                <w:szCs w:val="26"/>
                <w:lang w:val="en-US" w:eastAsia="zh-CN"/>
              </w:rPr>
              <w:t>4</w:t>
            </w:r>
            <w:r>
              <w:rPr>
                <w:rFonts w:hint="default" w:ascii="Times New Roman" w:hAnsi="Times New Roman" w:eastAsia="宋体" w:cs="Times New Roman"/>
                <w:b/>
                <w:bCs/>
                <w:color w:val="auto"/>
                <w:sz w:val="26"/>
                <w:szCs w:val="26"/>
                <w:lang w:val="en-US" w:eastAsia="zh-CN"/>
              </w:rPr>
              <w:t>监测要求</w:t>
            </w:r>
          </w:p>
          <w:p w14:paraId="1694956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kern w:val="0"/>
                <w:sz w:val="26"/>
                <w:szCs w:val="26"/>
                <w:highlight w:val="none"/>
                <w:lang w:val="en-US" w:eastAsia="zh-CN"/>
              </w:rPr>
            </w:pPr>
            <w:r>
              <w:rPr>
                <w:rFonts w:hint="default" w:ascii="Times New Roman" w:hAnsi="Times New Roman" w:eastAsia="宋体" w:cs="Times New Roman"/>
                <w:color w:val="auto"/>
                <w:kern w:val="0"/>
                <w:sz w:val="26"/>
                <w:szCs w:val="26"/>
                <w:highlight w:val="none"/>
                <w:lang w:val="en-US" w:eastAsia="zh-CN"/>
              </w:rPr>
              <w:t>建设单位委托有资质的监测机构承担日常环境监测，监测的采样分析方法全部按照国家环保总局制定的操作规范进行。根据</w:t>
            </w:r>
            <w:r>
              <w:rPr>
                <w:rFonts w:hint="default" w:ascii="Times New Roman" w:hAnsi="Times New Roman" w:cs="Times New Roman"/>
                <w:color w:val="auto"/>
                <w:sz w:val="26"/>
                <w:szCs w:val="26"/>
                <w:lang w:val="en-US" w:eastAsia="zh-CN"/>
              </w:rPr>
              <w:t>《排污单位自行监测技术指南  总则》（HJ 819-2017）</w:t>
            </w:r>
            <w:r>
              <w:rPr>
                <w:rFonts w:hint="default" w:ascii="Times New Roman" w:hAnsi="Times New Roman" w:eastAsia="宋体" w:cs="Times New Roman"/>
                <w:color w:val="auto"/>
                <w:kern w:val="0"/>
                <w:sz w:val="26"/>
                <w:szCs w:val="26"/>
                <w:highlight w:val="none"/>
                <w:lang w:val="en-US" w:eastAsia="zh-CN"/>
              </w:rPr>
              <w:t>，环境监测计划详见</w:t>
            </w:r>
            <w:r>
              <w:rPr>
                <w:rFonts w:hint="eastAsia" w:ascii="Times New Roman" w:hAnsi="Times New Roman" w:eastAsia="宋体" w:cs="Times New Roman"/>
                <w:color w:val="auto"/>
                <w:kern w:val="0"/>
                <w:sz w:val="26"/>
                <w:szCs w:val="26"/>
                <w:highlight w:val="none"/>
                <w:lang w:val="en-US" w:eastAsia="zh-CN"/>
              </w:rPr>
              <w:t>下表</w:t>
            </w:r>
            <w:r>
              <w:rPr>
                <w:rFonts w:hint="default" w:ascii="Times New Roman" w:hAnsi="Times New Roman" w:eastAsia="宋体" w:cs="Times New Roman"/>
                <w:color w:val="auto"/>
                <w:kern w:val="0"/>
                <w:sz w:val="26"/>
                <w:szCs w:val="26"/>
                <w:highlight w:val="none"/>
                <w:lang w:val="en-US" w:eastAsia="zh-CN"/>
              </w:rPr>
              <w:t>。</w:t>
            </w:r>
          </w:p>
          <w:p w14:paraId="30335E46">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Times New Roman"/>
                <w:b/>
                <w:bCs/>
                <w:color w:val="auto"/>
                <w:kern w:val="0"/>
                <w:sz w:val="26"/>
                <w:szCs w:val="26"/>
                <w:highlight w:val="none"/>
                <w:lang w:val="en-US" w:eastAsia="zh-CN"/>
              </w:rPr>
            </w:pPr>
          </w:p>
          <w:p w14:paraId="140FC27C">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Times New Roman"/>
                <w:b/>
                <w:bCs/>
                <w:color w:val="auto"/>
                <w:kern w:val="0"/>
                <w:sz w:val="26"/>
                <w:szCs w:val="26"/>
                <w:highlight w:val="none"/>
                <w:lang w:val="en-US" w:eastAsia="zh-CN"/>
              </w:rPr>
            </w:pPr>
          </w:p>
          <w:p w14:paraId="5686F06C">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Times New Roman"/>
                <w:b/>
                <w:bCs/>
                <w:color w:val="auto"/>
                <w:kern w:val="0"/>
                <w:sz w:val="26"/>
                <w:szCs w:val="26"/>
                <w:highlight w:val="none"/>
                <w:lang w:val="en-US" w:eastAsia="zh-CN"/>
              </w:rPr>
            </w:pPr>
          </w:p>
          <w:p w14:paraId="1361C818">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Times New Roman"/>
                <w:b/>
                <w:bCs/>
                <w:color w:val="auto"/>
                <w:kern w:val="0"/>
                <w:sz w:val="26"/>
                <w:szCs w:val="26"/>
                <w:highlight w:val="none"/>
                <w:lang w:val="en-US" w:eastAsia="zh-CN"/>
              </w:rPr>
            </w:pPr>
            <w:r>
              <w:rPr>
                <w:rFonts w:hint="default" w:ascii="Times New Roman" w:hAnsi="Times New Roman" w:eastAsia="宋体" w:cs="Times New Roman"/>
                <w:b/>
                <w:bCs/>
                <w:color w:val="auto"/>
                <w:kern w:val="0"/>
                <w:sz w:val="26"/>
                <w:szCs w:val="26"/>
                <w:highlight w:val="none"/>
                <w:lang w:val="en-US" w:eastAsia="zh-CN"/>
              </w:rPr>
              <w:t>表</w:t>
            </w:r>
            <w:r>
              <w:rPr>
                <w:rFonts w:hint="eastAsia" w:ascii="Times New Roman" w:hAnsi="Times New Roman" w:eastAsia="宋体" w:cs="Times New Roman"/>
                <w:b/>
                <w:bCs/>
                <w:color w:val="auto"/>
                <w:kern w:val="0"/>
                <w:sz w:val="26"/>
                <w:szCs w:val="26"/>
                <w:highlight w:val="none"/>
                <w:lang w:val="en-US" w:eastAsia="zh-CN"/>
              </w:rPr>
              <w:t>4.2-20</w:t>
            </w:r>
            <w:r>
              <w:rPr>
                <w:rFonts w:hint="default" w:ascii="Times New Roman" w:hAnsi="Times New Roman" w:eastAsia="宋体" w:cs="Times New Roman"/>
                <w:b/>
                <w:bCs/>
                <w:color w:val="auto"/>
                <w:kern w:val="0"/>
                <w:sz w:val="26"/>
                <w:szCs w:val="26"/>
                <w:highlight w:val="none"/>
                <w:lang w:val="en-US" w:eastAsia="zh-CN"/>
              </w:rPr>
              <w:t xml:space="preserve">  营运期污染源监测计划一览表</w:t>
            </w:r>
          </w:p>
          <w:tbl>
            <w:tblPr>
              <w:tblStyle w:val="25"/>
              <w:tblW w:w="497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2427"/>
              <w:gridCol w:w="1861"/>
              <w:gridCol w:w="2206"/>
            </w:tblGrid>
            <w:tr w14:paraId="7F02CE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8" w:type="dxa"/>
                  <w:tcBorders>
                    <w:tl2br w:val="nil"/>
                    <w:tr2bl w:val="nil"/>
                  </w:tcBorders>
                  <w:noWrap w:val="0"/>
                  <w:vAlign w:val="center"/>
                </w:tcPr>
                <w:p w14:paraId="55396E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污染源</w:t>
                  </w:r>
                </w:p>
              </w:tc>
              <w:tc>
                <w:tcPr>
                  <w:tcW w:w="2362" w:type="dxa"/>
                  <w:tcBorders>
                    <w:tl2br w:val="nil"/>
                    <w:tr2bl w:val="nil"/>
                  </w:tcBorders>
                  <w:noWrap w:val="0"/>
                  <w:vAlign w:val="center"/>
                </w:tcPr>
                <w:p w14:paraId="25D9DA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监测位置</w:t>
                  </w:r>
                </w:p>
              </w:tc>
              <w:tc>
                <w:tcPr>
                  <w:tcW w:w="1811" w:type="dxa"/>
                  <w:tcBorders>
                    <w:tl2br w:val="nil"/>
                    <w:tr2bl w:val="nil"/>
                  </w:tcBorders>
                  <w:noWrap w:val="0"/>
                  <w:vAlign w:val="center"/>
                </w:tcPr>
                <w:p w14:paraId="28A143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监测项目</w:t>
                  </w:r>
                </w:p>
              </w:tc>
              <w:tc>
                <w:tcPr>
                  <w:tcW w:w="2147" w:type="dxa"/>
                  <w:tcBorders>
                    <w:tl2br w:val="nil"/>
                    <w:tr2bl w:val="nil"/>
                  </w:tcBorders>
                  <w:noWrap w:val="0"/>
                  <w:vAlign w:val="center"/>
                </w:tcPr>
                <w:p w14:paraId="11C9B1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监测频率</w:t>
                  </w:r>
                </w:p>
              </w:tc>
            </w:tr>
            <w:tr w14:paraId="3C338C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68" w:type="dxa"/>
                  <w:tcBorders>
                    <w:tl2br w:val="nil"/>
                    <w:tr2bl w:val="nil"/>
                  </w:tcBorders>
                  <w:noWrap w:val="0"/>
                  <w:vAlign w:val="center"/>
                </w:tcPr>
                <w:p w14:paraId="7A79B8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产噪设备</w:t>
                  </w:r>
                </w:p>
              </w:tc>
              <w:tc>
                <w:tcPr>
                  <w:tcW w:w="2362" w:type="dxa"/>
                  <w:tcBorders>
                    <w:tl2br w:val="nil"/>
                    <w:tr2bl w:val="nil"/>
                  </w:tcBorders>
                  <w:noWrap w:val="0"/>
                  <w:vAlign w:val="center"/>
                </w:tcPr>
                <w:p w14:paraId="7FA83C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东、西、南、北各</w:t>
                  </w:r>
                  <w:r>
                    <w:rPr>
                      <w:rFonts w:hint="default" w:ascii="Times New Roman" w:hAnsi="Times New Roman" w:eastAsia="宋体" w:cs="Times New Roman"/>
                      <w:color w:val="auto"/>
                      <w:sz w:val="22"/>
                      <w:szCs w:val="22"/>
                      <w:lang w:val="en-US" w:eastAsia="zh-CN"/>
                    </w:rPr>
                    <w:t>厂界</w:t>
                  </w:r>
                </w:p>
              </w:tc>
              <w:tc>
                <w:tcPr>
                  <w:tcW w:w="1811" w:type="dxa"/>
                  <w:tcBorders>
                    <w:tl2br w:val="nil"/>
                    <w:tr2bl w:val="nil"/>
                  </w:tcBorders>
                  <w:noWrap w:val="0"/>
                  <w:vAlign w:val="center"/>
                </w:tcPr>
                <w:p w14:paraId="683DF1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昼间、夜间</w:t>
                  </w:r>
                  <w:r>
                    <w:rPr>
                      <w:rFonts w:hint="default" w:ascii="Times New Roman" w:hAnsi="Times New Roman" w:eastAsia="宋体" w:cs="Times New Roman"/>
                      <w:color w:val="auto"/>
                      <w:sz w:val="22"/>
                      <w:szCs w:val="22"/>
                      <w:lang w:val="en-US" w:eastAsia="zh-CN"/>
                    </w:rPr>
                    <w:t>等效声级</w:t>
                  </w:r>
                </w:p>
              </w:tc>
              <w:tc>
                <w:tcPr>
                  <w:tcW w:w="2147" w:type="dxa"/>
                  <w:tcBorders>
                    <w:tl2br w:val="nil"/>
                    <w:tr2bl w:val="nil"/>
                  </w:tcBorders>
                  <w:noWrap w:val="0"/>
                  <w:vAlign w:val="center"/>
                </w:tcPr>
                <w:p w14:paraId="43A7AA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验收时监测1次，自行监测1次/季度</w:t>
                  </w:r>
                </w:p>
              </w:tc>
            </w:tr>
          </w:tbl>
          <w:p w14:paraId="3500FC3F">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ascii="Times New Roman" w:hAnsi="Times New Roman" w:eastAsia="宋体" w:cs="Times New Roman"/>
                <w:b/>
                <w:bCs/>
                <w:color w:val="auto"/>
                <w:sz w:val="26"/>
                <w:szCs w:val="26"/>
                <w:lang w:val="en-US" w:eastAsia="zh-CN"/>
              </w:rPr>
            </w:pPr>
          </w:p>
          <w:p w14:paraId="7BC18467">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4.2.</w:t>
            </w:r>
            <w:r>
              <w:rPr>
                <w:rFonts w:hint="default" w:ascii="Times New Roman" w:hAnsi="Times New Roman" w:eastAsia="宋体" w:cs="Times New Roman"/>
                <w:b/>
                <w:bCs/>
                <w:color w:val="auto"/>
                <w:sz w:val="26"/>
                <w:szCs w:val="26"/>
                <w:lang w:val="en-US" w:eastAsia="zh-CN"/>
              </w:rPr>
              <w:t>4固体废物</w:t>
            </w:r>
          </w:p>
          <w:p w14:paraId="52C43D51">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default" w:ascii="Times New Roman" w:hAnsi="Times New Roman" w:eastAsia="宋体" w:cs="Times New Roman"/>
                <w:b/>
                <w:bCs/>
                <w:color w:val="auto"/>
                <w:sz w:val="26"/>
                <w:szCs w:val="26"/>
                <w:lang w:val="en-US" w:eastAsia="zh-CN"/>
              </w:rPr>
              <w:t>4.</w:t>
            </w:r>
            <w:r>
              <w:rPr>
                <w:rFonts w:hint="eastAsia" w:ascii="Times New Roman" w:hAnsi="Times New Roman" w:eastAsia="宋体" w:cs="Times New Roman"/>
                <w:b/>
                <w:bCs/>
                <w:color w:val="auto"/>
                <w:sz w:val="26"/>
                <w:szCs w:val="26"/>
                <w:lang w:val="en-US" w:eastAsia="zh-CN"/>
              </w:rPr>
              <w:t>2.4.</w:t>
            </w:r>
            <w:r>
              <w:rPr>
                <w:rFonts w:hint="default" w:ascii="Times New Roman" w:hAnsi="Times New Roman" w:eastAsia="宋体" w:cs="Times New Roman"/>
                <w:b/>
                <w:bCs/>
                <w:color w:val="auto"/>
                <w:sz w:val="26"/>
                <w:szCs w:val="26"/>
                <w:lang w:val="en-US" w:eastAsia="zh-CN"/>
              </w:rPr>
              <w:t>1固体废物</w:t>
            </w:r>
            <w:r>
              <w:rPr>
                <w:rFonts w:hint="eastAsia" w:ascii="Times New Roman" w:hAnsi="Times New Roman" w:eastAsia="宋体" w:cs="Times New Roman"/>
                <w:b/>
                <w:bCs/>
                <w:color w:val="auto"/>
                <w:sz w:val="26"/>
                <w:szCs w:val="26"/>
                <w:lang w:val="en-US" w:eastAsia="zh-CN"/>
              </w:rPr>
              <w:t>产生量</w:t>
            </w:r>
            <w:r>
              <w:rPr>
                <w:rFonts w:hint="default" w:ascii="Times New Roman" w:hAnsi="Times New Roman" w:eastAsia="宋体" w:cs="Times New Roman"/>
                <w:b/>
                <w:bCs/>
                <w:color w:val="auto"/>
                <w:sz w:val="26"/>
                <w:szCs w:val="26"/>
                <w:lang w:val="en-US" w:eastAsia="zh-CN"/>
              </w:rPr>
              <w:t>核算</w:t>
            </w:r>
          </w:p>
          <w:p w14:paraId="20DD82D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kern w:val="0"/>
                <w:sz w:val="26"/>
                <w:szCs w:val="26"/>
                <w:highlight w:val="none"/>
                <w:lang w:val="en-US" w:eastAsia="zh-CN"/>
              </w:rPr>
            </w:pPr>
            <w:r>
              <w:rPr>
                <w:rFonts w:hint="eastAsia" w:ascii="Times New Roman" w:hAnsi="Times New Roman" w:eastAsia="宋体" w:cs="Times New Roman"/>
                <w:color w:val="auto"/>
                <w:kern w:val="0"/>
                <w:sz w:val="26"/>
                <w:szCs w:val="26"/>
                <w:highlight w:val="none"/>
                <w:lang w:val="en-US" w:eastAsia="zh-CN"/>
              </w:rPr>
              <w:t>本项目运营期固体废物主要包括一般工业固体废物、危险废物。</w:t>
            </w:r>
          </w:p>
          <w:p w14:paraId="0C7E80FA">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Times New Roman" w:hAnsi="Times New Roman" w:eastAsia="宋体" w:cs="Times New Roman"/>
                <w:color w:val="auto"/>
                <w:kern w:val="0"/>
                <w:sz w:val="26"/>
                <w:szCs w:val="26"/>
                <w:highlight w:val="none"/>
                <w:lang w:val="en-US" w:eastAsia="zh-CN"/>
              </w:rPr>
            </w:pPr>
            <w:r>
              <w:rPr>
                <w:rFonts w:hint="eastAsia" w:ascii="Times New Roman" w:hAnsi="Times New Roman" w:eastAsia="宋体" w:cs="Times New Roman"/>
                <w:color w:val="auto"/>
                <w:kern w:val="0"/>
                <w:sz w:val="26"/>
                <w:szCs w:val="26"/>
                <w:highlight w:val="none"/>
                <w:lang w:val="en-US" w:eastAsia="zh-CN"/>
              </w:rPr>
              <w:t>（1）</w:t>
            </w:r>
            <w:r>
              <w:rPr>
                <w:rFonts w:hint="default" w:ascii="Times New Roman" w:hAnsi="Times New Roman" w:eastAsia="宋体" w:cs="Times New Roman"/>
                <w:color w:val="auto"/>
                <w:kern w:val="0"/>
                <w:sz w:val="26"/>
                <w:szCs w:val="26"/>
                <w:highlight w:val="none"/>
                <w:lang w:val="en-US" w:eastAsia="zh-CN"/>
              </w:rPr>
              <w:t xml:space="preserve">一般工业固体废物： </w:t>
            </w:r>
          </w:p>
          <w:p w14:paraId="33F51440">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Times New Roman" w:hAnsi="Times New Roman" w:eastAsia="宋体" w:cs="Times New Roman"/>
                <w:color w:val="auto"/>
                <w:kern w:val="0"/>
                <w:sz w:val="26"/>
                <w:szCs w:val="26"/>
                <w:highlight w:val="none"/>
                <w:lang w:val="en-US" w:eastAsia="zh-CN"/>
              </w:rPr>
            </w:pPr>
            <w:r>
              <w:rPr>
                <w:rFonts w:hint="default" w:ascii="Times New Roman" w:hAnsi="Times New Roman" w:eastAsia="宋体" w:cs="Times New Roman"/>
                <w:color w:val="auto"/>
                <w:kern w:val="0"/>
                <w:sz w:val="26"/>
                <w:szCs w:val="26"/>
                <w:highlight w:val="none"/>
                <w:lang w:val="en-US" w:eastAsia="zh-CN"/>
              </w:rPr>
              <w:t>①报废陶瓷过滤板</w:t>
            </w:r>
            <w:r>
              <w:rPr>
                <w:rFonts w:hint="eastAsia" w:ascii="Times New Roman" w:hAnsi="Times New Roman" w:eastAsia="宋体" w:cs="Times New Roman"/>
                <w:color w:val="auto"/>
                <w:kern w:val="0"/>
                <w:sz w:val="26"/>
                <w:szCs w:val="26"/>
                <w:highlight w:val="none"/>
                <w:lang w:val="en-US" w:eastAsia="zh-CN"/>
              </w:rPr>
              <w:t>（900-009-S59）：</w:t>
            </w:r>
            <w:r>
              <w:rPr>
                <w:rFonts w:hint="default" w:ascii="Times New Roman" w:hAnsi="Times New Roman" w:eastAsia="宋体" w:cs="Times New Roman"/>
                <w:color w:val="auto"/>
                <w:kern w:val="0"/>
                <w:sz w:val="26"/>
                <w:szCs w:val="26"/>
                <w:highlight w:val="none"/>
                <w:lang w:val="en-US" w:eastAsia="zh-CN"/>
              </w:rPr>
              <w:t>项目陶瓷过滤线使用一段时间后会产生报废陶瓷过滤板，每年更换一次，产生量约</w:t>
            </w:r>
            <w:r>
              <w:rPr>
                <w:rFonts w:hint="eastAsia" w:ascii="Times New Roman" w:hAnsi="Times New Roman" w:eastAsia="宋体" w:cs="Times New Roman"/>
                <w:color w:val="auto"/>
                <w:kern w:val="0"/>
                <w:sz w:val="26"/>
                <w:szCs w:val="26"/>
                <w:highlight w:val="none"/>
                <w:lang w:val="en-US" w:eastAsia="zh-CN"/>
              </w:rPr>
              <w:t>2</w:t>
            </w:r>
            <w:r>
              <w:rPr>
                <w:rFonts w:hint="default" w:ascii="Times New Roman" w:hAnsi="Times New Roman" w:eastAsia="宋体" w:cs="Times New Roman"/>
                <w:color w:val="auto"/>
                <w:kern w:val="0"/>
                <w:sz w:val="26"/>
                <w:szCs w:val="26"/>
                <w:highlight w:val="none"/>
                <w:lang w:val="en-US" w:eastAsia="zh-CN"/>
              </w:rPr>
              <w:t xml:space="preserve">.0t/a，废陶瓷过滤板含有铝合金成分，收集后出售。 </w:t>
            </w:r>
          </w:p>
          <w:p w14:paraId="5C98E9E2">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Times New Roman" w:hAnsi="Times New Roman" w:eastAsia="宋体" w:cs="Times New Roman"/>
                <w:color w:val="auto"/>
                <w:kern w:val="0"/>
                <w:sz w:val="26"/>
                <w:szCs w:val="26"/>
                <w:highlight w:val="none"/>
                <w:lang w:val="en-US" w:eastAsia="zh-CN"/>
              </w:rPr>
            </w:pPr>
            <w:r>
              <w:rPr>
                <w:rFonts w:hint="default" w:ascii="Times New Roman" w:hAnsi="Times New Roman" w:eastAsia="宋体" w:cs="Times New Roman"/>
                <w:color w:val="auto"/>
                <w:kern w:val="0"/>
                <w:sz w:val="26"/>
                <w:szCs w:val="26"/>
                <w:highlight w:val="none"/>
                <w:lang w:val="en-US" w:eastAsia="zh-CN"/>
              </w:rPr>
              <w:t>②铸造漏料</w:t>
            </w:r>
            <w:r>
              <w:rPr>
                <w:rFonts w:hint="eastAsia" w:ascii="Times New Roman" w:hAnsi="Times New Roman" w:eastAsia="宋体" w:cs="Times New Roman"/>
                <w:color w:val="auto"/>
                <w:kern w:val="0"/>
                <w:sz w:val="26"/>
                <w:szCs w:val="26"/>
                <w:highlight w:val="none"/>
                <w:lang w:val="en-US" w:eastAsia="zh-CN"/>
              </w:rPr>
              <w:t>（324-001-S01）：根据物料平衡，</w:t>
            </w:r>
            <w:r>
              <w:rPr>
                <w:rFonts w:hint="default" w:ascii="Times New Roman" w:hAnsi="Times New Roman" w:eastAsia="宋体" w:cs="Times New Roman"/>
                <w:color w:val="auto"/>
                <w:kern w:val="0"/>
                <w:sz w:val="26"/>
                <w:szCs w:val="26"/>
                <w:highlight w:val="none"/>
                <w:lang w:val="en-US" w:eastAsia="zh-CN"/>
              </w:rPr>
              <w:t>铸造</w:t>
            </w:r>
            <w:r>
              <w:rPr>
                <w:rFonts w:hint="eastAsia" w:ascii="Times New Roman" w:hAnsi="Times New Roman" w:eastAsia="宋体" w:cs="Times New Roman"/>
                <w:color w:val="auto"/>
                <w:kern w:val="0"/>
                <w:sz w:val="26"/>
                <w:szCs w:val="26"/>
                <w:highlight w:val="none"/>
                <w:lang w:val="en-US" w:eastAsia="zh-CN"/>
              </w:rPr>
              <w:t>漏料产生量约387.69t/a，收集后进入熔铸车间</w:t>
            </w:r>
            <w:r>
              <w:rPr>
                <w:rFonts w:hint="default" w:ascii="Times New Roman" w:hAnsi="Times New Roman" w:eastAsia="宋体" w:cs="Times New Roman"/>
                <w:color w:val="auto"/>
                <w:kern w:val="0"/>
                <w:sz w:val="26"/>
                <w:szCs w:val="26"/>
                <w:highlight w:val="none"/>
                <w:lang w:val="en-US" w:eastAsia="zh-CN"/>
              </w:rPr>
              <w:t>重新熔炼</w:t>
            </w:r>
            <w:r>
              <w:rPr>
                <w:rFonts w:hint="eastAsia" w:ascii="Times New Roman" w:hAnsi="Times New Roman" w:eastAsia="宋体" w:cs="Times New Roman"/>
                <w:color w:val="auto"/>
                <w:kern w:val="0"/>
                <w:sz w:val="26"/>
                <w:szCs w:val="26"/>
                <w:highlight w:val="none"/>
                <w:lang w:val="en-US" w:eastAsia="zh-CN"/>
              </w:rPr>
              <w:t>。</w:t>
            </w:r>
          </w:p>
          <w:p w14:paraId="0CD8C4FF">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Times New Roman" w:hAnsi="Times New Roman" w:eastAsia="宋体" w:cs="Times New Roman"/>
                <w:color w:val="auto"/>
                <w:kern w:val="0"/>
                <w:sz w:val="26"/>
                <w:szCs w:val="26"/>
                <w:highlight w:val="none"/>
                <w:lang w:val="en-US" w:eastAsia="zh-CN"/>
              </w:rPr>
            </w:pPr>
            <w:r>
              <w:rPr>
                <w:rFonts w:hint="default" w:ascii="Times New Roman" w:hAnsi="Times New Roman" w:eastAsia="宋体" w:cs="Times New Roman"/>
                <w:color w:val="auto"/>
                <w:kern w:val="0"/>
                <w:sz w:val="26"/>
                <w:szCs w:val="26"/>
                <w:highlight w:val="none"/>
                <w:lang w:val="en-US" w:eastAsia="zh-CN"/>
              </w:rPr>
              <w:t>③不含油废铝料</w:t>
            </w:r>
            <w:r>
              <w:rPr>
                <w:rFonts w:hint="eastAsia" w:ascii="Times New Roman" w:hAnsi="Times New Roman" w:eastAsia="宋体" w:cs="Times New Roman"/>
                <w:color w:val="auto"/>
                <w:kern w:val="0"/>
                <w:sz w:val="26"/>
                <w:szCs w:val="26"/>
                <w:highlight w:val="none"/>
                <w:lang w:val="en-US" w:eastAsia="zh-CN"/>
              </w:rPr>
              <w:t>（324-001-S01）：根据物料平衡，机加工序产生的不含油废铝料产生量约22913.42t/a，全部回炉重熔。</w:t>
            </w:r>
          </w:p>
          <w:p w14:paraId="7894225F">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Times New Roman" w:hAnsi="Times New Roman" w:eastAsia="宋体" w:cs="Times New Roman"/>
                <w:color w:val="auto"/>
                <w:kern w:val="0"/>
                <w:sz w:val="26"/>
                <w:szCs w:val="26"/>
                <w:highlight w:val="none"/>
                <w:lang w:val="en-US" w:eastAsia="zh-CN"/>
              </w:rPr>
            </w:pPr>
            <w:r>
              <w:rPr>
                <w:rFonts w:hint="eastAsia" w:ascii="Times New Roman" w:hAnsi="Times New Roman" w:eastAsia="宋体" w:cs="Times New Roman"/>
                <w:color w:val="auto"/>
                <w:kern w:val="0"/>
                <w:sz w:val="26"/>
                <w:szCs w:val="26"/>
                <w:highlight w:val="none"/>
                <w:lang w:val="en-US" w:eastAsia="zh-CN"/>
              </w:rPr>
              <w:fldChar w:fldCharType="begin"/>
            </w:r>
            <w:r>
              <w:rPr>
                <w:rFonts w:hint="eastAsia" w:ascii="Times New Roman" w:hAnsi="Times New Roman" w:eastAsia="宋体" w:cs="Times New Roman"/>
                <w:color w:val="auto"/>
                <w:kern w:val="0"/>
                <w:sz w:val="26"/>
                <w:szCs w:val="26"/>
                <w:highlight w:val="none"/>
                <w:lang w:val="en-US" w:eastAsia="zh-CN"/>
              </w:rPr>
              <w:instrText xml:space="preserve"> = 4 \* GB3 \* MERGEFORMAT </w:instrText>
            </w:r>
            <w:r>
              <w:rPr>
                <w:rFonts w:hint="eastAsia" w:ascii="Times New Roman" w:hAnsi="Times New Roman" w:eastAsia="宋体" w:cs="Times New Roman"/>
                <w:color w:val="auto"/>
                <w:kern w:val="0"/>
                <w:sz w:val="26"/>
                <w:szCs w:val="26"/>
                <w:highlight w:val="none"/>
                <w:lang w:val="en-US" w:eastAsia="zh-CN"/>
              </w:rPr>
              <w:fldChar w:fldCharType="separate"/>
            </w:r>
            <w:r>
              <w:rPr>
                <w:rFonts w:hint="default" w:ascii="Times New Roman" w:hAnsi="Times New Roman" w:eastAsia="宋体" w:cs="Times New Roman"/>
                <w:color w:val="auto"/>
                <w:kern w:val="0"/>
                <w:sz w:val="26"/>
                <w:szCs w:val="26"/>
                <w:highlight w:val="none"/>
                <w:lang w:val="en-US" w:eastAsia="zh-CN"/>
              </w:rPr>
              <w:t>④</w:t>
            </w:r>
            <w:r>
              <w:rPr>
                <w:rFonts w:hint="eastAsia" w:ascii="Times New Roman" w:hAnsi="Times New Roman" w:eastAsia="宋体" w:cs="Times New Roman"/>
                <w:color w:val="auto"/>
                <w:kern w:val="0"/>
                <w:sz w:val="26"/>
                <w:szCs w:val="26"/>
                <w:highlight w:val="none"/>
                <w:lang w:val="en-US" w:eastAsia="zh-CN"/>
              </w:rPr>
              <w:fldChar w:fldCharType="end"/>
            </w:r>
            <w:r>
              <w:rPr>
                <w:rFonts w:hint="default" w:ascii="Times New Roman" w:hAnsi="Times New Roman" w:eastAsia="宋体" w:cs="Times New Roman"/>
                <w:color w:val="auto"/>
                <w:kern w:val="0"/>
                <w:sz w:val="26"/>
                <w:szCs w:val="26"/>
                <w:highlight w:val="none"/>
                <w:lang w:val="en-US" w:eastAsia="zh-CN"/>
              </w:rPr>
              <w:t>废耐火材料</w:t>
            </w:r>
            <w:r>
              <w:rPr>
                <w:rFonts w:hint="eastAsia" w:ascii="Times New Roman" w:hAnsi="Times New Roman" w:eastAsia="宋体" w:cs="Times New Roman"/>
                <w:color w:val="auto"/>
                <w:kern w:val="0"/>
                <w:sz w:val="26"/>
                <w:szCs w:val="26"/>
                <w:highlight w:val="none"/>
                <w:lang w:val="en-US" w:eastAsia="zh-CN"/>
              </w:rPr>
              <w:t>（900-003-S59）</w:t>
            </w:r>
            <w:r>
              <w:rPr>
                <w:rFonts w:hint="default" w:ascii="Times New Roman" w:hAnsi="Times New Roman" w:eastAsia="宋体" w:cs="Times New Roman"/>
                <w:color w:val="auto"/>
                <w:kern w:val="0"/>
                <w:sz w:val="26"/>
                <w:szCs w:val="26"/>
                <w:highlight w:val="none"/>
                <w:lang w:val="en-US" w:eastAsia="zh-CN"/>
              </w:rPr>
              <w:t>：炉窑更换的废耐火材料，产生量约</w:t>
            </w:r>
            <w:r>
              <w:rPr>
                <w:rFonts w:hint="eastAsia" w:ascii="Times New Roman" w:hAnsi="Times New Roman" w:eastAsia="宋体" w:cs="Times New Roman"/>
                <w:color w:val="auto"/>
                <w:kern w:val="0"/>
                <w:sz w:val="26"/>
                <w:szCs w:val="26"/>
                <w:highlight w:val="none"/>
                <w:lang w:val="en-US" w:eastAsia="zh-CN"/>
              </w:rPr>
              <w:t>2</w:t>
            </w:r>
            <w:r>
              <w:rPr>
                <w:rFonts w:hint="default" w:ascii="Times New Roman" w:hAnsi="Times New Roman" w:eastAsia="宋体" w:cs="Times New Roman"/>
                <w:color w:val="auto"/>
                <w:kern w:val="0"/>
                <w:sz w:val="26"/>
                <w:szCs w:val="26"/>
                <w:highlight w:val="none"/>
                <w:lang w:val="en-US" w:eastAsia="zh-CN"/>
              </w:rPr>
              <w:t xml:space="preserve">.0t/a，收集后出售给相关回收企业。 </w:t>
            </w:r>
          </w:p>
          <w:p w14:paraId="4EF2D388">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Times New Roman" w:hAnsi="Times New Roman" w:eastAsia="宋体" w:cs="Times New Roman"/>
                <w:color w:val="auto"/>
                <w:kern w:val="0"/>
                <w:sz w:val="26"/>
                <w:szCs w:val="26"/>
                <w:highlight w:val="none"/>
                <w:lang w:val="en-US" w:eastAsia="zh-CN"/>
              </w:rPr>
            </w:pPr>
            <w:r>
              <w:rPr>
                <w:rFonts w:hint="eastAsia" w:ascii="Times New Roman" w:hAnsi="Times New Roman" w:eastAsia="宋体" w:cs="Times New Roman"/>
                <w:color w:val="auto"/>
                <w:kern w:val="0"/>
                <w:sz w:val="26"/>
                <w:szCs w:val="26"/>
                <w:highlight w:val="none"/>
                <w:lang w:val="en-US" w:eastAsia="zh-CN"/>
              </w:rPr>
              <w:t>本项目</w:t>
            </w:r>
            <w:r>
              <w:rPr>
                <w:rFonts w:hint="default" w:ascii="Times New Roman" w:hAnsi="Times New Roman" w:eastAsia="宋体" w:cs="Times New Roman"/>
                <w:color w:val="auto"/>
                <w:kern w:val="0"/>
                <w:sz w:val="26"/>
                <w:szCs w:val="26"/>
                <w:highlight w:val="none"/>
                <w:lang w:val="en-US" w:eastAsia="zh-CN"/>
              </w:rPr>
              <w:t>依托</w:t>
            </w:r>
            <w:r>
              <w:rPr>
                <w:rFonts w:hint="eastAsia" w:ascii="Times New Roman" w:hAnsi="Times New Roman" w:eastAsia="宋体" w:cs="Times New Roman"/>
                <w:color w:val="auto"/>
                <w:kern w:val="0"/>
                <w:sz w:val="26"/>
                <w:szCs w:val="26"/>
                <w:highlight w:val="none"/>
                <w:lang w:val="en-US" w:eastAsia="zh-CN"/>
              </w:rPr>
              <w:t>现有一般</w:t>
            </w:r>
            <w:r>
              <w:rPr>
                <w:rFonts w:hint="default" w:ascii="Times New Roman" w:hAnsi="Times New Roman" w:eastAsia="宋体" w:cs="Times New Roman"/>
                <w:color w:val="auto"/>
                <w:kern w:val="0"/>
                <w:sz w:val="26"/>
                <w:szCs w:val="26"/>
                <w:highlight w:val="none"/>
                <w:lang w:val="en-US" w:eastAsia="zh-CN"/>
              </w:rPr>
              <w:t>固体废物暂存间，</w:t>
            </w:r>
            <w:r>
              <w:rPr>
                <w:rFonts w:hint="eastAsia" w:ascii="Times New Roman" w:hAnsi="Times New Roman" w:eastAsia="宋体" w:cs="Times New Roman"/>
                <w:color w:val="auto"/>
                <w:kern w:val="0"/>
                <w:sz w:val="26"/>
                <w:szCs w:val="26"/>
                <w:highlight w:val="none"/>
                <w:lang w:val="en-US" w:eastAsia="zh-CN"/>
              </w:rPr>
              <w:t>占地面积50m</w:t>
            </w:r>
            <w:r>
              <w:rPr>
                <w:rFonts w:hint="eastAsia" w:ascii="Times New Roman" w:hAnsi="Times New Roman" w:eastAsia="宋体" w:cs="Times New Roman"/>
                <w:color w:val="auto"/>
                <w:kern w:val="0"/>
                <w:sz w:val="26"/>
                <w:szCs w:val="26"/>
                <w:highlight w:val="none"/>
                <w:vertAlign w:val="superscript"/>
                <w:lang w:val="en-US" w:eastAsia="zh-CN"/>
              </w:rPr>
              <w:t>2</w:t>
            </w:r>
            <w:r>
              <w:rPr>
                <w:rFonts w:hint="eastAsia" w:ascii="Times New Roman" w:hAnsi="Times New Roman" w:eastAsia="宋体" w:cs="Times New Roman"/>
                <w:color w:val="auto"/>
                <w:kern w:val="0"/>
                <w:sz w:val="26"/>
                <w:szCs w:val="26"/>
                <w:highlight w:val="none"/>
                <w:lang w:val="en-US" w:eastAsia="zh-CN"/>
              </w:rPr>
              <w:t>。</w:t>
            </w:r>
            <w:r>
              <w:rPr>
                <w:rFonts w:hint="default" w:ascii="Times New Roman" w:hAnsi="Times New Roman" w:eastAsia="宋体" w:cs="Times New Roman"/>
                <w:color w:val="auto"/>
                <w:kern w:val="0"/>
                <w:sz w:val="26"/>
                <w:szCs w:val="26"/>
                <w:highlight w:val="none"/>
                <w:lang w:val="en-US" w:eastAsia="zh-CN"/>
              </w:rPr>
              <w:t xml:space="preserve">一般工业固体废物分类收集后出售给资源回收企业。 </w:t>
            </w:r>
          </w:p>
          <w:p w14:paraId="47219078">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Times New Roman" w:hAnsi="Times New Roman" w:eastAsia="宋体" w:cs="Times New Roman"/>
                <w:color w:val="auto"/>
                <w:kern w:val="0"/>
                <w:sz w:val="26"/>
                <w:szCs w:val="26"/>
                <w:highlight w:val="none"/>
                <w:lang w:val="en-US" w:eastAsia="zh-CN"/>
              </w:rPr>
            </w:pPr>
            <w:r>
              <w:rPr>
                <w:rFonts w:hint="eastAsia" w:ascii="Times New Roman" w:hAnsi="Times New Roman" w:eastAsia="宋体" w:cs="Times New Roman"/>
                <w:color w:val="auto"/>
                <w:kern w:val="0"/>
                <w:sz w:val="26"/>
                <w:szCs w:val="26"/>
                <w:highlight w:val="none"/>
                <w:lang w:val="en-US" w:eastAsia="zh-CN"/>
              </w:rPr>
              <w:t>（2）</w:t>
            </w:r>
            <w:r>
              <w:rPr>
                <w:rFonts w:hint="default" w:ascii="Times New Roman" w:hAnsi="Times New Roman" w:eastAsia="宋体" w:cs="Times New Roman"/>
                <w:color w:val="auto"/>
                <w:kern w:val="0"/>
                <w:sz w:val="26"/>
                <w:szCs w:val="26"/>
                <w:highlight w:val="none"/>
                <w:lang w:val="en-US" w:eastAsia="zh-CN"/>
              </w:rPr>
              <w:t xml:space="preserve">危险废物： </w:t>
            </w:r>
          </w:p>
          <w:p w14:paraId="41DBC1BD">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Times New Roman" w:hAnsi="Times New Roman" w:eastAsia="宋体" w:cs="Times New Roman"/>
                <w:color w:val="auto"/>
                <w:kern w:val="0"/>
                <w:sz w:val="26"/>
                <w:szCs w:val="26"/>
                <w:highlight w:val="none"/>
                <w:lang w:val="en-US" w:eastAsia="zh-CN"/>
              </w:rPr>
            </w:pPr>
            <w:r>
              <w:rPr>
                <w:rFonts w:hint="default" w:ascii="Times New Roman" w:hAnsi="Times New Roman" w:eastAsia="宋体" w:cs="Times New Roman"/>
                <w:color w:val="auto"/>
                <w:kern w:val="0"/>
                <w:sz w:val="26"/>
                <w:szCs w:val="26"/>
                <w:highlight w:val="none"/>
                <w:lang w:val="en-US" w:eastAsia="zh-CN"/>
              </w:rPr>
              <w:t>①除尘灰（HW48，321-034-48）</w:t>
            </w:r>
            <w:r>
              <w:rPr>
                <w:rFonts w:hint="eastAsia" w:ascii="Times New Roman" w:hAnsi="Times New Roman" w:eastAsia="宋体" w:cs="Times New Roman"/>
                <w:color w:val="auto"/>
                <w:kern w:val="0"/>
                <w:sz w:val="26"/>
                <w:szCs w:val="26"/>
                <w:highlight w:val="none"/>
                <w:lang w:val="en-US" w:eastAsia="zh-CN"/>
              </w:rPr>
              <w:t>：</w:t>
            </w:r>
            <w:r>
              <w:rPr>
                <w:rFonts w:hint="default" w:ascii="Times New Roman" w:hAnsi="Times New Roman" w:eastAsia="宋体" w:cs="Times New Roman"/>
                <w:color w:val="auto"/>
                <w:kern w:val="0"/>
                <w:sz w:val="26"/>
                <w:szCs w:val="26"/>
                <w:highlight w:val="none"/>
                <w:lang w:val="en-US" w:eastAsia="zh-CN"/>
              </w:rPr>
              <w:t>主要来自</w:t>
            </w:r>
            <w:r>
              <w:rPr>
                <w:rFonts w:hint="eastAsia" w:ascii="Times New Roman" w:hAnsi="Times New Roman" w:eastAsia="宋体" w:cs="Times New Roman"/>
                <w:color w:val="auto"/>
                <w:kern w:val="0"/>
                <w:sz w:val="26"/>
                <w:szCs w:val="26"/>
                <w:highlight w:val="none"/>
                <w:lang w:val="en-US" w:eastAsia="zh-CN"/>
              </w:rPr>
              <w:t>项目</w:t>
            </w:r>
            <w:r>
              <w:rPr>
                <w:rFonts w:hint="default" w:ascii="Times New Roman" w:hAnsi="Times New Roman" w:eastAsia="宋体" w:cs="Times New Roman"/>
                <w:color w:val="auto"/>
                <w:kern w:val="0"/>
                <w:sz w:val="26"/>
                <w:szCs w:val="26"/>
                <w:highlight w:val="none"/>
                <w:lang w:val="en-US" w:eastAsia="zh-CN"/>
              </w:rPr>
              <w:t>除尘系统，</w:t>
            </w:r>
            <w:r>
              <w:rPr>
                <w:rFonts w:hint="eastAsia" w:ascii="Times New Roman" w:hAnsi="Times New Roman" w:eastAsia="宋体" w:cs="Times New Roman"/>
                <w:color w:val="auto"/>
                <w:kern w:val="0"/>
                <w:sz w:val="26"/>
                <w:szCs w:val="26"/>
                <w:highlight w:val="none"/>
                <w:lang w:val="en-US" w:eastAsia="zh-CN"/>
              </w:rPr>
              <w:t>根据物料平衡，</w:t>
            </w:r>
            <w:r>
              <w:rPr>
                <w:rFonts w:hint="default" w:ascii="Times New Roman" w:hAnsi="Times New Roman" w:eastAsia="宋体" w:cs="Times New Roman"/>
                <w:color w:val="auto"/>
                <w:kern w:val="0"/>
                <w:sz w:val="26"/>
                <w:szCs w:val="26"/>
                <w:highlight w:val="none"/>
                <w:lang w:val="en-US" w:eastAsia="zh-CN"/>
              </w:rPr>
              <w:t>产生量约</w:t>
            </w:r>
            <w:r>
              <w:rPr>
                <w:rFonts w:hint="eastAsia" w:ascii="Times New Roman" w:hAnsi="Times New Roman" w:eastAsia="宋体" w:cs="Times New Roman"/>
                <w:color w:val="auto"/>
                <w:kern w:val="0"/>
                <w:sz w:val="26"/>
                <w:szCs w:val="26"/>
                <w:highlight w:val="none"/>
                <w:lang w:val="en-US" w:eastAsia="zh-CN"/>
              </w:rPr>
              <w:t>450.184</w:t>
            </w:r>
            <w:r>
              <w:rPr>
                <w:rFonts w:hint="default" w:ascii="Times New Roman" w:hAnsi="Times New Roman" w:eastAsia="宋体" w:cs="Times New Roman"/>
                <w:color w:val="auto"/>
                <w:kern w:val="0"/>
                <w:sz w:val="26"/>
                <w:szCs w:val="26"/>
                <w:highlight w:val="none"/>
                <w:lang w:val="en-US" w:eastAsia="zh-CN"/>
              </w:rPr>
              <w:t>t/a，其主要成分为 Al</w:t>
            </w:r>
            <w:r>
              <w:rPr>
                <w:rFonts w:hint="default" w:ascii="Times New Roman" w:hAnsi="Times New Roman" w:eastAsia="宋体" w:cs="Times New Roman"/>
                <w:color w:val="auto"/>
                <w:kern w:val="0"/>
                <w:sz w:val="26"/>
                <w:szCs w:val="26"/>
                <w:highlight w:val="none"/>
                <w:vertAlign w:val="subscript"/>
                <w:lang w:val="en-US" w:eastAsia="zh-CN"/>
              </w:rPr>
              <w:t>2</w:t>
            </w:r>
            <w:r>
              <w:rPr>
                <w:rFonts w:hint="default" w:ascii="Times New Roman" w:hAnsi="Times New Roman" w:eastAsia="宋体" w:cs="Times New Roman"/>
                <w:color w:val="auto"/>
                <w:kern w:val="0"/>
                <w:sz w:val="26"/>
                <w:szCs w:val="26"/>
                <w:highlight w:val="none"/>
                <w:lang w:val="en-US" w:eastAsia="zh-CN"/>
              </w:rPr>
              <w:t>O</w:t>
            </w:r>
            <w:r>
              <w:rPr>
                <w:rFonts w:hint="default" w:ascii="Times New Roman" w:hAnsi="Times New Roman" w:eastAsia="宋体" w:cs="Times New Roman"/>
                <w:color w:val="auto"/>
                <w:kern w:val="0"/>
                <w:sz w:val="26"/>
                <w:szCs w:val="26"/>
                <w:highlight w:val="none"/>
                <w:vertAlign w:val="subscript"/>
                <w:lang w:val="en-US" w:eastAsia="zh-CN"/>
              </w:rPr>
              <w:t>3</w:t>
            </w:r>
            <w:r>
              <w:rPr>
                <w:rFonts w:hint="default" w:ascii="Times New Roman" w:hAnsi="Times New Roman" w:eastAsia="宋体" w:cs="Times New Roman"/>
                <w:color w:val="auto"/>
                <w:kern w:val="0"/>
                <w:sz w:val="26"/>
                <w:szCs w:val="26"/>
                <w:highlight w:val="none"/>
                <w:lang w:val="en-US" w:eastAsia="zh-CN"/>
              </w:rPr>
              <w:t xml:space="preserve">、AlN及其他杂质等，收集后作为危险废物处置； </w:t>
            </w:r>
          </w:p>
          <w:p w14:paraId="7B23A310">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Times New Roman" w:hAnsi="Times New Roman" w:eastAsia="宋体" w:cs="Times New Roman"/>
                <w:color w:val="auto"/>
                <w:kern w:val="0"/>
                <w:sz w:val="26"/>
                <w:szCs w:val="26"/>
                <w:highlight w:val="none"/>
                <w:lang w:val="en-US" w:eastAsia="zh-CN"/>
              </w:rPr>
            </w:pPr>
            <w:r>
              <w:rPr>
                <w:rFonts w:hint="default" w:ascii="Times New Roman" w:hAnsi="Times New Roman" w:eastAsia="宋体" w:cs="Times New Roman"/>
                <w:color w:val="auto"/>
                <w:kern w:val="0"/>
                <w:sz w:val="26"/>
                <w:szCs w:val="26"/>
                <w:highlight w:val="none"/>
                <w:lang w:val="en-US" w:eastAsia="zh-CN"/>
              </w:rPr>
              <w:t>②</w:t>
            </w:r>
            <w:r>
              <w:rPr>
                <w:rFonts w:hint="eastAsia" w:ascii="Times New Roman" w:hAnsi="Times New Roman" w:eastAsia="宋体" w:cs="Times New Roman"/>
                <w:color w:val="auto"/>
                <w:kern w:val="0"/>
                <w:sz w:val="26"/>
                <w:szCs w:val="26"/>
                <w:highlight w:val="none"/>
                <w:lang w:val="en-US" w:eastAsia="zh-CN"/>
              </w:rPr>
              <w:t>二次铝灰</w:t>
            </w:r>
            <w:r>
              <w:rPr>
                <w:rFonts w:hint="default" w:ascii="Times New Roman" w:hAnsi="Times New Roman" w:eastAsia="宋体" w:cs="Times New Roman"/>
                <w:color w:val="auto"/>
                <w:kern w:val="0"/>
                <w:sz w:val="26"/>
                <w:szCs w:val="26"/>
                <w:highlight w:val="none"/>
                <w:lang w:val="en-US" w:eastAsia="zh-CN"/>
              </w:rPr>
              <w:t>（HW48，321-026-48）</w:t>
            </w:r>
            <w:r>
              <w:rPr>
                <w:rFonts w:hint="eastAsia" w:ascii="Times New Roman" w:hAnsi="Times New Roman" w:eastAsia="宋体" w:cs="Times New Roman"/>
                <w:color w:val="auto"/>
                <w:kern w:val="0"/>
                <w:sz w:val="26"/>
                <w:szCs w:val="26"/>
                <w:highlight w:val="none"/>
                <w:lang w:val="en-US" w:eastAsia="zh-CN"/>
              </w:rPr>
              <w:t>：</w:t>
            </w:r>
            <w:r>
              <w:rPr>
                <w:rFonts w:hint="default" w:ascii="Times New Roman" w:hAnsi="Times New Roman" w:eastAsia="宋体" w:cs="Times New Roman"/>
                <w:color w:val="auto"/>
                <w:kern w:val="0"/>
                <w:sz w:val="26"/>
                <w:szCs w:val="26"/>
                <w:highlight w:val="none"/>
                <w:lang w:val="en-US" w:eastAsia="zh-CN"/>
              </w:rPr>
              <w:t>主要为铝合金熔炼过程中产生的铝灰渣。熔炼过程中铝灰渣</w:t>
            </w:r>
            <w:r>
              <w:rPr>
                <w:rFonts w:hint="eastAsia" w:ascii="Times New Roman" w:hAnsi="Times New Roman" w:eastAsia="宋体" w:cs="Times New Roman"/>
                <w:color w:val="auto"/>
                <w:kern w:val="0"/>
                <w:sz w:val="26"/>
                <w:szCs w:val="26"/>
                <w:highlight w:val="none"/>
                <w:lang w:val="en-US" w:eastAsia="zh-CN"/>
              </w:rPr>
              <w:t>（即一次铝灰）</w:t>
            </w:r>
            <w:r>
              <w:rPr>
                <w:rFonts w:hint="default" w:ascii="Times New Roman" w:hAnsi="Times New Roman" w:eastAsia="宋体" w:cs="Times New Roman"/>
                <w:color w:val="auto"/>
                <w:kern w:val="0"/>
                <w:sz w:val="26"/>
                <w:szCs w:val="26"/>
                <w:highlight w:val="none"/>
                <w:lang w:val="en-US" w:eastAsia="zh-CN"/>
              </w:rPr>
              <w:t>产生量约</w:t>
            </w:r>
            <w:r>
              <w:rPr>
                <w:rFonts w:hint="eastAsia" w:ascii="Times New Roman" w:hAnsi="Times New Roman" w:eastAsia="宋体" w:cs="Times New Roman"/>
                <w:color w:val="auto"/>
                <w:kern w:val="0"/>
                <w:sz w:val="26"/>
                <w:szCs w:val="26"/>
                <w:highlight w:val="none"/>
                <w:lang w:val="en-US" w:eastAsia="zh-CN"/>
              </w:rPr>
              <w:t>4038.53</w:t>
            </w:r>
            <w:r>
              <w:rPr>
                <w:rFonts w:hint="default" w:ascii="Times New Roman" w:hAnsi="Times New Roman" w:eastAsia="宋体" w:cs="Times New Roman"/>
                <w:color w:val="auto"/>
                <w:kern w:val="0"/>
                <w:sz w:val="26"/>
                <w:szCs w:val="26"/>
                <w:highlight w:val="none"/>
                <w:lang w:val="en-US" w:eastAsia="zh-CN"/>
              </w:rPr>
              <w:t>t/a，</w:t>
            </w:r>
            <w:r>
              <w:rPr>
                <w:rFonts w:hint="eastAsia" w:ascii="Times New Roman" w:hAnsi="Times New Roman" w:eastAsia="宋体" w:cs="Times New Roman"/>
                <w:color w:val="auto"/>
                <w:kern w:val="0"/>
                <w:sz w:val="26"/>
                <w:szCs w:val="26"/>
                <w:highlight w:val="none"/>
                <w:lang w:val="en-US" w:eastAsia="zh-CN"/>
              </w:rPr>
              <w:t>经铝回收装置处理后，产生的二次铝灰量约2775.384t/a，二次铝灰</w:t>
            </w:r>
            <w:r>
              <w:rPr>
                <w:rFonts w:hint="default" w:ascii="Times New Roman" w:hAnsi="Times New Roman" w:eastAsia="宋体" w:cs="Times New Roman"/>
                <w:color w:val="auto"/>
                <w:kern w:val="0"/>
                <w:sz w:val="26"/>
                <w:szCs w:val="26"/>
                <w:highlight w:val="none"/>
                <w:lang w:val="en-US" w:eastAsia="zh-CN"/>
              </w:rPr>
              <w:t>袋装收集后作为危险废物委托有资质单位进行处置</w:t>
            </w:r>
            <w:r>
              <w:rPr>
                <w:rFonts w:hint="eastAsia" w:ascii="Times New Roman" w:hAnsi="Times New Roman" w:eastAsia="宋体" w:cs="Times New Roman"/>
                <w:color w:val="auto"/>
                <w:kern w:val="0"/>
                <w:sz w:val="26"/>
                <w:szCs w:val="26"/>
                <w:highlight w:val="none"/>
                <w:lang w:val="en-US" w:eastAsia="zh-CN"/>
              </w:rPr>
              <w:t>。</w:t>
            </w:r>
            <w:r>
              <w:rPr>
                <w:rFonts w:hint="default" w:ascii="Times New Roman" w:hAnsi="Times New Roman" w:eastAsia="宋体" w:cs="Times New Roman"/>
                <w:color w:val="auto"/>
                <w:kern w:val="0"/>
                <w:sz w:val="26"/>
                <w:szCs w:val="26"/>
                <w:highlight w:val="none"/>
                <w:lang w:val="en-US" w:eastAsia="zh-CN"/>
              </w:rPr>
              <w:t xml:space="preserve"> </w:t>
            </w:r>
          </w:p>
          <w:p w14:paraId="53EA09C9">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Times New Roman" w:hAnsi="Times New Roman" w:eastAsia="宋体" w:cs="Times New Roman"/>
                <w:color w:val="auto"/>
                <w:kern w:val="0"/>
                <w:sz w:val="26"/>
                <w:szCs w:val="26"/>
                <w:highlight w:val="none"/>
                <w:lang w:val="en-US" w:eastAsia="zh-CN"/>
              </w:rPr>
            </w:pPr>
            <w:r>
              <w:rPr>
                <w:rFonts w:hint="default" w:ascii="Times New Roman" w:hAnsi="Times New Roman" w:eastAsia="宋体" w:cs="Times New Roman"/>
                <w:color w:val="auto"/>
                <w:kern w:val="0"/>
                <w:sz w:val="26"/>
                <w:szCs w:val="26"/>
                <w:highlight w:val="none"/>
                <w:lang w:val="en-US" w:eastAsia="zh-CN"/>
              </w:rPr>
              <w:t>③</w:t>
            </w:r>
            <w:r>
              <w:rPr>
                <w:rFonts w:hint="eastAsia" w:ascii="Times New Roman" w:hAnsi="Times New Roman" w:eastAsia="宋体" w:cs="Times New Roman"/>
                <w:color w:val="auto"/>
                <w:kern w:val="0"/>
                <w:sz w:val="26"/>
                <w:szCs w:val="26"/>
                <w:highlight w:val="none"/>
                <w:lang w:val="en-US" w:eastAsia="zh-CN"/>
              </w:rPr>
              <w:t>含油废</w:t>
            </w:r>
            <w:r>
              <w:rPr>
                <w:rFonts w:hint="default" w:ascii="Times New Roman" w:hAnsi="Times New Roman" w:eastAsia="宋体" w:cs="Times New Roman"/>
                <w:color w:val="auto"/>
                <w:kern w:val="0"/>
                <w:sz w:val="26"/>
                <w:szCs w:val="26"/>
                <w:highlight w:val="none"/>
                <w:lang w:val="en-US" w:eastAsia="zh-CN"/>
              </w:rPr>
              <w:t>铝</w:t>
            </w:r>
            <w:r>
              <w:rPr>
                <w:rFonts w:hint="eastAsia" w:ascii="Times New Roman" w:hAnsi="Times New Roman" w:eastAsia="宋体" w:cs="Times New Roman"/>
                <w:color w:val="auto"/>
                <w:kern w:val="0"/>
                <w:sz w:val="26"/>
                <w:szCs w:val="26"/>
                <w:highlight w:val="none"/>
                <w:lang w:val="en-US" w:eastAsia="zh-CN"/>
              </w:rPr>
              <w:t>料</w:t>
            </w:r>
            <w:r>
              <w:rPr>
                <w:rFonts w:hint="default" w:ascii="Times New Roman" w:hAnsi="Times New Roman" w:eastAsia="宋体" w:cs="Times New Roman"/>
                <w:color w:val="auto"/>
                <w:kern w:val="0"/>
                <w:sz w:val="26"/>
                <w:szCs w:val="26"/>
                <w:highlight w:val="none"/>
                <w:lang w:val="en-US" w:eastAsia="zh-CN"/>
              </w:rPr>
              <w:t>（HW09，900-006-09）：</w:t>
            </w:r>
            <w:r>
              <w:rPr>
                <w:rFonts w:hint="eastAsia" w:ascii="Times New Roman" w:hAnsi="Times New Roman" w:eastAsia="宋体" w:cs="Times New Roman"/>
                <w:color w:val="auto"/>
                <w:kern w:val="0"/>
                <w:sz w:val="26"/>
                <w:szCs w:val="26"/>
                <w:highlight w:val="none"/>
                <w:lang w:val="en-US" w:eastAsia="zh-CN"/>
              </w:rPr>
              <w:t>锯切工序使用切削液，产生</w:t>
            </w:r>
            <w:r>
              <w:rPr>
                <w:rFonts w:hint="default" w:ascii="Times New Roman" w:hAnsi="Times New Roman" w:eastAsia="宋体" w:cs="Times New Roman"/>
                <w:color w:val="auto"/>
                <w:kern w:val="0"/>
                <w:sz w:val="26"/>
                <w:szCs w:val="26"/>
                <w:highlight w:val="none"/>
                <w:lang w:val="en-US" w:eastAsia="zh-CN"/>
              </w:rPr>
              <w:t>含切削液的</w:t>
            </w:r>
            <w:r>
              <w:rPr>
                <w:rFonts w:hint="eastAsia" w:ascii="Times New Roman" w:hAnsi="Times New Roman" w:eastAsia="宋体" w:cs="Times New Roman"/>
                <w:color w:val="auto"/>
                <w:kern w:val="0"/>
                <w:sz w:val="26"/>
                <w:szCs w:val="26"/>
                <w:highlight w:val="none"/>
                <w:lang w:val="en-US" w:eastAsia="zh-CN"/>
              </w:rPr>
              <w:t>铝料</w:t>
            </w:r>
            <w:r>
              <w:rPr>
                <w:rFonts w:hint="default" w:ascii="Times New Roman" w:hAnsi="Times New Roman" w:eastAsia="宋体" w:cs="Times New Roman"/>
                <w:color w:val="auto"/>
                <w:kern w:val="0"/>
                <w:sz w:val="26"/>
                <w:szCs w:val="26"/>
                <w:highlight w:val="none"/>
                <w:lang w:val="en-US" w:eastAsia="zh-CN"/>
              </w:rPr>
              <w:t>采用专门的滤干容器，滤干后的</w:t>
            </w:r>
            <w:r>
              <w:rPr>
                <w:rFonts w:hint="eastAsia" w:ascii="Times New Roman" w:hAnsi="Times New Roman" w:eastAsia="宋体" w:cs="Times New Roman"/>
                <w:color w:val="auto"/>
                <w:kern w:val="0"/>
                <w:sz w:val="26"/>
                <w:szCs w:val="26"/>
                <w:highlight w:val="none"/>
                <w:lang w:val="en-US" w:eastAsia="zh-CN"/>
              </w:rPr>
              <w:t>废铝料</w:t>
            </w:r>
            <w:r>
              <w:rPr>
                <w:rFonts w:hint="default" w:ascii="Times New Roman" w:hAnsi="Times New Roman" w:eastAsia="宋体" w:cs="Times New Roman"/>
                <w:color w:val="auto"/>
                <w:kern w:val="0"/>
                <w:sz w:val="26"/>
                <w:szCs w:val="26"/>
                <w:highlight w:val="none"/>
                <w:lang w:val="en-US" w:eastAsia="zh-CN"/>
              </w:rPr>
              <w:t>做危险废物处理，切削液回用于车床设备中。其产生量约</w:t>
            </w:r>
            <w:r>
              <w:rPr>
                <w:rFonts w:hint="eastAsia" w:ascii="Times New Roman" w:hAnsi="Times New Roman" w:eastAsia="宋体" w:cs="Times New Roman"/>
                <w:color w:val="auto"/>
                <w:kern w:val="0"/>
                <w:sz w:val="26"/>
                <w:szCs w:val="26"/>
                <w:highlight w:val="none"/>
                <w:lang w:val="en-US" w:eastAsia="zh-CN"/>
              </w:rPr>
              <w:t>231.45t</w:t>
            </w:r>
            <w:r>
              <w:rPr>
                <w:rFonts w:hint="default" w:ascii="Times New Roman" w:hAnsi="Times New Roman" w:eastAsia="宋体" w:cs="Times New Roman"/>
                <w:color w:val="auto"/>
                <w:kern w:val="0"/>
                <w:sz w:val="26"/>
                <w:szCs w:val="26"/>
                <w:highlight w:val="none"/>
                <w:lang w:val="en-US" w:eastAsia="zh-CN"/>
              </w:rPr>
              <w:t>/a，滤干后的</w:t>
            </w:r>
            <w:r>
              <w:rPr>
                <w:rFonts w:hint="eastAsia" w:ascii="Times New Roman" w:hAnsi="Times New Roman" w:eastAsia="宋体" w:cs="Times New Roman"/>
                <w:color w:val="auto"/>
                <w:kern w:val="0"/>
                <w:sz w:val="26"/>
                <w:szCs w:val="26"/>
                <w:highlight w:val="none"/>
                <w:lang w:val="en-US" w:eastAsia="zh-CN"/>
              </w:rPr>
              <w:t>铝料</w:t>
            </w:r>
            <w:r>
              <w:rPr>
                <w:rFonts w:hint="default" w:ascii="Times New Roman" w:hAnsi="Times New Roman" w:eastAsia="宋体" w:cs="Times New Roman"/>
                <w:color w:val="auto"/>
                <w:kern w:val="0"/>
                <w:sz w:val="26"/>
                <w:szCs w:val="26"/>
                <w:highlight w:val="none"/>
                <w:lang w:val="en-US" w:eastAsia="zh-CN"/>
              </w:rPr>
              <w:t>采用防滴漏的设备盛装</w:t>
            </w:r>
            <w:r>
              <w:rPr>
                <w:rFonts w:hint="eastAsia" w:ascii="Times New Roman" w:hAnsi="Times New Roman" w:eastAsia="宋体" w:cs="Times New Roman"/>
                <w:color w:val="auto"/>
                <w:kern w:val="0"/>
                <w:sz w:val="26"/>
                <w:szCs w:val="26"/>
                <w:highlight w:val="none"/>
                <w:lang w:val="en-US" w:eastAsia="zh-CN"/>
              </w:rPr>
              <w:t>，暂存于危险废物贮存库；</w:t>
            </w:r>
            <w:r>
              <w:rPr>
                <w:rFonts w:hint="default" w:ascii="Times New Roman" w:hAnsi="Times New Roman" w:eastAsia="宋体" w:cs="Times New Roman"/>
                <w:color w:val="auto"/>
                <w:kern w:val="0"/>
                <w:sz w:val="26"/>
                <w:szCs w:val="26"/>
                <w:highlight w:val="none"/>
                <w:lang w:val="en-US" w:eastAsia="zh-CN"/>
              </w:rPr>
              <w:t xml:space="preserve"> </w:t>
            </w:r>
          </w:p>
          <w:p w14:paraId="649E2A0B">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Times New Roman" w:hAnsi="Times New Roman" w:eastAsia="宋体" w:cs="Times New Roman"/>
                <w:color w:val="auto"/>
                <w:kern w:val="0"/>
                <w:sz w:val="26"/>
                <w:szCs w:val="26"/>
                <w:highlight w:val="none"/>
                <w:lang w:val="en-US" w:eastAsia="zh-CN"/>
              </w:rPr>
            </w:pPr>
            <w:r>
              <w:rPr>
                <w:rFonts w:hint="default" w:ascii="Times New Roman" w:hAnsi="Times New Roman" w:eastAsia="宋体" w:cs="Times New Roman"/>
                <w:color w:val="auto"/>
                <w:kern w:val="0"/>
                <w:sz w:val="26"/>
                <w:szCs w:val="26"/>
                <w:highlight w:val="none"/>
                <w:lang w:val="en-US" w:eastAsia="zh-CN"/>
              </w:rPr>
              <w:t>④废</w:t>
            </w:r>
            <w:r>
              <w:rPr>
                <w:rFonts w:hint="eastAsia" w:ascii="Times New Roman" w:hAnsi="Times New Roman" w:eastAsia="宋体" w:cs="Times New Roman"/>
                <w:color w:val="auto"/>
                <w:kern w:val="0"/>
                <w:sz w:val="26"/>
                <w:szCs w:val="26"/>
                <w:highlight w:val="none"/>
                <w:lang w:val="en-US" w:eastAsia="zh-CN"/>
              </w:rPr>
              <w:t>液压油</w:t>
            </w:r>
            <w:r>
              <w:rPr>
                <w:rFonts w:hint="default" w:ascii="Times New Roman" w:hAnsi="Times New Roman" w:eastAsia="宋体" w:cs="Times New Roman"/>
                <w:color w:val="auto"/>
                <w:kern w:val="0"/>
                <w:sz w:val="26"/>
                <w:szCs w:val="26"/>
                <w:highlight w:val="none"/>
                <w:lang w:val="en-US" w:eastAsia="zh-CN"/>
              </w:rPr>
              <w:t>（HW08，900-218-08）：主要为</w:t>
            </w:r>
            <w:r>
              <w:rPr>
                <w:rFonts w:hint="eastAsia" w:ascii="Times New Roman" w:hAnsi="Times New Roman" w:eastAsia="宋体" w:cs="Times New Roman"/>
                <w:color w:val="auto"/>
                <w:kern w:val="0"/>
                <w:sz w:val="26"/>
                <w:szCs w:val="26"/>
                <w:highlight w:val="none"/>
                <w:lang w:val="en-US" w:eastAsia="zh-CN"/>
              </w:rPr>
              <w:t>各机械</w:t>
            </w:r>
            <w:r>
              <w:rPr>
                <w:rFonts w:hint="default" w:ascii="Times New Roman" w:hAnsi="Times New Roman" w:eastAsia="宋体" w:cs="Times New Roman"/>
                <w:color w:val="auto"/>
                <w:kern w:val="0"/>
                <w:sz w:val="26"/>
                <w:szCs w:val="26"/>
                <w:highlight w:val="none"/>
                <w:lang w:val="en-US" w:eastAsia="zh-CN"/>
              </w:rPr>
              <w:t>设备维护、更换和拆解过程中产生的废液压油</w:t>
            </w:r>
            <w:r>
              <w:rPr>
                <w:rFonts w:hint="eastAsia" w:ascii="Times New Roman" w:hAnsi="Times New Roman" w:eastAsia="宋体" w:cs="Times New Roman"/>
                <w:color w:val="auto"/>
                <w:kern w:val="0"/>
                <w:sz w:val="26"/>
                <w:szCs w:val="26"/>
                <w:highlight w:val="none"/>
                <w:lang w:val="en-US" w:eastAsia="zh-CN"/>
              </w:rPr>
              <w:t>，</w:t>
            </w:r>
            <w:r>
              <w:rPr>
                <w:rFonts w:hint="default" w:ascii="Times New Roman" w:hAnsi="Times New Roman" w:eastAsia="宋体" w:cs="Times New Roman"/>
                <w:color w:val="auto"/>
                <w:kern w:val="0"/>
                <w:sz w:val="26"/>
                <w:szCs w:val="26"/>
                <w:highlight w:val="none"/>
                <w:lang w:val="en-US" w:eastAsia="zh-CN"/>
              </w:rPr>
              <w:t>产生量约</w:t>
            </w:r>
            <w:r>
              <w:rPr>
                <w:rFonts w:hint="eastAsia" w:ascii="Times New Roman" w:hAnsi="Times New Roman" w:eastAsia="宋体" w:cs="Times New Roman"/>
                <w:color w:val="auto"/>
                <w:kern w:val="0"/>
                <w:sz w:val="26"/>
                <w:szCs w:val="26"/>
                <w:highlight w:val="none"/>
                <w:lang w:val="en-US" w:eastAsia="zh-CN"/>
              </w:rPr>
              <w:t>1</w:t>
            </w:r>
            <w:r>
              <w:rPr>
                <w:rFonts w:hint="default" w:ascii="Times New Roman" w:hAnsi="Times New Roman" w:eastAsia="宋体" w:cs="Times New Roman"/>
                <w:color w:val="auto"/>
                <w:kern w:val="0"/>
                <w:sz w:val="26"/>
                <w:szCs w:val="26"/>
                <w:highlight w:val="none"/>
                <w:lang w:val="en-US" w:eastAsia="zh-CN"/>
              </w:rPr>
              <w:t xml:space="preserve">t/a； </w:t>
            </w:r>
          </w:p>
          <w:p w14:paraId="39E902F1">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Times New Roman" w:hAnsi="Times New Roman" w:eastAsia="宋体" w:cs="Times New Roman"/>
                <w:color w:val="auto"/>
                <w:kern w:val="0"/>
                <w:sz w:val="26"/>
                <w:szCs w:val="26"/>
                <w:highlight w:val="none"/>
                <w:lang w:val="en-US" w:eastAsia="zh-CN"/>
              </w:rPr>
            </w:pPr>
            <w:r>
              <w:rPr>
                <w:rFonts w:hint="default" w:ascii="Times New Roman" w:hAnsi="Times New Roman" w:eastAsia="宋体" w:cs="Times New Roman"/>
                <w:color w:val="auto"/>
                <w:kern w:val="0"/>
                <w:sz w:val="26"/>
                <w:szCs w:val="26"/>
                <w:highlight w:val="none"/>
                <w:lang w:val="en-US" w:eastAsia="zh-CN"/>
              </w:rPr>
              <w:t>⑤</w:t>
            </w:r>
            <w:r>
              <w:rPr>
                <w:rFonts w:hint="eastAsia" w:ascii="Times New Roman" w:hAnsi="Times New Roman" w:eastAsia="宋体" w:cs="Times New Roman"/>
                <w:color w:val="auto"/>
                <w:kern w:val="0"/>
                <w:sz w:val="26"/>
                <w:szCs w:val="26"/>
                <w:highlight w:val="none"/>
                <w:lang w:val="en-US" w:eastAsia="zh-CN"/>
              </w:rPr>
              <w:t>废弃的含油抹布、劳保用品</w:t>
            </w:r>
            <w:r>
              <w:rPr>
                <w:rFonts w:hint="default" w:ascii="Times New Roman" w:hAnsi="Times New Roman" w:eastAsia="宋体" w:cs="Times New Roman"/>
                <w:color w:val="auto"/>
                <w:kern w:val="0"/>
                <w:sz w:val="26"/>
                <w:szCs w:val="26"/>
                <w:highlight w:val="none"/>
                <w:lang w:val="en-US" w:eastAsia="zh-CN"/>
              </w:rPr>
              <w:t>（HW49，900-041-49）：产生量约0.</w:t>
            </w:r>
            <w:r>
              <w:rPr>
                <w:rFonts w:hint="eastAsia" w:ascii="Times New Roman" w:hAnsi="Times New Roman" w:eastAsia="宋体" w:cs="Times New Roman"/>
                <w:color w:val="auto"/>
                <w:kern w:val="0"/>
                <w:sz w:val="26"/>
                <w:szCs w:val="26"/>
                <w:highlight w:val="none"/>
                <w:lang w:val="en-US" w:eastAsia="zh-CN"/>
              </w:rPr>
              <w:t>3</w:t>
            </w:r>
            <w:r>
              <w:rPr>
                <w:rFonts w:hint="default" w:ascii="Times New Roman" w:hAnsi="Times New Roman" w:eastAsia="宋体" w:cs="Times New Roman"/>
                <w:color w:val="auto"/>
                <w:kern w:val="0"/>
                <w:sz w:val="26"/>
                <w:szCs w:val="26"/>
                <w:highlight w:val="none"/>
                <w:lang w:val="en-US" w:eastAsia="zh-CN"/>
              </w:rPr>
              <w:t>t/a</w:t>
            </w:r>
            <w:r>
              <w:rPr>
                <w:rFonts w:hint="eastAsia" w:ascii="Times New Roman" w:hAnsi="Times New Roman" w:eastAsia="宋体" w:cs="Times New Roman"/>
                <w:color w:val="auto"/>
                <w:kern w:val="0"/>
                <w:sz w:val="26"/>
                <w:szCs w:val="26"/>
                <w:highlight w:val="none"/>
                <w:lang w:val="en-US" w:eastAsia="zh-CN"/>
              </w:rPr>
              <w:t>；</w:t>
            </w:r>
          </w:p>
          <w:p w14:paraId="5AD4445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color w:val="auto"/>
                <w:lang w:val="en-US" w:eastAsia="zh-CN"/>
              </w:rPr>
            </w:pPr>
            <w:r>
              <w:rPr>
                <w:rFonts w:hint="eastAsia" w:ascii="Times New Roman" w:hAnsi="Times New Roman" w:eastAsia="宋体" w:cs="Times New Roman"/>
                <w:color w:val="auto"/>
                <w:kern w:val="0"/>
                <w:sz w:val="26"/>
                <w:szCs w:val="26"/>
                <w:highlight w:val="none"/>
                <w:lang w:val="en-US" w:eastAsia="zh-CN"/>
              </w:rPr>
              <w:t>⑥空压机含油废液（</w:t>
            </w:r>
            <w:r>
              <w:rPr>
                <w:rFonts w:hint="eastAsia" w:ascii="Times New Roman" w:hAnsi="Times New Roman"/>
                <w:color w:val="auto"/>
                <w:sz w:val="26"/>
                <w:szCs w:val="26"/>
                <w:lang w:val="en-US" w:eastAsia="zh-CN"/>
              </w:rPr>
              <w:t>HW09，</w:t>
            </w:r>
            <w:r>
              <w:rPr>
                <w:rFonts w:hint="eastAsia" w:ascii="Times New Roman" w:hAnsi="Times New Roman"/>
                <w:color w:val="auto"/>
                <w:sz w:val="26"/>
                <w:szCs w:val="26"/>
                <w:lang w:eastAsia="zh-CN"/>
              </w:rPr>
              <w:t>900-007-09</w:t>
            </w:r>
            <w:r>
              <w:rPr>
                <w:rFonts w:hint="eastAsia" w:ascii="Times New Roman" w:hAnsi="Times New Roman" w:eastAsia="宋体" w:cs="Times New Roman"/>
                <w:color w:val="auto"/>
                <w:kern w:val="0"/>
                <w:sz w:val="26"/>
                <w:szCs w:val="26"/>
                <w:highlight w:val="none"/>
                <w:lang w:val="en-US" w:eastAsia="zh-CN"/>
              </w:rPr>
              <w:t>）：</w:t>
            </w:r>
            <w:r>
              <w:rPr>
                <w:rFonts w:hint="default" w:ascii="Times New Roman" w:hAnsi="Times New Roman" w:eastAsia="宋体" w:cs="Times New Roman"/>
                <w:color w:val="auto"/>
                <w:kern w:val="0"/>
                <w:sz w:val="26"/>
                <w:szCs w:val="26"/>
                <w:highlight w:val="none"/>
                <w:lang w:val="en-US" w:eastAsia="zh-CN"/>
              </w:rPr>
              <w:t>空压机工作中，润滑油会被压缩空气挟带到中冷器、后冷器和储气罐中，与空气冷凝水一道由排泄阀排出，形成空压机含油废液。</w:t>
            </w:r>
            <w:r>
              <w:rPr>
                <w:rFonts w:hint="eastAsia" w:ascii="Times New Roman" w:hAnsi="Times New Roman" w:eastAsia="宋体" w:cs="Times New Roman"/>
                <w:color w:val="auto"/>
                <w:kern w:val="0"/>
                <w:sz w:val="26"/>
                <w:szCs w:val="26"/>
                <w:highlight w:val="none"/>
                <w:lang w:val="en-US" w:eastAsia="zh-CN"/>
              </w:rPr>
              <w:t>可</w:t>
            </w:r>
            <w:r>
              <w:rPr>
                <w:rFonts w:hint="default" w:ascii="Times New Roman" w:hAnsi="Times New Roman" w:eastAsia="宋体" w:cs="Times New Roman"/>
                <w:color w:val="auto"/>
                <w:kern w:val="0"/>
                <w:sz w:val="26"/>
                <w:szCs w:val="26"/>
                <w:highlight w:val="none"/>
                <w:lang w:val="en-US" w:eastAsia="zh-CN"/>
              </w:rPr>
              <w:t>定期</w:t>
            </w:r>
            <w:r>
              <w:rPr>
                <w:rFonts w:hint="eastAsia" w:ascii="Times New Roman" w:hAnsi="Times New Roman" w:eastAsia="宋体" w:cs="Times New Roman"/>
                <w:color w:val="auto"/>
                <w:kern w:val="0"/>
                <w:sz w:val="26"/>
                <w:szCs w:val="26"/>
                <w:highlight w:val="none"/>
                <w:lang w:val="en-US" w:eastAsia="zh-CN"/>
              </w:rPr>
              <w:t>交由危废资质单位处置，产生量约0.4t/a；</w:t>
            </w:r>
          </w:p>
          <w:p w14:paraId="68ABD102">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eastAsia" w:ascii="Times New Roman" w:hAnsi="Times New Roman" w:eastAsia="宋体" w:cs="Times New Roman"/>
                <w:color w:val="auto"/>
                <w:kern w:val="0"/>
                <w:sz w:val="26"/>
                <w:szCs w:val="26"/>
                <w:highlight w:val="none"/>
                <w:lang w:val="en-US" w:eastAsia="zh-CN"/>
              </w:rPr>
            </w:pPr>
            <w:r>
              <w:rPr>
                <w:rFonts w:hint="eastAsia" w:ascii="Times New Roman" w:hAnsi="Times New Roman" w:eastAsia="宋体" w:cs="Times New Roman"/>
                <w:color w:val="auto"/>
                <w:kern w:val="0"/>
                <w:sz w:val="26"/>
                <w:szCs w:val="26"/>
                <w:highlight w:val="none"/>
                <w:lang w:val="en-US" w:eastAsia="zh-CN"/>
              </w:rPr>
              <w:t>⑦废油桶（HW49，900-041-49）：盛装润滑油、液压油、切削液后产生的废包装桶，产生量约0.3t/a。</w:t>
            </w:r>
          </w:p>
          <w:p w14:paraId="65FFADEC">
            <w:pPr>
              <w:keepNext w:val="0"/>
              <w:keepLines w:val="0"/>
              <w:pageBreakBefore w:val="0"/>
              <w:widowControl w:val="0"/>
              <w:kinsoku/>
              <w:wordWrap/>
              <w:overflowPunct/>
              <w:topLinePunct w:val="0"/>
              <w:autoSpaceDE/>
              <w:autoSpaceDN/>
              <w:bidi w:val="0"/>
              <w:adjustRightInd/>
              <w:snapToGrid/>
              <w:spacing w:line="460" w:lineRule="exact"/>
              <w:ind w:firstLine="520" w:firstLineChars="200"/>
              <w:jc w:val="both"/>
              <w:textAlignment w:val="auto"/>
              <w:rPr>
                <w:rFonts w:hint="default" w:ascii="Times New Roman" w:hAnsi="Times New Roman" w:eastAsia="宋体" w:cs="Times New Roman"/>
                <w:color w:val="auto"/>
                <w:kern w:val="0"/>
                <w:sz w:val="26"/>
                <w:szCs w:val="26"/>
                <w:highlight w:val="none"/>
                <w:lang w:val="en-US" w:eastAsia="zh-CN"/>
              </w:rPr>
            </w:pPr>
            <w:r>
              <w:rPr>
                <w:rFonts w:hint="eastAsia" w:ascii="Times New Roman" w:hAnsi="Times New Roman" w:eastAsia="宋体" w:cs="Times New Roman"/>
                <w:color w:val="auto"/>
                <w:kern w:val="0"/>
                <w:sz w:val="26"/>
                <w:szCs w:val="26"/>
                <w:highlight w:val="none"/>
                <w:lang w:val="en-US" w:eastAsia="zh-CN"/>
              </w:rPr>
              <w:t>危废贮存库</w:t>
            </w:r>
            <w:r>
              <w:rPr>
                <w:rFonts w:hint="default" w:ascii="Times New Roman" w:hAnsi="Times New Roman" w:eastAsia="宋体" w:cs="Times New Roman"/>
                <w:color w:val="auto"/>
                <w:kern w:val="0"/>
                <w:sz w:val="26"/>
                <w:szCs w:val="26"/>
                <w:highlight w:val="none"/>
                <w:lang w:val="en-US" w:eastAsia="zh-CN"/>
              </w:rPr>
              <w:t>采取</w:t>
            </w:r>
            <w:r>
              <w:rPr>
                <w:rFonts w:hint="eastAsia" w:ascii="Times New Roman" w:hAnsi="Times New Roman" w:eastAsia="宋体" w:cs="Times New Roman"/>
                <w:color w:val="auto"/>
                <w:kern w:val="0"/>
                <w:sz w:val="26"/>
                <w:szCs w:val="26"/>
                <w:highlight w:val="none"/>
                <w:lang w:val="en-US" w:eastAsia="zh-CN"/>
              </w:rPr>
              <w:t>防风、防雨、防晒、</w:t>
            </w:r>
            <w:r>
              <w:rPr>
                <w:rFonts w:hint="default" w:ascii="Times New Roman" w:hAnsi="Times New Roman" w:eastAsia="宋体" w:cs="Times New Roman"/>
                <w:color w:val="auto"/>
                <w:kern w:val="0"/>
                <w:sz w:val="26"/>
                <w:szCs w:val="26"/>
                <w:highlight w:val="none"/>
                <w:lang w:val="en-US" w:eastAsia="zh-CN"/>
              </w:rPr>
              <w:t>防渗</w:t>
            </w:r>
            <w:r>
              <w:rPr>
                <w:rFonts w:hint="eastAsia" w:ascii="Times New Roman" w:hAnsi="Times New Roman" w:eastAsia="宋体" w:cs="Times New Roman"/>
                <w:color w:val="auto"/>
                <w:kern w:val="0"/>
                <w:sz w:val="26"/>
                <w:szCs w:val="26"/>
                <w:highlight w:val="none"/>
                <w:lang w:val="en-US" w:eastAsia="zh-CN"/>
              </w:rPr>
              <w:t>、防漏、</w:t>
            </w:r>
            <w:r>
              <w:rPr>
                <w:rFonts w:hint="default" w:ascii="Times New Roman" w:hAnsi="Times New Roman" w:eastAsia="宋体" w:cs="Times New Roman"/>
                <w:color w:val="auto"/>
                <w:kern w:val="0"/>
                <w:sz w:val="26"/>
                <w:szCs w:val="26"/>
                <w:highlight w:val="none"/>
                <w:lang w:val="en-US" w:eastAsia="zh-CN"/>
              </w:rPr>
              <w:t>防腐处理</w:t>
            </w:r>
            <w:r>
              <w:rPr>
                <w:rFonts w:hint="eastAsia" w:ascii="Times New Roman" w:hAnsi="Times New Roman" w:eastAsia="宋体" w:cs="Times New Roman"/>
                <w:color w:val="auto"/>
                <w:kern w:val="0"/>
                <w:sz w:val="26"/>
                <w:szCs w:val="26"/>
                <w:highlight w:val="none"/>
                <w:lang w:val="en-US" w:eastAsia="zh-CN"/>
              </w:rPr>
              <w:t>，并设置转移联单及台账。</w:t>
            </w:r>
          </w:p>
          <w:p w14:paraId="1EBFA6AB">
            <w:pPr>
              <w:rPr>
                <w:color w:val="auto"/>
                <w:vertAlign w:val="baseline"/>
              </w:rPr>
            </w:pPr>
          </w:p>
          <w:p w14:paraId="76193D23">
            <w:pPr>
              <w:rPr>
                <w:color w:val="auto"/>
                <w:vertAlign w:val="baseline"/>
              </w:rPr>
            </w:pPr>
          </w:p>
          <w:p w14:paraId="1B3B0CBE">
            <w:pPr>
              <w:rPr>
                <w:color w:val="auto"/>
                <w:vertAlign w:val="baseline"/>
              </w:rPr>
            </w:pPr>
          </w:p>
          <w:p w14:paraId="655AC0C6">
            <w:pPr>
              <w:rPr>
                <w:color w:val="auto"/>
                <w:vertAlign w:val="baseline"/>
              </w:rPr>
            </w:pPr>
          </w:p>
          <w:p w14:paraId="1398C2CD">
            <w:pPr>
              <w:rPr>
                <w:color w:val="auto"/>
                <w:vertAlign w:val="baseline"/>
              </w:rPr>
            </w:pPr>
          </w:p>
          <w:p w14:paraId="5C52FB43">
            <w:pPr>
              <w:rPr>
                <w:color w:val="auto"/>
                <w:vertAlign w:val="baseline"/>
              </w:rPr>
            </w:pPr>
          </w:p>
          <w:p w14:paraId="1CCF2D85">
            <w:pPr>
              <w:rPr>
                <w:color w:val="auto"/>
                <w:vertAlign w:val="baseline"/>
              </w:rPr>
            </w:pPr>
          </w:p>
          <w:p w14:paraId="521891B1">
            <w:pPr>
              <w:rPr>
                <w:color w:val="auto"/>
                <w:vertAlign w:val="baseline"/>
              </w:rPr>
            </w:pPr>
          </w:p>
          <w:p w14:paraId="114CC6DA">
            <w:pPr>
              <w:rPr>
                <w:color w:val="auto"/>
                <w:vertAlign w:val="baseline"/>
              </w:rPr>
            </w:pPr>
          </w:p>
          <w:p w14:paraId="6FF27997">
            <w:pPr>
              <w:rPr>
                <w:color w:val="auto"/>
                <w:vertAlign w:val="baseline"/>
              </w:rPr>
            </w:pPr>
          </w:p>
          <w:p w14:paraId="0DC6698D">
            <w:pPr>
              <w:rPr>
                <w:color w:val="auto"/>
                <w:vertAlign w:val="baseline"/>
              </w:rPr>
            </w:pPr>
          </w:p>
          <w:p w14:paraId="087D8D9F">
            <w:pPr>
              <w:rPr>
                <w:color w:val="auto"/>
                <w:vertAlign w:val="baseline"/>
              </w:rPr>
            </w:pPr>
          </w:p>
        </w:tc>
      </w:tr>
    </w:tbl>
    <w:p w14:paraId="3E8864C0">
      <w:pPr>
        <w:rPr>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2475"/>
      </w:tblGrid>
      <w:tr w14:paraId="227F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noWrap w:val="0"/>
            <w:vAlign w:val="center"/>
          </w:tcPr>
          <w:p w14:paraId="5C484334">
            <w:pPr>
              <w:pStyle w:val="20"/>
              <w:adjustRightInd w:val="0"/>
              <w:snapToGrid w:val="0"/>
              <w:spacing w:before="0" w:beforeAutospacing="0" w:after="0" w:afterAutospacing="0"/>
              <w:jc w:val="center"/>
              <w:rPr>
                <w:rFonts w:hint="eastAsia" w:ascii="宋体" w:hAnsi="宋体" w:eastAsia="宋体" w:cs="Times New Roman"/>
                <w:color w:val="auto"/>
                <w:vertAlign w:val="baseline"/>
                <w:lang w:val="en-US" w:eastAsia="zh-CN"/>
              </w:rPr>
            </w:pPr>
            <w:r>
              <w:rPr>
                <w:rFonts w:hint="eastAsia" w:ascii="宋体" w:hAnsi="宋体" w:eastAsia="宋体" w:cs="Times New Roman"/>
                <w:color w:val="auto"/>
                <w:vertAlign w:val="baseline"/>
                <w:lang w:val="en-US" w:eastAsia="zh-CN"/>
              </w:rPr>
              <w:t>运营期环</w:t>
            </w:r>
          </w:p>
          <w:p w14:paraId="1CB922E2">
            <w:pPr>
              <w:pStyle w:val="20"/>
              <w:adjustRightInd w:val="0"/>
              <w:snapToGrid w:val="0"/>
              <w:spacing w:before="0" w:beforeAutospacing="0" w:after="0" w:afterAutospacing="0"/>
              <w:jc w:val="center"/>
              <w:rPr>
                <w:rFonts w:hint="eastAsia" w:ascii="宋体" w:hAnsi="宋体" w:eastAsia="宋体" w:cs="Times New Roman"/>
                <w:color w:val="auto"/>
                <w:vertAlign w:val="baseline"/>
                <w:lang w:val="en-US" w:eastAsia="zh-CN"/>
              </w:rPr>
            </w:pPr>
            <w:r>
              <w:rPr>
                <w:rFonts w:hint="eastAsia" w:ascii="宋体" w:hAnsi="宋体" w:eastAsia="宋体" w:cs="Times New Roman"/>
                <w:color w:val="auto"/>
                <w:vertAlign w:val="baseline"/>
                <w:lang w:val="en-US" w:eastAsia="zh-CN"/>
              </w:rPr>
              <w:t>境保</w:t>
            </w:r>
          </w:p>
          <w:p w14:paraId="63AF3A2C">
            <w:pPr>
              <w:pStyle w:val="20"/>
              <w:adjustRightInd w:val="0"/>
              <w:snapToGrid w:val="0"/>
              <w:spacing w:before="0" w:beforeAutospacing="0" w:after="0" w:afterAutospacing="0"/>
              <w:jc w:val="center"/>
              <w:rPr>
                <w:rFonts w:hint="eastAsia" w:ascii="宋体" w:hAnsi="宋体" w:eastAsia="宋体" w:cs="Times New Roman"/>
                <w:color w:val="auto"/>
                <w:vertAlign w:val="baseline"/>
                <w:lang w:val="en-US" w:eastAsia="zh-CN"/>
              </w:rPr>
            </w:pPr>
            <w:r>
              <w:rPr>
                <w:rFonts w:hint="eastAsia" w:ascii="宋体" w:hAnsi="宋体" w:eastAsia="宋体" w:cs="Times New Roman"/>
                <w:color w:val="auto"/>
                <w:vertAlign w:val="baseline"/>
                <w:lang w:val="en-US" w:eastAsia="zh-CN"/>
              </w:rPr>
              <w:t>护措</w:t>
            </w:r>
          </w:p>
          <w:p w14:paraId="2836E237">
            <w:pPr>
              <w:pStyle w:val="20"/>
              <w:adjustRightInd w:val="0"/>
              <w:snapToGrid w:val="0"/>
              <w:spacing w:before="0" w:beforeAutospacing="0" w:after="0" w:afterAutospacing="0"/>
              <w:jc w:val="center"/>
              <w:rPr>
                <w:rFonts w:hint="eastAsia" w:ascii="Times New Roman" w:hAnsi="Times New Roman" w:eastAsia="宋体" w:cs="Times New Roman"/>
                <w:b/>
                <w:bCs/>
                <w:color w:val="auto"/>
                <w:kern w:val="2"/>
                <w:sz w:val="26"/>
                <w:szCs w:val="26"/>
                <w:vertAlign w:val="baseline"/>
                <w:lang w:val="en-US" w:eastAsia="zh-CN" w:bidi="ar-SA"/>
              </w:rPr>
            </w:pPr>
            <w:r>
              <w:rPr>
                <w:rFonts w:hint="eastAsia" w:ascii="宋体" w:hAnsi="宋体" w:eastAsia="宋体" w:cs="Times New Roman"/>
                <w:color w:val="auto"/>
                <w:vertAlign w:val="baseline"/>
                <w:lang w:val="en-US" w:eastAsia="zh-CN"/>
              </w:rPr>
              <w:t>施</w:t>
            </w:r>
          </w:p>
        </w:tc>
        <w:tc>
          <w:tcPr>
            <w:tcW w:w="12475" w:type="dxa"/>
            <w:noWrap w:val="0"/>
            <w:vAlign w:val="top"/>
          </w:tcPr>
          <w:p w14:paraId="300CBE85">
            <w:pPr>
              <w:widowControl w:val="0"/>
              <w:snapToGrid w:val="0"/>
              <w:spacing w:line="460" w:lineRule="exact"/>
              <w:jc w:val="center"/>
              <w:rPr>
                <w:rFonts w:ascii="Times New Roman" w:hAnsi="Times New Roman" w:eastAsia="宋体" w:cs="Times New Roman"/>
                <w:color w:val="auto"/>
                <w:kern w:val="2"/>
                <w:sz w:val="26"/>
                <w:szCs w:val="26"/>
                <w:lang w:val="en-US" w:eastAsia="zh-CN" w:bidi="ar-SA"/>
              </w:rPr>
            </w:pPr>
            <w:r>
              <w:rPr>
                <w:rFonts w:hint="eastAsia" w:ascii="Times New Roman" w:hAnsi="Times New Roman" w:eastAsia="宋体" w:cs="Times New Roman"/>
                <w:b/>
                <w:bCs/>
                <w:color w:val="auto"/>
                <w:kern w:val="2"/>
                <w:sz w:val="26"/>
                <w:szCs w:val="26"/>
                <w:lang w:val="en-US" w:eastAsia="zh-CN" w:bidi="ar-SA"/>
              </w:rPr>
              <w:t>表4.2-21  本项目一般工业固废产</w:t>
            </w:r>
            <w:r>
              <w:rPr>
                <w:rFonts w:ascii="Times New Roman" w:hAnsi="Times New Roman" w:eastAsia="宋体" w:cs="Times New Roman"/>
                <w:b/>
                <w:bCs/>
                <w:color w:val="auto"/>
                <w:kern w:val="2"/>
                <w:sz w:val="26"/>
                <w:szCs w:val="26"/>
                <w:lang w:val="en-US" w:eastAsia="zh-CN" w:bidi="ar-SA"/>
              </w:rPr>
              <w:t>生、处置情况表</w:t>
            </w:r>
          </w:p>
          <w:tbl>
            <w:tblPr>
              <w:tblStyle w:val="25"/>
              <w:tblW w:w="48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086"/>
              <w:gridCol w:w="1760"/>
              <w:gridCol w:w="1383"/>
              <w:gridCol w:w="1485"/>
              <w:gridCol w:w="1065"/>
              <w:gridCol w:w="1311"/>
              <w:gridCol w:w="1050"/>
              <w:gridCol w:w="1625"/>
            </w:tblGrid>
            <w:tr w14:paraId="1EE57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vMerge w:val="restart"/>
                  <w:noWrap w:val="0"/>
                  <w:vAlign w:val="center"/>
                </w:tcPr>
                <w:p w14:paraId="33F89766">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工序/生产单元</w:t>
                  </w:r>
                </w:p>
              </w:tc>
              <w:tc>
                <w:tcPr>
                  <w:tcW w:w="1086" w:type="dxa"/>
                  <w:vMerge w:val="restart"/>
                  <w:noWrap w:val="0"/>
                  <w:vAlign w:val="center"/>
                </w:tcPr>
                <w:p w14:paraId="1C4657A4">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装置</w:t>
                  </w:r>
                </w:p>
              </w:tc>
              <w:tc>
                <w:tcPr>
                  <w:tcW w:w="1760" w:type="dxa"/>
                  <w:vMerge w:val="restart"/>
                  <w:noWrap w:val="0"/>
                  <w:vAlign w:val="center"/>
                </w:tcPr>
                <w:p w14:paraId="5031C673">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固体废物名称</w:t>
                  </w:r>
                </w:p>
              </w:tc>
              <w:tc>
                <w:tcPr>
                  <w:tcW w:w="1383" w:type="dxa"/>
                  <w:vMerge w:val="restart"/>
                  <w:noWrap w:val="0"/>
                  <w:vAlign w:val="center"/>
                </w:tcPr>
                <w:p w14:paraId="11925943">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代码</w:t>
                  </w:r>
                </w:p>
              </w:tc>
              <w:tc>
                <w:tcPr>
                  <w:tcW w:w="1485" w:type="dxa"/>
                  <w:vMerge w:val="restart"/>
                  <w:noWrap w:val="0"/>
                  <w:vAlign w:val="center"/>
                </w:tcPr>
                <w:p w14:paraId="78E19A46">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主要成分</w:t>
                  </w:r>
                </w:p>
              </w:tc>
              <w:tc>
                <w:tcPr>
                  <w:tcW w:w="1065" w:type="dxa"/>
                  <w:vMerge w:val="restart"/>
                  <w:noWrap w:val="0"/>
                  <w:vAlign w:val="center"/>
                </w:tcPr>
                <w:p w14:paraId="52A7F5D3">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产生量t/a</w:t>
                  </w:r>
                </w:p>
              </w:tc>
              <w:tc>
                <w:tcPr>
                  <w:tcW w:w="2361" w:type="dxa"/>
                  <w:gridSpan w:val="2"/>
                  <w:noWrap w:val="0"/>
                  <w:vAlign w:val="center"/>
                </w:tcPr>
                <w:p w14:paraId="6659A241">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处置措施</w:t>
                  </w:r>
                </w:p>
              </w:tc>
              <w:tc>
                <w:tcPr>
                  <w:tcW w:w="1625" w:type="dxa"/>
                  <w:vMerge w:val="restart"/>
                  <w:noWrap w:val="0"/>
                  <w:vAlign w:val="center"/>
                </w:tcPr>
                <w:p w14:paraId="266968A5">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最终去向</w:t>
                  </w:r>
                </w:p>
              </w:tc>
            </w:tr>
            <w:tr w14:paraId="3153B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vMerge w:val="continue"/>
                  <w:noWrap w:val="0"/>
                  <w:vAlign w:val="center"/>
                </w:tcPr>
                <w:p w14:paraId="37C5BC33">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p>
              </w:tc>
              <w:tc>
                <w:tcPr>
                  <w:tcW w:w="1086" w:type="dxa"/>
                  <w:vMerge w:val="continue"/>
                  <w:noWrap w:val="0"/>
                  <w:vAlign w:val="center"/>
                </w:tcPr>
                <w:p w14:paraId="1F5CC3F5">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p>
              </w:tc>
              <w:tc>
                <w:tcPr>
                  <w:tcW w:w="1760" w:type="dxa"/>
                  <w:vMerge w:val="continue"/>
                  <w:noWrap w:val="0"/>
                  <w:vAlign w:val="center"/>
                </w:tcPr>
                <w:p w14:paraId="50507905">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p>
              </w:tc>
              <w:tc>
                <w:tcPr>
                  <w:tcW w:w="1383" w:type="dxa"/>
                  <w:vMerge w:val="continue"/>
                  <w:noWrap w:val="0"/>
                  <w:vAlign w:val="center"/>
                </w:tcPr>
                <w:p w14:paraId="4D5C70C1">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p>
              </w:tc>
              <w:tc>
                <w:tcPr>
                  <w:tcW w:w="1485" w:type="dxa"/>
                  <w:vMerge w:val="continue"/>
                  <w:noWrap w:val="0"/>
                  <w:vAlign w:val="center"/>
                </w:tcPr>
                <w:p w14:paraId="5449596D">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p>
              </w:tc>
              <w:tc>
                <w:tcPr>
                  <w:tcW w:w="1065" w:type="dxa"/>
                  <w:vMerge w:val="continue"/>
                  <w:noWrap w:val="0"/>
                  <w:vAlign w:val="center"/>
                </w:tcPr>
                <w:p w14:paraId="1CECBD48">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p>
              </w:tc>
              <w:tc>
                <w:tcPr>
                  <w:tcW w:w="1311" w:type="dxa"/>
                  <w:noWrap w:val="0"/>
                  <w:vAlign w:val="center"/>
                </w:tcPr>
                <w:p w14:paraId="3385C34C">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工艺</w:t>
                  </w:r>
                </w:p>
              </w:tc>
              <w:tc>
                <w:tcPr>
                  <w:tcW w:w="1050" w:type="dxa"/>
                  <w:noWrap w:val="0"/>
                  <w:vAlign w:val="center"/>
                </w:tcPr>
                <w:p w14:paraId="1F1834CF">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处置量</w:t>
                  </w:r>
                </w:p>
                <w:p w14:paraId="536E3F8C">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t/a</w:t>
                  </w:r>
                </w:p>
              </w:tc>
              <w:tc>
                <w:tcPr>
                  <w:tcW w:w="1625" w:type="dxa"/>
                  <w:vMerge w:val="continue"/>
                  <w:noWrap w:val="0"/>
                  <w:vAlign w:val="center"/>
                </w:tcPr>
                <w:p w14:paraId="097ECC88">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p>
              </w:tc>
            </w:tr>
            <w:tr w14:paraId="3E71CA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noWrap w:val="0"/>
                  <w:vAlign w:val="center"/>
                </w:tcPr>
                <w:p w14:paraId="6E758CBD">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熔炼过滤</w:t>
                  </w:r>
                </w:p>
              </w:tc>
              <w:tc>
                <w:tcPr>
                  <w:tcW w:w="1086" w:type="dxa"/>
                  <w:noWrap w:val="0"/>
                  <w:vAlign w:val="center"/>
                </w:tcPr>
                <w:p w14:paraId="6A200F65">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熔炼炉</w:t>
                  </w:r>
                </w:p>
              </w:tc>
              <w:tc>
                <w:tcPr>
                  <w:tcW w:w="1760" w:type="dxa"/>
                  <w:noWrap w:val="0"/>
                  <w:vAlign w:val="center"/>
                </w:tcPr>
                <w:p w14:paraId="32FDE00A">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报废陶瓷过滤板</w:t>
                  </w:r>
                </w:p>
              </w:tc>
              <w:tc>
                <w:tcPr>
                  <w:tcW w:w="1383" w:type="dxa"/>
                  <w:noWrap w:val="0"/>
                  <w:vAlign w:val="center"/>
                </w:tcPr>
                <w:p w14:paraId="084EA959">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900-009-S59</w:t>
                  </w:r>
                </w:p>
              </w:tc>
              <w:tc>
                <w:tcPr>
                  <w:tcW w:w="1485" w:type="dxa"/>
                  <w:noWrap w:val="0"/>
                  <w:vAlign w:val="center"/>
                </w:tcPr>
                <w:p w14:paraId="2E755C3E">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铝、铁、陶瓷</w:t>
                  </w:r>
                </w:p>
              </w:tc>
              <w:tc>
                <w:tcPr>
                  <w:tcW w:w="1065" w:type="dxa"/>
                  <w:noWrap w:val="0"/>
                  <w:vAlign w:val="center"/>
                </w:tcPr>
                <w:p w14:paraId="5EC006A3">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2.0</w:t>
                  </w:r>
                </w:p>
              </w:tc>
              <w:tc>
                <w:tcPr>
                  <w:tcW w:w="1311" w:type="dxa"/>
                  <w:noWrap w:val="0"/>
                  <w:vAlign w:val="center"/>
                </w:tcPr>
                <w:p w14:paraId="417DB46F">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分类收集外售处理</w:t>
                  </w:r>
                </w:p>
              </w:tc>
              <w:tc>
                <w:tcPr>
                  <w:tcW w:w="1050" w:type="dxa"/>
                  <w:noWrap w:val="0"/>
                  <w:vAlign w:val="center"/>
                </w:tcPr>
                <w:p w14:paraId="5158186F">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2.0</w:t>
                  </w:r>
                </w:p>
              </w:tc>
              <w:tc>
                <w:tcPr>
                  <w:tcW w:w="1625" w:type="dxa"/>
                  <w:noWrap w:val="0"/>
                  <w:vAlign w:val="center"/>
                </w:tcPr>
                <w:p w14:paraId="37C888A4">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物资回收单位</w:t>
                  </w:r>
                </w:p>
              </w:tc>
            </w:tr>
            <w:tr w14:paraId="655362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vMerge w:val="restart"/>
                  <w:noWrap w:val="0"/>
                  <w:vAlign w:val="center"/>
                </w:tcPr>
                <w:p w14:paraId="2DBD26FE">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铸造</w:t>
                  </w:r>
                </w:p>
              </w:tc>
              <w:tc>
                <w:tcPr>
                  <w:tcW w:w="1086" w:type="dxa"/>
                  <w:vMerge w:val="restart"/>
                  <w:noWrap w:val="0"/>
                  <w:vAlign w:val="center"/>
                </w:tcPr>
                <w:p w14:paraId="414CF4E2">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铸锭机、铸造线</w:t>
                  </w:r>
                </w:p>
              </w:tc>
              <w:tc>
                <w:tcPr>
                  <w:tcW w:w="1760" w:type="dxa"/>
                  <w:noWrap w:val="0"/>
                  <w:vAlign w:val="center"/>
                </w:tcPr>
                <w:p w14:paraId="13A99738">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铸造漏料</w:t>
                  </w:r>
                </w:p>
              </w:tc>
              <w:tc>
                <w:tcPr>
                  <w:tcW w:w="1383" w:type="dxa"/>
                  <w:noWrap w:val="0"/>
                  <w:vAlign w:val="center"/>
                </w:tcPr>
                <w:p w14:paraId="515FEDBC">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324-001-S01</w:t>
                  </w:r>
                </w:p>
              </w:tc>
              <w:tc>
                <w:tcPr>
                  <w:tcW w:w="1485" w:type="dxa"/>
                  <w:noWrap w:val="0"/>
                  <w:vAlign w:val="center"/>
                </w:tcPr>
                <w:p w14:paraId="13FDD980">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铝合金</w:t>
                  </w:r>
                </w:p>
              </w:tc>
              <w:tc>
                <w:tcPr>
                  <w:tcW w:w="1065" w:type="dxa"/>
                  <w:noWrap w:val="0"/>
                  <w:vAlign w:val="center"/>
                </w:tcPr>
                <w:p w14:paraId="74134760">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387.69</w:t>
                  </w:r>
                </w:p>
              </w:tc>
              <w:tc>
                <w:tcPr>
                  <w:tcW w:w="1311" w:type="dxa"/>
                  <w:noWrap w:val="0"/>
                  <w:vAlign w:val="center"/>
                </w:tcPr>
                <w:p w14:paraId="73B7C656">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回用于生产</w:t>
                  </w:r>
                </w:p>
              </w:tc>
              <w:tc>
                <w:tcPr>
                  <w:tcW w:w="1050" w:type="dxa"/>
                  <w:noWrap w:val="0"/>
                  <w:vAlign w:val="center"/>
                </w:tcPr>
                <w:p w14:paraId="3A5066EC">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387.69</w:t>
                  </w:r>
                </w:p>
              </w:tc>
              <w:tc>
                <w:tcPr>
                  <w:tcW w:w="1625" w:type="dxa"/>
                  <w:noWrap w:val="0"/>
                  <w:vAlign w:val="center"/>
                </w:tcPr>
                <w:p w14:paraId="74D20103">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产品</w:t>
                  </w:r>
                </w:p>
              </w:tc>
            </w:tr>
            <w:tr w14:paraId="7A73F2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97" w:type="dxa"/>
                  <w:vMerge w:val="continue"/>
                  <w:noWrap w:val="0"/>
                  <w:vAlign w:val="center"/>
                </w:tcPr>
                <w:p w14:paraId="4020E7EE">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p>
              </w:tc>
              <w:tc>
                <w:tcPr>
                  <w:tcW w:w="1086" w:type="dxa"/>
                  <w:vMerge w:val="continue"/>
                  <w:noWrap w:val="0"/>
                  <w:vAlign w:val="center"/>
                </w:tcPr>
                <w:p w14:paraId="0508EA31">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p>
              </w:tc>
              <w:tc>
                <w:tcPr>
                  <w:tcW w:w="1760" w:type="dxa"/>
                  <w:noWrap w:val="0"/>
                  <w:vAlign w:val="center"/>
                </w:tcPr>
                <w:p w14:paraId="60C92881">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不含油废铝料</w:t>
                  </w:r>
                </w:p>
              </w:tc>
              <w:tc>
                <w:tcPr>
                  <w:tcW w:w="1383" w:type="dxa"/>
                  <w:noWrap w:val="0"/>
                  <w:vAlign w:val="center"/>
                </w:tcPr>
                <w:p w14:paraId="52BD4E03">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324-001-S01</w:t>
                  </w:r>
                </w:p>
              </w:tc>
              <w:tc>
                <w:tcPr>
                  <w:tcW w:w="1485" w:type="dxa"/>
                  <w:noWrap w:val="0"/>
                  <w:vAlign w:val="center"/>
                </w:tcPr>
                <w:p w14:paraId="4B3B4D21">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铝合金</w:t>
                  </w:r>
                </w:p>
              </w:tc>
              <w:tc>
                <w:tcPr>
                  <w:tcW w:w="1065" w:type="dxa"/>
                  <w:noWrap w:val="0"/>
                  <w:vAlign w:val="center"/>
                </w:tcPr>
                <w:p w14:paraId="4AC0175F">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22913.42</w:t>
                  </w:r>
                </w:p>
              </w:tc>
              <w:tc>
                <w:tcPr>
                  <w:tcW w:w="1311" w:type="dxa"/>
                  <w:noWrap w:val="0"/>
                  <w:vAlign w:val="center"/>
                </w:tcPr>
                <w:p w14:paraId="3736F36C">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回用于生产</w:t>
                  </w:r>
                </w:p>
              </w:tc>
              <w:tc>
                <w:tcPr>
                  <w:tcW w:w="1050" w:type="dxa"/>
                  <w:noWrap w:val="0"/>
                  <w:vAlign w:val="center"/>
                </w:tcPr>
                <w:p w14:paraId="0F94E96D">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22913.42</w:t>
                  </w:r>
                </w:p>
              </w:tc>
              <w:tc>
                <w:tcPr>
                  <w:tcW w:w="1625" w:type="dxa"/>
                  <w:noWrap w:val="0"/>
                  <w:vAlign w:val="center"/>
                </w:tcPr>
                <w:p w14:paraId="6E0175B1">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产品</w:t>
                  </w:r>
                </w:p>
              </w:tc>
            </w:tr>
            <w:tr w14:paraId="2B9D7D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noWrap w:val="0"/>
                  <w:vAlign w:val="center"/>
                </w:tcPr>
                <w:p w14:paraId="540E9ABC">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熔炼</w:t>
                  </w:r>
                </w:p>
              </w:tc>
              <w:tc>
                <w:tcPr>
                  <w:tcW w:w="1086" w:type="dxa"/>
                  <w:noWrap w:val="0"/>
                  <w:vAlign w:val="center"/>
                </w:tcPr>
                <w:p w14:paraId="2B37BFF5">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熔炼炉</w:t>
                  </w:r>
                </w:p>
              </w:tc>
              <w:tc>
                <w:tcPr>
                  <w:tcW w:w="1760" w:type="dxa"/>
                  <w:noWrap w:val="0"/>
                  <w:vAlign w:val="center"/>
                </w:tcPr>
                <w:p w14:paraId="1534E07C">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废耐火材料</w:t>
                  </w:r>
                </w:p>
              </w:tc>
              <w:tc>
                <w:tcPr>
                  <w:tcW w:w="1383" w:type="dxa"/>
                  <w:noWrap w:val="0"/>
                  <w:vAlign w:val="center"/>
                </w:tcPr>
                <w:p w14:paraId="29E1FA60">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900-003-S59</w:t>
                  </w:r>
                </w:p>
              </w:tc>
              <w:tc>
                <w:tcPr>
                  <w:tcW w:w="1485" w:type="dxa"/>
                  <w:noWrap w:val="0"/>
                  <w:vAlign w:val="center"/>
                </w:tcPr>
                <w:p w14:paraId="5CCE21C6">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铝矾土、白云石等</w:t>
                  </w:r>
                </w:p>
              </w:tc>
              <w:tc>
                <w:tcPr>
                  <w:tcW w:w="1065" w:type="dxa"/>
                  <w:noWrap w:val="0"/>
                  <w:vAlign w:val="center"/>
                </w:tcPr>
                <w:p w14:paraId="51EEF57A">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2.0</w:t>
                  </w:r>
                </w:p>
              </w:tc>
              <w:tc>
                <w:tcPr>
                  <w:tcW w:w="1311" w:type="dxa"/>
                  <w:noWrap w:val="0"/>
                  <w:vAlign w:val="center"/>
                </w:tcPr>
                <w:p w14:paraId="0AB1A42E">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分类收集外售处理</w:t>
                  </w:r>
                </w:p>
              </w:tc>
              <w:tc>
                <w:tcPr>
                  <w:tcW w:w="1050" w:type="dxa"/>
                  <w:noWrap w:val="0"/>
                  <w:vAlign w:val="center"/>
                </w:tcPr>
                <w:p w14:paraId="2DE210BC">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2.0</w:t>
                  </w:r>
                </w:p>
              </w:tc>
              <w:tc>
                <w:tcPr>
                  <w:tcW w:w="1625" w:type="dxa"/>
                  <w:noWrap w:val="0"/>
                  <w:vAlign w:val="center"/>
                </w:tcPr>
                <w:p w14:paraId="015E2179">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物资回收单位</w:t>
                  </w:r>
                </w:p>
              </w:tc>
            </w:tr>
            <w:tr w14:paraId="43568C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11" w:type="dxa"/>
                  <w:gridSpan w:val="5"/>
                  <w:noWrap w:val="0"/>
                  <w:vAlign w:val="center"/>
                </w:tcPr>
                <w:p w14:paraId="3038366C">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合计</w:t>
                  </w:r>
                </w:p>
              </w:tc>
              <w:tc>
                <w:tcPr>
                  <w:tcW w:w="1065" w:type="dxa"/>
                  <w:noWrap w:val="0"/>
                  <w:vAlign w:val="center"/>
                </w:tcPr>
                <w:p w14:paraId="39D06EE8">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宋体" w:hAnsi="宋体" w:eastAsia="宋体" w:cs="宋体"/>
                      <w:i w:val="0"/>
                      <w:iCs w:val="0"/>
                      <w:color w:val="auto"/>
                      <w:kern w:val="2"/>
                      <w:sz w:val="22"/>
                      <w:szCs w:val="22"/>
                      <w:u w:val="none"/>
                      <w:lang w:val="en-US" w:eastAsia="zh-CN" w:bidi="ar-SA"/>
                    </w:rPr>
                  </w:pPr>
                  <w:r>
                    <w:rPr>
                      <w:rFonts w:hint="eastAsia" w:ascii="Times New Roman" w:hAnsi="Times New Roman" w:eastAsia="宋体" w:cs="Times New Roman"/>
                      <w:color w:val="auto"/>
                      <w:kern w:val="0"/>
                      <w:sz w:val="22"/>
                      <w:szCs w:val="22"/>
                      <w:lang w:val="en-US" w:eastAsia="zh-CN" w:bidi="ar-SA"/>
                    </w:rPr>
                    <w:t>23305.11</w:t>
                  </w:r>
                </w:p>
              </w:tc>
              <w:tc>
                <w:tcPr>
                  <w:tcW w:w="1311" w:type="dxa"/>
                  <w:noWrap w:val="0"/>
                  <w:vAlign w:val="center"/>
                </w:tcPr>
                <w:p w14:paraId="215D84EC">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w:t>
                  </w:r>
                </w:p>
              </w:tc>
              <w:tc>
                <w:tcPr>
                  <w:tcW w:w="1050" w:type="dxa"/>
                  <w:noWrap w:val="0"/>
                  <w:vAlign w:val="center"/>
                </w:tcPr>
                <w:p w14:paraId="1C890803">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w:t>
                  </w:r>
                </w:p>
              </w:tc>
              <w:tc>
                <w:tcPr>
                  <w:tcW w:w="1625" w:type="dxa"/>
                  <w:noWrap w:val="0"/>
                  <w:vAlign w:val="center"/>
                </w:tcPr>
                <w:p w14:paraId="48B5D95A">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w:t>
                  </w:r>
                </w:p>
              </w:tc>
            </w:tr>
          </w:tbl>
          <w:p w14:paraId="4C5377E8">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Times New Roman"/>
                <w:b/>
                <w:bCs/>
                <w:color w:val="auto"/>
                <w:kern w:val="0"/>
                <w:sz w:val="26"/>
                <w:szCs w:val="26"/>
                <w:highlight w:val="none"/>
                <w:lang w:val="en-US" w:eastAsia="zh-CN"/>
              </w:rPr>
            </w:pPr>
          </w:p>
          <w:p w14:paraId="08361AF6">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Times New Roman"/>
                <w:b/>
                <w:bCs/>
                <w:color w:val="auto"/>
                <w:kern w:val="0"/>
                <w:sz w:val="26"/>
                <w:szCs w:val="26"/>
                <w:highlight w:val="none"/>
                <w:lang w:val="en-US" w:eastAsia="zh-CN"/>
              </w:rPr>
            </w:pPr>
          </w:p>
          <w:p w14:paraId="47CBCC64">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Times New Roman"/>
                <w:b/>
                <w:bCs/>
                <w:color w:val="auto"/>
                <w:kern w:val="0"/>
                <w:sz w:val="26"/>
                <w:szCs w:val="26"/>
                <w:highlight w:val="none"/>
                <w:lang w:val="en-US" w:eastAsia="zh-CN"/>
              </w:rPr>
            </w:pPr>
            <w:r>
              <w:rPr>
                <w:rFonts w:hint="default" w:ascii="Times New Roman" w:hAnsi="Times New Roman" w:eastAsia="宋体" w:cs="Times New Roman"/>
                <w:b/>
                <w:bCs/>
                <w:color w:val="auto"/>
                <w:kern w:val="0"/>
                <w:sz w:val="26"/>
                <w:szCs w:val="26"/>
                <w:highlight w:val="none"/>
                <w:lang w:val="en-US" w:eastAsia="zh-CN"/>
              </w:rPr>
              <w:t>表</w:t>
            </w:r>
            <w:r>
              <w:rPr>
                <w:rFonts w:hint="eastAsia" w:ascii="Times New Roman" w:hAnsi="Times New Roman" w:eastAsia="宋体" w:cs="Times New Roman"/>
                <w:b/>
                <w:bCs/>
                <w:color w:val="auto"/>
                <w:kern w:val="0"/>
                <w:sz w:val="26"/>
                <w:szCs w:val="26"/>
                <w:highlight w:val="none"/>
                <w:lang w:val="en-US" w:eastAsia="zh-CN"/>
              </w:rPr>
              <w:t>4.2-22  本项目</w:t>
            </w:r>
            <w:r>
              <w:rPr>
                <w:rFonts w:hint="default" w:ascii="Times New Roman" w:hAnsi="Times New Roman" w:eastAsia="宋体" w:cs="Times New Roman"/>
                <w:b/>
                <w:bCs/>
                <w:color w:val="auto"/>
                <w:kern w:val="0"/>
                <w:sz w:val="26"/>
                <w:szCs w:val="26"/>
                <w:highlight w:val="none"/>
                <w:lang w:val="en-US" w:eastAsia="zh-CN"/>
              </w:rPr>
              <w:t>危险废物产排情况表</w:t>
            </w:r>
          </w:p>
          <w:tbl>
            <w:tblPr>
              <w:tblStyle w:val="25"/>
              <w:tblW w:w="118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7"/>
              <w:gridCol w:w="1324"/>
              <w:gridCol w:w="1029"/>
              <w:gridCol w:w="1117"/>
              <w:gridCol w:w="1297"/>
              <w:gridCol w:w="1021"/>
              <w:gridCol w:w="772"/>
              <w:gridCol w:w="935"/>
              <w:gridCol w:w="925"/>
              <w:gridCol w:w="908"/>
              <w:gridCol w:w="842"/>
              <w:gridCol w:w="1175"/>
            </w:tblGrid>
            <w:tr w14:paraId="0CDEAD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517" w:type="dxa"/>
                  <w:tcBorders>
                    <w:tl2br w:val="nil"/>
                    <w:tr2bl w:val="nil"/>
                  </w:tcBorders>
                  <w:noWrap w:val="0"/>
                  <w:vAlign w:val="center"/>
                </w:tcPr>
                <w:p w14:paraId="105C0558">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序号</w:t>
                  </w:r>
                </w:p>
              </w:tc>
              <w:tc>
                <w:tcPr>
                  <w:tcW w:w="1324" w:type="dxa"/>
                  <w:tcBorders>
                    <w:tl2br w:val="nil"/>
                    <w:tr2bl w:val="nil"/>
                  </w:tcBorders>
                  <w:noWrap w:val="0"/>
                  <w:vAlign w:val="center"/>
                </w:tcPr>
                <w:p w14:paraId="335B39A8">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危险废物名称</w:t>
                  </w:r>
                </w:p>
              </w:tc>
              <w:tc>
                <w:tcPr>
                  <w:tcW w:w="1029" w:type="dxa"/>
                  <w:tcBorders>
                    <w:tl2br w:val="nil"/>
                    <w:tr2bl w:val="nil"/>
                  </w:tcBorders>
                  <w:noWrap w:val="0"/>
                  <w:vAlign w:val="center"/>
                </w:tcPr>
                <w:p w14:paraId="75B9F5A6">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危险废物类别</w:t>
                  </w:r>
                </w:p>
              </w:tc>
              <w:tc>
                <w:tcPr>
                  <w:tcW w:w="1117" w:type="dxa"/>
                  <w:tcBorders>
                    <w:tl2br w:val="nil"/>
                    <w:tr2bl w:val="nil"/>
                  </w:tcBorders>
                  <w:noWrap w:val="0"/>
                  <w:vAlign w:val="center"/>
                </w:tcPr>
                <w:p w14:paraId="6BCBD6D8">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危险废物代码</w:t>
                  </w:r>
                </w:p>
              </w:tc>
              <w:tc>
                <w:tcPr>
                  <w:tcW w:w="1297" w:type="dxa"/>
                  <w:tcBorders>
                    <w:tl2br w:val="nil"/>
                    <w:tr2bl w:val="nil"/>
                  </w:tcBorders>
                  <w:noWrap w:val="0"/>
                  <w:vAlign w:val="center"/>
                </w:tcPr>
                <w:p w14:paraId="216E882A">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产生量（t/a）</w:t>
                  </w:r>
                </w:p>
              </w:tc>
              <w:tc>
                <w:tcPr>
                  <w:tcW w:w="1021" w:type="dxa"/>
                  <w:tcBorders>
                    <w:tl2br w:val="nil"/>
                    <w:tr2bl w:val="nil"/>
                  </w:tcBorders>
                  <w:noWrap w:val="0"/>
                  <w:vAlign w:val="center"/>
                </w:tcPr>
                <w:p w14:paraId="20C1BF08">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产生工序及装置</w:t>
                  </w:r>
                </w:p>
              </w:tc>
              <w:tc>
                <w:tcPr>
                  <w:tcW w:w="772" w:type="dxa"/>
                  <w:tcBorders>
                    <w:tl2br w:val="nil"/>
                    <w:tr2bl w:val="nil"/>
                  </w:tcBorders>
                  <w:noWrap w:val="0"/>
                  <w:vAlign w:val="center"/>
                </w:tcPr>
                <w:p w14:paraId="165CFC19">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形态</w:t>
                  </w:r>
                </w:p>
              </w:tc>
              <w:tc>
                <w:tcPr>
                  <w:tcW w:w="935" w:type="dxa"/>
                  <w:vMerge w:val="restart"/>
                  <w:tcBorders>
                    <w:tl2br w:val="nil"/>
                    <w:tr2bl w:val="nil"/>
                  </w:tcBorders>
                  <w:noWrap w:val="0"/>
                  <w:vAlign w:val="center"/>
                </w:tcPr>
                <w:p w14:paraId="6106F5B4">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主要</w:t>
                  </w:r>
                </w:p>
                <w:p w14:paraId="065F248A">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成分</w:t>
                  </w:r>
                </w:p>
              </w:tc>
              <w:tc>
                <w:tcPr>
                  <w:tcW w:w="925" w:type="dxa"/>
                  <w:vMerge w:val="restart"/>
                  <w:tcBorders>
                    <w:tl2br w:val="nil"/>
                    <w:tr2bl w:val="nil"/>
                  </w:tcBorders>
                  <w:noWrap w:val="0"/>
                  <w:vAlign w:val="center"/>
                </w:tcPr>
                <w:p w14:paraId="1812D36E">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有害成分</w:t>
                  </w:r>
                </w:p>
              </w:tc>
              <w:tc>
                <w:tcPr>
                  <w:tcW w:w="908" w:type="dxa"/>
                  <w:tcBorders>
                    <w:tl2br w:val="nil"/>
                    <w:tr2bl w:val="nil"/>
                  </w:tcBorders>
                  <w:noWrap w:val="0"/>
                  <w:vAlign w:val="center"/>
                </w:tcPr>
                <w:p w14:paraId="395BE7F3">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产废周期</w:t>
                  </w:r>
                </w:p>
              </w:tc>
              <w:tc>
                <w:tcPr>
                  <w:tcW w:w="842" w:type="dxa"/>
                  <w:tcBorders>
                    <w:tl2br w:val="nil"/>
                    <w:tr2bl w:val="nil"/>
                  </w:tcBorders>
                  <w:noWrap w:val="0"/>
                  <w:vAlign w:val="center"/>
                </w:tcPr>
                <w:p w14:paraId="413729B1">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危险</w:t>
                  </w:r>
                </w:p>
                <w:p w14:paraId="0950803C">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特性</w:t>
                  </w:r>
                </w:p>
              </w:tc>
              <w:tc>
                <w:tcPr>
                  <w:tcW w:w="1175" w:type="dxa"/>
                  <w:vMerge w:val="restart"/>
                  <w:tcBorders>
                    <w:tl2br w:val="nil"/>
                    <w:tr2bl w:val="nil"/>
                  </w:tcBorders>
                  <w:noWrap w:val="0"/>
                  <w:vAlign w:val="center"/>
                </w:tcPr>
                <w:p w14:paraId="255D6682">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污染防治措施</w:t>
                  </w:r>
                </w:p>
              </w:tc>
            </w:tr>
            <w:tr w14:paraId="17394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7" w:type="dxa"/>
                  <w:tcBorders>
                    <w:tl2br w:val="nil"/>
                    <w:tr2bl w:val="nil"/>
                  </w:tcBorders>
                  <w:noWrap w:val="0"/>
                  <w:vAlign w:val="center"/>
                </w:tcPr>
                <w:p w14:paraId="21AF3F73">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1</w:t>
                  </w:r>
                </w:p>
              </w:tc>
              <w:tc>
                <w:tcPr>
                  <w:tcW w:w="1324" w:type="dxa"/>
                  <w:tcBorders>
                    <w:tl2br w:val="nil"/>
                    <w:tr2bl w:val="nil"/>
                  </w:tcBorders>
                  <w:noWrap w:val="0"/>
                  <w:vAlign w:val="center"/>
                </w:tcPr>
                <w:p w14:paraId="61141DA7">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highlight w:val="none"/>
                      <w:lang w:val="en-US" w:eastAsia="zh-CN"/>
                    </w:rPr>
                    <w:t>除尘灰</w:t>
                  </w:r>
                </w:p>
              </w:tc>
              <w:tc>
                <w:tcPr>
                  <w:tcW w:w="1029" w:type="dxa"/>
                  <w:tcBorders>
                    <w:tl2br w:val="nil"/>
                    <w:tr2bl w:val="nil"/>
                  </w:tcBorders>
                  <w:noWrap w:val="0"/>
                  <w:vAlign w:val="center"/>
                </w:tcPr>
                <w:p w14:paraId="679797D2">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HW48</w:t>
                  </w:r>
                </w:p>
              </w:tc>
              <w:tc>
                <w:tcPr>
                  <w:tcW w:w="1117" w:type="dxa"/>
                  <w:tcBorders>
                    <w:tl2br w:val="nil"/>
                    <w:tr2bl w:val="nil"/>
                  </w:tcBorders>
                  <w:noWrap w:val="0"/>
                  <w:vAlign w:val="center"/>
                </w:tcPr>
                <w:p w14:paraId="46BB8A5E">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highlight w:val="none"/>
                      <w:lang w:val="en-US" w:eastAsia="zh-CN"/>
                    </w:rPr>
                    <w:t>321-034-48</w:t>
                  </w:r>
                </w:p>
              </w:tc>
              <w:tc>
                <w:tcPr>
                  <w:tcW w:w="1297" w:type="dxa"/>
                  <w:tcBorders>
                    <w:tl2br w:val="nil"/>
                    <w:tr2bl w:val="nil"/>
                  </w:tcBorders>
                  <w:noWrap w:val="0"/>
                  <w:vAlign w:val="center"/>
                </w:tcPr>
                <w:p w14:paraId="3F42A8A8">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highlight w:val="none"/>
                      <w:lang w:val="en-US" w:eastAsia="zh-CN"/>
                    </w:rPr>
                  </w:pPr>
                  <w:r>
                    <w:rPr>
                      <w:rFonts w:hint="eastAsia" w:ascii="Times New Roman" w:hAnsi="Times New Roman" w:eastAsia="宋体" w:cs="Times New Roman"/>
                      <w:color w:val="auto"/>
                      <w:kern w:val="0"/>
                      <w:sz w:val="22"/>
                      <w:szCs w:val="22"/>
                      <w:highlight w:val="none"/>
                      <w:lang w:val="en-US" w:eastAsia="zh-CN"/>
                    </w:rPr>
                    <w:t>450.184</w:t>
                  </w:r>
                </w:p>
              </w:tc>
              <w:tc>
                <w:tcPr>
                  <w:tcW w:w="1021" w:type="dxa"/>
                  <w:tcBorders>
                    <w:tl2br w:val="nil"/>
                    <w:tr2bl w:val="nil"/>
                  </w:tcBorders>
                  <w:noWrap w:val="0"/>
                  <w:vAlign w:val="center"/>
                </w:tcPr>
                <w:p w14:paraId="0C897C2C">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废气治理</w:t>
                  </w:r>
                </w:p>
              </w:tc>
              <w:tc>
                <w:tcPr>
                  <w:tcW w:w="772" w:type="dxa"/>
                  <w:tcBorders>
                    <w:tl2br w:val="nil"/>
                    <w:tr2bl w:val="nil"/>
                  </w:tcBorders>
                  <w:noWrap w:val="0"/>
                  <w:vAlign w:val="center"/>
                </w:tcPr>
                <w:p w14:paraId="70E66233">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固态</w:t>
                  </w:r>
                </w:p>
              </w:tc>
              <w:tc>
                <w:tcPr>
                  <w:tcW w:w="935" w:type="dxa"/>
                  <w:vMerge w:val="restart"/>
                  <w:tcBorders>
                    <w:tl2br w:val="nil"/>
                    <w:tr2bl w:val="nil"/>
                  </w:tcBorders>
                  <w:noWrap w:val="0"/>
                  <w:vAlign w:val="center"/>
                </w:tcPr>
                <w:p w14:paraId="33C1451B">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Al</w:t>
                  </w:r>
                  <w:r>
                    <w:rPr>
                      <w:rFonts w:hint="default" w:ascii="Times New Roman" w:hAnsi="Times New Roman" w:eastAsia="宋体" w:cs="Times New Roman"/>
                      <w:color w:val="auto"/>
                      <w:kern w:val="0"/>
                      <w:sz w:val="22"/>
                      <w:szCs w:val="22"/>
                      <w:vertAlign w:val="subscript"/>
                      <w:lang w:val="en-US" w:eastAsia="zh-CN" w:bidi="ar-SA"/>
                    </w:rPr>
                    <w:t>2</w:t>
                  </w:r>
                  <w:r>
                    <w:rPr>
                      <w:rFonts w:hint="default" w:ascii="Times New Roman" w:hAnsi="Times New Roman" w:eastAsia="宋体" w:cs="Times New Roman"/>
                      <w:color w:val="auto"/>
                      <w:kern w:val="0"/>
                      <w:sz w:val="22"/>
                      <w:szCs w:val="22"/>
                      <w:lang w:val="en-US" w:eastAsia="zh-CN" w:bidi="ar-SA"/>
                    </w:rPr>
                    <w:t>O</w:t>
                  </w:r>
                  <w:r>
                    <w:rPr>
                      <w:rFonts w:hint="default" w:ascii="Times New Roman" w:hAnsi="Times New Roman" w:eastAsia="宋体" w:cs="Times New Roman"/>
                      <w:color w:val="auto"/>
                      <w:kern w:val="0"/>
                      <w:sz w:val="22"/>
                      <w:szCs w:val="22"/>
                      <w:vertAlign w:val="subscript"/>
                      <w:lang w:val="en-US" w:eastAsia="zh-CN" w:bidi="ar-SA"/>
                    </w:rPr>
                    <w:t>3</w:t>
                  </w:r>
                  <w:r>
                    <w:rPr>
                      <w:rFonts w:hint="default" w:ascii="Times New Roman" w:hAnsi="Times New Roman" w:eastAsia="宋体" w:cs="Times New Roman"/>
                      <w:color w:val="auto"/>
                      <w:kern w:val="0"/>
                      <w:sz w:val="22"/>
                      <w:szCs w:val="22"/>
                      <w:lang w:val="en-US" w:eastAsia="zh-CN" w:bidi="ar-SA"/>
                    </w:rPr>
                    <w:t>、</w:t>
                  </w:r>
                </w:p>
                <w:p w14:paraId="71D3B5DB">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AlN 及其他杂质等</w:t>
                  </w:r>
                </w:p>
                <w:p w14:paraId="3296ADA2">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p>
              </w:tc>
              <w:tc>
                <w:tcPr>
                  <w:tcW w:w="925" w:type="dxa"/>
                  <w:vMerge w:val="restart"/>
                  <w:tcBorders>
                    <w:tl2br w:val="nil"/>
                    <w:tr2bl w:val="nil"/>
                  </w:tcBorders>
                  <w:noWrap w:val="0"/>
                  <w:vAlign w:val="center"/>
                </w:tcPr>
                <w:p w14:paraId="2B30BF85">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Al</w:t>
                  </w:r>
                  <w:r>
                    <w:rPr>
                      <w:rFonts w:hint="default" w:ascii="Times New Roman" w:hAnsi="Times New Roman" w:eastAsia="宋体" w:cs="Times New Roman"/>
                      <w:color w:val="auto"/>
                      <w:kern w:val="0"/>
                      <w:sz w:val="22"/>
                      <w:szCs w:val="22"/>
                      <w:vertAlign w:val="subscript"/>
                      <w:lang w:val="en-US" w:eastAsia="zh-CN" w:bidi="ar-SA"/>
                    </w:rPr>
                    <w:t>2</w:t>
                  </w:r>
                  <w:r>
                    <w:rPr>
                      <w:rFonts w:hint="default" w:ascii="Times New Roman" w:hAnsi="Times New Roman" w:eastAsia="宋体" w:cs="Times New Roman"/>
                      <w:color w:val="auto"/>
                      <w:kern w:val="0"/>
                      <w:sz w:val="22"/>
                      <w:szCs w:val="22"/>
                      <w:lang w:val="en-US" w:eastAsia="zh-CN" w:bidi="ar-SA"/>
                    </w:rPr>
                    <w:t>O</w:t>
                  </w:r>
                  <w:r>
                    <w:rPr>
                      <w:rFonts w:hint="default" w:ascii="Times New Roman" w:hAnsi="Times New Roman" w:eastAsia="宋体" w:cs="Times New Roman"/>
                      <w:color w:val="auto"/>
                      <w:kern w:val="0"/>
                      <w:sz w:val="22"/>
                      <w:szCs w:val="22"/>
                      <w:vertAlign w:val="subscript"/>
                      <w:lang w:val="en-US" w:eastAsia="zh-CN" w:bidi="ar-SA"/>
                    </w:rPr>
                    <w:t>3</w:t>
                  </w:r>
                  <w:r>
                    <w:rPr>
                      <w:rFonts w:hint="default" w:ascii="Times New Roman" w:hAnsi="Times New Roman" w:eastAsia="宋体" w:cs="Times New Roman"/>
                      <w:color w:val="auto"/>
                      <w:kern w:val="0"/>
                      <w:sz w:val="22"/>
                      <w:szCs w:val="22"/>
                      <w:lang w:val="en-US" w:eastAsia="zh-CN" w:bidi="ar-SA"/>
                    </w:rPr>
                    <w:t>、</w:t>
                  </w:r>
                </w:p>
                <w:p w14:paraId="398F7E57">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AlN 及其他杂质等</w:t>
                  </w:r>
                </w:p>
              </w:tc>
              <w:tc>
                <w:tcPr>
                  <w:tcW w:w="908" w:type="dxa"/>
                  <w:tcBorders>
                    <w:tl2br w:val="nil"/>
                    <w:tr2bl w:val="nil"/>
                  </w:tcBorders>
                  <w:noWrap w:val="0"/>
                  <w:vAlign w:val="center"/>
                </w:tcPr>
                <w:p w14:paraId="3B0485F9">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每周</w:t>
                  </w:r>
                </w:p>
              </w:tc>
              <w:tc>
                <w:tcPr>
                  <w:tcW w:w="842" w:type="dxa"/>
                  <w:tcBorders>
                    <w:tl2br w:val="nil"/>
                    <w:tr2bl w:val="nil"/>
                  </w:tcBorders>
                  <w:noWrap w:val="0"/>
                  <w:vAlign w:val="center"/>
                </w:tcPr>
                <w:p w14:paraId="24E8B907">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T，</w:t>
                  </w:r>
                  <w:r>
                    <w:rPr>
                      <w:rFonts w:hint="eastAsia" w:ascii="Times New Roman" w:hAnsi="Times New Roman" w:eastAsia="宋体" w:cs="Times New Roman"/>
                      <w:color w:val="auto"/>
                      <w:kern w:val="0"/>
                      <w:sz w:val="22"/>
                      <w:szCs w:val="22"/>
                      <w:lang w:val="en-US" w:eastAsia="zh-CN" w:bidi="ar-SA"/>
                    </w:rPr>
                    <w:t>R</w:t>
                  </w:r>
                </w:p>
              </w:tc>
              <w:tc>
                <w:tcPr>
                  <w:tcW w:w="1175" w:type="dxa"/>
                  <w:vMerge w:val="restart"/>
                  <w:tcBorders>
                    <w:tl2br w:val="nil"/>
                    <w:tr2bl w:val="nil"/>
                  </w:tcBorders>
                  <w:noWrap w:val="0"/>
                  <w:vAlign w:val="center"/>
                </w:tcPr>
                <w:p w14:paraId="3A6BF095">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收集后暂存于</w:t>
                  </w:r>
                  <w:r>
                    <w:rPr>
                      <w:rFonts w:hint="eastAsia" w:ascii="Times New Roman" w:hAnsi="Times New Roman" w:eastAsia="宋体" w:cs="Times New Roman"/>
                      <w:color w:val="auto"/>
                      <w:kern w:val="0"/>
                      <w:sz w:val="22"/>
                      <w:szCs w:val="22"/>
                      <w:lang w:val="en-US" w:eastAsia="zh-CN" w:bidi="ar-SA"/>
                    </w:rPr>
                    <w:t>危废贮存库</w:t>
                  </w:r>
                  <w:r>
                    <w:rPr>
                      <w:rFonts w:hint="default" w:ascii="Times New Roman" w:hAnsi="Times New Roman" w:eastAsia="宋体" w:cs="Times New Roman"/>
                      <w:color w:val="auto"/>
                      <w:kern w:val="0"/>
                      <w:sz w:val="22"/>
                      <w:szCs w:val="22"/>
                      <w:lang w:val="en-US" w:eastAsia="zh-CN" w:bidi="ar-SA"/>
                    </w:rPr>
                    <w:t>，定期交由有危废处理资质的单位处理</w:t>
                  </w:r>
                </w:p>
              </w:tc>
            </w:tr>
            <w:tr w14:paraId="019CD0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7" w:type="dxa"/>
                  <w:tcBorders>
                    <w:tl2br w:val="nil"/>
                    <w:tr2bl w:val="nil"/>
                  </w:tcBorders>
                  <w:noWrap w:val="0"/>
                  <w:vAlign w:val="center"/>
                </w:tcPr>
                <w:p w14:paraId="7D09BC21">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2</w:t>
                  </w:r>
                </w:p>
              </w:tc>
              <w:tc>
                <w:tcPr>
                  <w:tcW w:w="1324" w:type="dxa"/>
                  <w:tcBorders>
                    <w:tl2br w:val="nil"/>
                    <w:tr2bl w:val="nil"/>
                  </w:tcBorders>
                  <w:noWrap w:val="0"/>
                  <w:vAlign w:val="center"/>
                </w:tcPr>
                <w:p w14:paraId="0C2296DA">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highlight w:val="none"/>
                      <w:lang w:val="en-US" w:eastAsia="zh-CN"/>
                    </w:rPr>
                    <w:t>二次铝灰</w:t>
                  </w:r>
                </w:p>
              </w:tc>
              <w:tc>
                <w:tcPr>
                  <w:tcW w:w="1029" w:type="dxa"/>
                  <w:tcBorders>
                    <w:tl2br w:val="nil"/>
                    <w:tr2bl w:val="nil"/>
                  </w:tcBorders>
                  <w:noWrap w:val="0"/>
                  <w:vAlign w:val="center"/>
                </w:tcPr>
                <w:p w14:paraId="05384397">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HW</w:t>
                  </w:r>
                  <w:r>
                    <w:rPr>
                      <w:rFonts w:hint="eastAsia" w:ascii="Times New Roman" w:hAnsi="Times New Roman" w:eastAsia="宋体" w:cs="Times New Roman"/>
                      <w:color w:val="auto"/>
                      <w:kern w:val="0"/>
                      <w:sz w:val="22"/>
                      <w:szCs w:val="22"/>
                      <w:lang w:val="en-US" w:eastAsia="zh-CN" w:bidi="ar-SA"/>
                    </w:rPr>
                    <w:t>48</w:t>
                  </w:r>
                </w:p>
              </w:tc>
              <w:tc>
                <w:tcPr>
                  <w:tcW w:w="1117" w:type="dxa"/>
                  <w:tcBorders>
                    <w:tl2br w:val="nil"/>
                    <w:tr2bl w:val="nil"/>
                  </w:tcBorders>
                  <w:noWrap w:val="0"/>
                  <w:vAlign w:val="center"/>
                </w:tcPr>
                <w:p w14:paraId="21BEBB25">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highlight w:val="none"/>
                      <w:lang w:val="en-US" w:eastAsia="zh-CN"/>
                    </w:rPr>
                    <w:t>321-026-48</w:t>
                  </w:r>
                </w:p>
              </w:tc>
              <w:tc>
                <w:tcPr>
                  <w:tcW w:w="1297" w:type="dxa"/>
                  <w:tcBorders>
                    <w:tl2br w:val="nil"/>
                    <w:tr2bl w:val="nil"/>
                  </w:tcBorders>
                  <w:noWrap w:val="0"/>
                  <w:vAlign w:val="center"/>
                </w:tcPr>
                <w:p w14:paraId="059A1B39">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highlight w:val="none"/>
                      <w:lang w:val="en-US" w:eastAsia="zh-CN"/>
                    </w:rPr>
                  </w:pPr>
                  <w:r>
                    <w:rPr>
                      <w:rFonts w:hint="eastAsia" w:ascii="Times New Roman" w:hAnsi="Times New Roman" w:eastAsia="宋体" w:cs="Times New Roman"/>
                      <w:color w:val="auto"/>
                      <w:kern w:val="0"/>
                      <w:sz w:val="22"/>
                      <w:szCs w:val="22"/>
                      <w:highlight w:val="none"/>
                      <w:lang w:val="en-US" w:eastAsia="zh-CN"/>
                    </w:rPr>
                    <w:t>2775.384</w:t>
                  </w:r>
                </w:p>
              </w:tc>
              <w:tc>
                <w:tcPr>
                  <w:tcW w:w="1021" w:type="dxa"/>
                  <w:tcBorders>
                    <w:tl2br w:val="nil"/>
                    <w:tr2bl w:val="nil"/>
                  </w:tcBorders>
                  <w:noWrap w:val="0"/>
                  <w:vAlign w:val="center"/>
                </w:tcPr>
                <w:p w14:paraId="30FCB01F">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除渣</w:t>
                  </w:r>
                </w:p>
              </w:tc>
              <w:tc>
                <w:tcPr>
                  <w:tcW w:w="772" w:type="dxa"/>
                  <w:tcBorders>
                    <w:tl2br w:val="nil"/>
                    <w:tr2bl w:val="nil"/>
                  </w:tcBorders>
                  <w:noWrap w:val="0"/>
                  <w:vAlign w:val="center"/>
                </w:tcPr>
                <w:p w14:paraId="101145CF">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固态</w:t>
                  </w:r>
                </w:p>
              </w:tc>
              <w:tc>
                <w:tcPr>
                  <w:tcW w:w="935" w:type="dxa"/>
                  <w:vMerge w:val="continue"/>
                  <w:tcBorders>
                    <w:tl2br w:val="nil"/>
                    <w:tr2bl w:val="nil"/>
                  </w:tcBorders>
                  <w:noWrap w:val="0"/>
                  <w:vAlign w:val="center"/>
                </w:tcPr>
                <w:p w14:paraId="3A384387">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p>
              </w:tc>
              <w:tc>
                <w:tcPr>
                  <w:tcW w:w="925" w:type="dxa"/>
                  <w:vMerge w:val="continue"/>
                  <w:tcBorders>
                    <w:tl2br w:val="nil"/>
                    <w:tr2bl w:val="nil"/>
                  </w:tcBorders>
                  <w:noWrap w:val="0"/>
                  <w:vAlign w:val="center"/>
                </w:tcPr>
                <w:p w14:paraId="41DFF790">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p>
              </w:tc>
              <w:tc>
                <w:tcPr>
                  <w:tcW w:w="908" w:type="dxa"/>
                  <w:tcBorders>
                    <w:tl2br w:val="nil"/>
                    <w:tr2bl w:val="nil"/>
                  </w:tcBorders>
                  <w:noWrap w:val="0"/>
                  <w:vAlign w:val="center"/>
                </w:tcPr>
                <w:p w14:paraId="68534FFE">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每天</w:t>
                  </w:r>
                </w:p>
              </w:tc>
              <w:tc>
                <w:tcPr>
                  <w:tcW w:w="842" w:type="dxa"/>
                  <w:tcBorders>
                    <w:tl2br w:val="nil"/>
                    <w:tr2bl w:val="nil"/>
                  </w:tcBorders>
                  <w:noWrap w:val="0"/>
                  <w:vAlign w:val="center"/>
                </w:tcPr>
                <w:p w14:paraId="7D9B45B7">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R</w:t>
                  </w:r>
                </w:p>
              </w:tc>
              <w:tc>
                <w:tcPr>
                  <w:tcW w:w="1175" w:type="dxa"/>
                  <w:vMerge w:val="continue"/>
                  <w:tcBorders>
                    <w:tl2br w:val="nil"/>
                    <w:tr2bl w:val="nil"/>
                  </w:tcBorders>
                  <w:noWrap w:val="0"/>
                  <w:vAlign w:val="center"/>
                </w:tcPr>
                <w:p w14:paraId="46B5115B">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p>
              </w:tc>
            </w:tr>
            <w:tr w14:paraId="24BED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7" w:type="dxa"/>
                  <w:tcBorders>
                    <w:tl2br w:val="nil"/>
                    <w:tr2bl w:val="nil"/>
                  </w:tcBorders>
                  <w:noWrap w:val="0"/>
                  <w:vAlign w:val="center"/>
                </w:tcPr>
                <w:p w14:paraId="60A35172">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3</w:t>
                  </w:r>
                </w:p>
              </w:tc>
              <w:tc>
                <w:tcPr>
                  <w:tcW w:w="1324" w:type="dxa"/>
                  <w:tcBorders>
                    <w:tl2br w:val="nil"/>
                    <w:tr2bl w:val="nil"/>
                  </w:tcBorders>
                  <w:noWrap w:val="0"/>
                  <w:vAlign w:val="center"/>
                </w:tcPr>
                <w:p w14:paraId="3137B040">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highlight w:val="none"/>
                      <w:lang w:val="en-US" w:eastAsia="zh-CN"/>
                    </w:rPr>
                    <w:t>含</w:t>
                  </w:r>
                  <w:r>
                    <w:rPr>
                      <w:rFonts w:hint="eastAsia" w:ascii="Times New Roman" w:hAnsi="Times New Roman" w:eastAsia="宋体" w:cs="Times New Roman"/>
                      <w:color w:val="auto"/>
                      <w:kern w:val="0"/>
                      <w:sz w:val="22"/>
                      <w:szCs w:val="22"/>
                      <w:highlight w:val="none"/>
                      <w:lang w:val="en-US" w:eastAsia="zh-CN"/>
                    </w:rPr>
                    <w:t>油废铝料</w:t>
                  </w:r>
                </w:p>
              </w:tc>
              <w:tc>
                <w:tcPr>
                  <w:tcW w:w="1029" w:type="dxa"/>
                  <w:tcBorders>
                    <w:tl2br w:val="nil"/>
                    <w:tr2bl w:val="nil"/>
                  </w:tcBorders>
                  <w:noWrap w:val="0"/>
                  <w:vAlign w:val="center"/>
                </w:tcPr>
                <w:p w14:paraId="59C78BB9">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HW</w:t>
                  </w:r>
                  <w:r>
                    <w:rPr>
                      <w:rFonts w:hint="eastAsia" w:ascii="Times New Roman" w:hAnsi="Times New Roman" w:eastAsia="宋体" w:cs="Times New Roman"/>
                      <w:color w:val="auto"/>
                      <w:kern w:val="0"/>
                      <w:sz w:val="22"/>
                      <w:szCs w:val="22"/>
                      <w:lang w:val="en-US" w:eastAsia="zh-CN" w:bidi="ar-SA"/>
                    </w:rPr>
                    <w:t>09</w:t>
                  </w:r>
                </w:p>
              </w:tc>
              <w:tc>
                <w:tcPr>
                  <w:tcW w:w="1117" w:type="dxa"/>
                  <w:tcBorders>
                    <w:tl2br w:val="nil"/>
                    <w:tr2bl w:val="nil"/>
                  </w:tcBorders>
                  <w:noWrap w:val="0"/>
                  <w:vAlign w:val="center"/>
                </w:tcPr>
                <w:p w14:paraId="5F1D807D">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highlight w:val="none"/>
                      <w:lang w:val="en-US" w:eastAsia="zh-CN"/>
                    </w:rPr>
                    <w:t>900-006-09</w:t>
                  </w:r>
                </w:p>
              </w:tc>
              <w:tc>
                <w:tcPr>
                  <w:tcW w:w="1297" w:type="dxa"/>
                  <w:tcBorders>
                    <w:tl2br w:val="nil"/>
                    <w:tr2bl w:val="nil"/>
                  </w:tcBorders>
                  <w:noWrap w:val="0"/>
                  <w:vAlign w:val="center"/>
                </w:tcPr>
                <w:p w14:paraId="75F7F32C">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highlight w:val="none"/>
                      <w:lang w:val="en-US" w:eastAsia="zh-CN"/>
                    </w:rPr>
                  </w:pPr>
                  <w:r>
                    <w:rPr>
                      <w:rFonts w:hint="eastAsia" w:ascii="Times New Roman" w:hAnsi="Times New Roman" w:eastAsia="宋体" w:cs="Times New Roman"/>
                      <w:color w:val="auto"/>
                      <w:kern w:val="0"/>
                      <w:sz w:val="22"/>
                      <w:szCs w:val="22"/>
                      <w:highlight w:val="none"/>
                      <w:lang w:val="en-US" w:eastAsia="zh-CN"/>
                    </w:rPr>
                    <w:t>231.45</w:t>
                  </w:r>
                </w:p>
              </w:tc>
              <w:tc>
                <w:tcPr>
                  <w:tcW w:w="1021" w:type="dxa"/>
                  <w:tcBorders>
                    <w:tl2br w:val="nil"/>
                    <w:tr2bl w:val="nil"/>
                  </w:tcBorders>
                  <w:noWrap w:val="0"/>
                  <w:vAlign w:val="center"/>
                </w:tcPr>
                <w:p w14:paraId="26A97CCC">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机加</w:t>
                  </w:r>
                </w:p>
              </w:tc>
              <w:tc>
                <w:tcPr>
                  <w:tcW w:w="772" w:type="dxa"/>
                  <w:tcBorders>
                    <w:tl2br w:val="nil"/>
                    <w:tr2bl w:val="nil"/>
                  </w:tcBorders>
                  <w:noWrap w:val="0"/>
                  <w:vAlign w:val="center"/>
                </w:tcPr>
                <w:p w14:paraId="795AEB61">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固</w:t>
                  </w:r>
                  <w:r>
                    <w:rPr>
                      <w:rFonts w:hint="eastAsia" w:ascii="Times New Roman" w:hAnsi="Times New Roman" w:eastAsia="宋体" w:cs="Times New Roman"/>
                      <w:color w:val="auto"/>
                      <w:kern w:val="0"/>
                      <w:sz w:val="22"/>
                      <w:szCs w:val="22"/>
                      <w:lang w:val="en-US" w:eastAsia="zh-CN" w:bidi="ar-SA"/>
                    </w:rPr>
                    <w:t>液</w:t>
                  </w:r>
                </w:p>
              </w:tc>
              <w:tc>
                <w:tcPr>
                  <w:tcW w:w="935" w:type="dxa"/>
                  <w:tcBorders>
                    <w:tl2br w:val="nil"/>
                    <w:tr2bl w:val="nil"/>
                  </w:tcBorders>
                  <w:noWrap w:val="0"/>
                  <w:vAlign w:val="center"/>
                </w:tcPr>
                <w:p w14:paraId="59FC4CEB">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铝渣、油</w:t>
                  </w:r>
                </w:p>
              </w:tc>
              <w:tc>
                <w:tcPr>
                  <w:tcW w:w="925" w:type="dxa"/>
                  <w:tcBorders>
                    <w:tl2br w:val="nil"/>
                    <w:tr2bl w:val="nil"/>
                  </w:tcBorders>
                  <w:noWrap w:val="0"/>
                  <w:vAlign w:val="center"/>
                </w:tcPr>
                <w:p w14:paraId="631A7D4A">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油</w:t>
                  </w:r>
                </w:p>
              </w:tc>
              <w:tc>
                <w:tcPr>
                  <w:tcW w:w="908" w:type="dxa"/>
                  <w:tcBorders>
                    <w:tl2br w:val="nil"/>
                    <w:tr2bl w:val="nil"/>
                  </w:tcBorders>
                  <w:noWrap w:val="0"/>
                  <w:vAlign w:val="center"/>
                </w:tcPr>
                <w:p w14:paraId="3C213B90">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每天</w:t>
                  </w:r>
                </w:p>
              </w:tc>
              <w:tc>
                <w:tcPr>
                  <w:tcW w:w="842" w:type="dxa"/>
                  <w:tcBorders>
                    <w:tl2br w:val="nil"/>
                    <w:tr2bl w:val="nil"/>
                  </w:tcBorders>
                  <w:noWrap w:val="0"/>
                  <w:vAlign w:val="center"/>
                </w:tcPr>
                <w:p w14:paraId="3E82E3E1">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T</w:t>
                  </w:r>
                </w:p>
              </w:tc>
              <w:tc>
                <w:tcPr>
                  <w:tcW w:w="1175" w:type="dxa"/>
                  <w:vMerge w:val="continue"/>
                  <w:tcBorders>
                    <w:tl2br w:val="nil"/>
                    <w:tr2bl w:val="nil"/>
                  </w:tcBorders>
                  <w:noWrap w:val="0"/>
                  <w:vAlign w:val="center"/>
                </w:tcPr>
                <w:p w14:paraId="10F45E6A">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p>
              </w:tc>
            </w:tr>
            <w:tr w14:paraId="77D1BD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7" w:type="dxa"/>
                  <w:tcBorders>
                    <w:tl2br w:val="nil"/>
                    <w:tr2bl w:val="nil"/>
                  </w:tcBorders>
                  <w:noWrap w:val="0"/>
                  <w:vAlign w:val="center"/>
                </w:tcPr>
                <w:p w14:paraId="1BCB2842">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4</w:t>
                  </w:r>
                </w:p>
              </w:tc>
              <w:tc>
                <w:tcPr>
                  <w:tcW w:w="1324" w:type="dxa"/>
                  <w:tcBorders>
                    <w:tl2br w:val="nil"/>
                    <w:tr2bl w:val="nil"/>
                  </w:tcBorders>
                  <w:noWrap w:val="0"/>
                  <w:vAlign w:val="center"/>
                </w:tcPr>
                <w:p w14:paraId="3D6C2E10">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废液压油</w:t>
                  </w:r>
                </w:p>
              </w:tc>
              <w:tc>
                <w:tcPr>
                  <w:tcW w:w="1029" w:type="dxa"/>
                  <w:tcBorders>
                    <w:tl2br w:val="nil"/>
                    <w:tr2bl w:val="nil"/>
                  </w:tcBorders>
                  <w:noWrap w:val="0"/>
                  <w:vAlign w:val="center"/>
                </w:tcPr>
                <w:p w14:paraId="3004A94A">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HW</w:t>
                  </w:r>
                  <w:r>
                    <w:rPr>
                      <w:rFonts w:hint="eastAsia" w:ascii="Times New Roman" w:hAnsi="Times New Roman" w:eastAsia="宋体" w:cs="Times New Roman"/>
                      <w:color w:val="auto"/>
                      <w:kern w:val="0"/>
                      <w:sz w:val="22"/>
                      <w:szCs w:val="22"/>
                      <w:lang w:val="en-US" w:eastAsia="zh-CN" w:bidi="ar-SA"/>
                    </w:rPr>
                    <w:t>08</w:t>
                  </w:r>
                </w:p>
              </w:tc>
              <w:tc>
                <w:tcPr>
                  <w:tcW w:w="1117" w:type="dxa"/>
                  <w:tcBorders>
                    <w:tl2br w:val="nil"/>
                    <w:tr2bl w:val="nil"/>
                  </w:tcBorders>
                  <w:noWrap w:val="0"/>
                  <w:vAlign w:val="center"/>
                </w:tcPr>
                <w:p w14:paraId="74D7C0CC">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highlight w:val="none"/>
                      <w:lang w:val="en-US" w:eastAsia="zh-CN"/>
                    </w:rPr>
                    <w:t>900-218-08</w:t>
                  </w:r>
                </w:p>
              </w:tc>
              <w:tc>
                <w:tcPr>
                  <w:tcW w:w="1297" w:type="dxa"/>
                  <w:tcBorders>
                    <w:tl2br w:val="nil"/>
                    <w:tr2bl w:val="nil"/>
                  </w:tcBorders>
                  <w:noWrap w:val="0"/>
                  <w:vAlign w:val="center"/>
                </w:tcPr>
                <w:p w14:paraId="1C06AFCC">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1.0</w:t>
                  </w:r>
                </w:p>
              </w:tc>
              <w:tc>
                <w:tcPr>
                  <w:tcW w:w="1021" w:type="dxa"/>
                  <w:tcBorders>
                    <w:tl2br w:val="nil"/>
                    <w:tr2bl w:val="nil"/>
                  </w:tcBorders>
                  <w:noWrap w:val="0"/>
                  <w:vAlign w:val="center"/>
                </w:tcPr>
                <w:p w14:paraId="42D3E785">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液压设备</w:t>
                  </w:r>
                </w:p>
              </w:tc>
              <w:tc>
                <w:tcPr>
                  <w:tcW w:w="772" w:type="dxa"/>
                  <w:tcBorders>
                    <w:tl2br w:val="nil"/>
                    <w:tr2bl w:val="nil"/>
                  </w:tcBorders>
                  <w:noWrap w:val="0"/>
                  <w:vAlign w:val="center"/>
                </w:tcPr>
                <w:p w14:paraId="5ADE91EA">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液</w:t>
                  </w:r>
                  <w:r>
                    <w:rPr>
                      <w:rFonts w:hint="default" w:ascii="Times New Roman" w:hAnsi="Times New Roman" w:eastAsia="宋体" w:cs="Times New Roman"/>
                      <w:color w:val="auto"/>
                      <w:kern w:val="0"/>
                      <w:sz w:val="22"/>
                      <w:szCs w:val="22"/>
                      <w:lang w:val="en-US" w:eastAsia="zh-CN" w:bidi="ar-SA"/>
                    </w:rPr>
                    <w:t>态</w:t>
                  </w:r>
                </w:p>
              </w:tc>
              <w:tc>
                <w:tcPr>
                  <w:tcW w:w="935" w:type="dxa"/>
                  <w:tcBorders>
                    <w:tl2br w:val="nil"/>
                    <w:tr2bl w:val="nil"/>
                  </w:tcBorders>
                  <w:noWrap w:val="0"/>
                  <w:vAlign w:val="center"/>
                </w:tcPr>
                <w:p w14:paraId="466720E3">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油</w:t>
                  </w:r>
                </w:p>
              </w:tc>
              <w:tc>
                <w:tcPr>
                  <w:tcW w:w="925" w:type="dxa"/>
                  <w:tcBorders>
                    <w:tl2br w:val="nil"/>
                    <w:tr2bl w:val="nil"/>
                  </w:tcBorders>
                  <w:noWrap w:val="0"/>
                  <w:vAlign w:val="center"/>
                </w:tcPr>
                <w:p w14:paraId="55A32512">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油</w:t>
                  </w:r>
                </w:p>
              </w:tc>
              <w:tc>
                <w:tcPr>
                  <w:tcW w:w="908" w:type="dxa"/>
                  <w:tcBorders>
                    <w:tl2br w:val="nil"/>
                    <w:tr2bl w:val="nil"/>
                  </w:tcBorders>
                  <w:noWrap w:val="0"/>
                  <w:vAlign w:val="center"/>
                </w:tcPr>
                <w:p w14:paraId="63ECB218">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每周</w:t>
                  </w:r>
                </w:p>
              </w:tc>
              <w:tc>
                <w:tcPr>
                  <w:tcW w:w="842" w:type="dxa"/>
                  <w:tcBorders>
                    <w:tl2br w:val="nil"/>
                    <w:tr2bl w:val="nil"/>
                  </w:tcBorders>
                  <w:noWrap w:val="0"/>
                  <w:vAlign w:val="center"/>
                </w:tcPr>
                <w:p w14:paraId="7D351C71">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T，I</w:t>
                  </w:r>
                </w:p>
              </w:tc>
              <w:tc>
                <w:tcPr>
                  <w:tcW w:w="1175" w:type="dxa"/>
                  <w:vMerge w:val="continue"/>
                  <w:tcBorders>
                    <w:tl2br w:val="nil"/>
                    <w:tr2bl w:val="nil"/>
                  </w:tcBorders>
                  <w:noWrap w:val="0"/>
                  <w:vAlign w:val="center"/>
                </w:tcPr>
                <w:p w14:paraId="4DFB46D4">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p>
              </w:tc>
            </w:tr>
            <w:tr w14:paraId="2EE4AF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7" w:type="dxa"/>
                  <w:tcBorders>
                    <w:tl2br w:val="nil"/>
                    <w:tr2bl w:val="nil"/>
                  </w:tcBorders>
                  <w:noWrap w:val="0"/>
                  <w:vAlign w:val="center"/>
                </w:tcPr>
                <w:p w14:paraId="2336880A">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5</w:t>
                  </w:r>
                </w:p>
              </w:tc>
              <w:tc>
                <w:tcPr>
                  <w:tcW w:w="1324" w:type="dxa"/>
                  <w:tcBorders>
                    <w:tl2br w:val="nil"/>
                    <w:tr2bl w:val="nil"/>
                  </w:tcBorders>
                  <w:noWrap w:val="0"/>
                  <w:vAlign w:val="center"/>
                </w:tcPr>
                <w:p w14:paraId="5F41733D">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highlight w:val="none"/>
                      <w:lang w:val="en-US" w:eastAsia="zh-CN"/>
                    </w:rPr>
                    <w:t>废弃的含油抹布、劳保用品</w:t>
                  </w:r>
                </w:p>
              </w:tc>
              <w:tc>
                <w:tcPr>
                  <w:tcW w:w="1029" w:type="dxa"/>
                  <w:tcBorders>
                    <w:tl2br w:val="nil"/>
                    <w:tr2bl w:val="nil"/>
                  </w:tcBorders>
                  <w:noWrap w:val="0"/>
                  <w:vAlign w:val="center"/>
                </w:tcPr>
                <w:p w14:paraId="6CA7E524">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HW</w:t>
                  </w:r>
                  <w:r>
                    <w:rPr>
                      <w:rFonts w:hint="eastAsia" w:ascii="Times New Roman" w:hAnsi="Times New Roman" w:eastAsia="宋体" w:cs="Times New Roman"/>
                      <w:color w:val="auto"/>
                      <w:kern w:val="0"/>
                      <w:sz w:val="22"/>
                      <w:szCs w:val="22"/>
                      <w:lang w:val="en-US" w:eastAsia="zh-CN" w:bidi="ar-SA"/>
                    </w:rPr>
                    <w:t>49</w:t>
                  </w:r>
                </w:p>
              </w:tc>
              <w:tc>
                <w:tcPr>
                  <w:tcW w:w="1117" w:type="dxa"/>
                  <w:tcBorders>
                    <w:tl2br w:val="nil"/>
                    <w:tr2bl w:val="nil"/>
                  </w:tcBorders>
                  <w:noWrap w:val="0"/>
                  <w:vAlign w:val="center"/>
                </w:tcPr>
                <w:p w14:paraId="6077284E">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900-041-49</w:t>
                  </w:r>
                </w:p>
              </w:tc>
              <w:tc>
                <w:tcPr>
                  <w:tcW w:w="1297" w:type="dxa"/>
                  <w:tcBorders>
                    <w:tl2br w:val="nil"/>
                    <w:tr2bl w:val="nil"/>
                  </w:tcBorders>
                  <w:noWrap w:val="0"/>
                  <w:vAlign w:val="center"/>
                </w:tcPr>
                <w:p w14:paraId="0F00783E">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0.3</w:t>
                  </w:r>
                </w:p>
              </w:tc>
              <w:tc>
                <w:tcPr>
                  <w:tcW w:w="1021" w:type="dxa"/>
                  <w:tcBorders>
                    <w:tl2br w:val="nil"/>
                    <w:tr2bl w:val="nil"/>
                  </w:tcBorders>
                  <w:noWrap w:val="0"/>
                  <w:vAlign w:val="center"/>
                </w:tcPr>
                <w:p w14:paraId="42FE1D0F">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劳保</w:t>
                  </w:r>
                </w:p>
              </w:tc>
              <w:tc>
                <w:tcPr>
                  <w:tcW w:w="772" w:type="dxa"/>
                  <w:tcBorders>
                    <w:tl2br w:val="nil"/>
                    <w:tr2bl w:val="nil"/>
                  </w:tcBorders>
                  <w:noWrap w:val="0"/>
                  <w:vAlign w:val="center"/>
                </w:tcPr>
                <w:p w14:paraId="37CA7A8B">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固态</w:t>
                  </w:r>
                </w:p>
              </w:tc>
              <w:tc>
                <w:tcPr>
                  <w:tcW w:w="935" w:type="dxa"/>
                  <w:tcBorders>
                    <w:tl2br w:val="nil"/>
                    <w:tr2bl w:val="nil"/>
                  </w:tcBorders>
                  <w:noWrap w:val="0"/>
                  <w:vAlign w:val="center"/>
                </w:tcPr>
                <w:p w14:paraId="019B86D2">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纤维、油</w:t>
                  </w:r>
                </w:p>
              </w:tc>
              <w:tc>
                <w:tcPr>
                  <w:tcW w:w="925" w:type="dxa"/>
                  <w:tcBorders>
                    <w:tl2br w:val="nil"/>
                    <w:tr2bl w:val="nil"/>
                  </w:tcBorders>
                  <w:noWrap w:val="0"/>
                  <w:vAlign w:val="center"/>
                </w:tcPr>
                <w:p w14:paraId="08974A95">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油</w:t>
                  </w:r>
                </w:p>
              </w:tc>
              <w:tc>
                <w:tcPr>
                  <w:tcW w:w="908" w:type="dxa"/>
                  <w:tcBorders>
                    <w:tl2br w:val="nil"/>
                    <w:tr2bl w:val="nil"/>
                  </w:tcBorders>
                  <w:noWrap w:val="0"/>
                  <w:vAlign w:val="center"/>
                </w:tcPr>
                <w:p w14:paraId="190E23CB">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不定期</w:t>
                  </w:r>
                </w:p>
              </w:tc>
              <w:tc>
                <w:tcPr>
                  <w:tcW w:w="842" w:type="dxa"/>
                  <w:tcBorders>
                    <w:tl2br w:val="nil"/>
                    <w:tr2bl w:val="nil"/>
                  </w:tcBorders>
                  <w:noWrap w:val="0"/>
                  <w:vAlign w:val="center"/>
                </w:tcPr>
                <w:p w14:paraId="4A8DBDF0">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T</w:t>
                  </w:r>
                  <w:r>
                    <w:rPr>
                      <w:rFonts w:hint="eastAsia" w:ascii="Times New Roman" w:hAnsi="Times New Roman" w:eastAsia="宋体" w:cs="Times New Roman"/>
                      <w:color w:val="auto"/>
                      <w:kern w:val="0"/>
                      <w:sz w:val="22"/>
                      <w:szCs w:val="22"/>
                      <w:lang w:val="en-US" w:eastAsia="zh-CN" w:bidi="ar-SA"/>
                    </w:rPr>
                    <w:t>/In</w:t>
                  </w:r>
                </w:p>
              </w:tc>
              <w:tc>
                <w:tcPr>
                  <w:tcW w:w="1175" w:type="dxa"/>
                  <w:vMerge w:val="continue"/>
                  <w:tcBorders>
                    <w:tl2br w:val="nil"/>
                    <w:tr2bl w:val="nil"/>
                  </w:tcBorders>
                  <w:noWrap w:val="0"/>
                  <w:vAlign w:val="center"/>
                </w:tcPr>
                <w:p w14:paraId="01577991">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p>
              </w:tc>
            </w:tr>
            <w:tr w14:paraId="7D8BA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7" w:type="dxa"/>
                  <w:tcBorders>
                    <w:tl2br w:val="nil"/>
                    <w:tr2bl w:val="nil"/>
                  </w:tcBorders>
                  <w:noWrap w:val="0"/>
                  <w:vAlign w:val="center"/>
                </w:tcPr>
                <w:p w14:paraId="0C08702C">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6</w:t>
                  </w:r>
                </w:p>
              </w:tc>
              <w:tc>
                <w:tcPr>
                  <w:tcW w:w="1324" w:type="dxa"/>
                  <w:tcBorders>
                    <w:tl2br w:val="nil"/>
                    <w:tr2bl w:val="nil"/>
                  </w:tcBorders>
                  <w:noWrap w:val="0"/>
                  <w:vAlign w:val="center"/>
                </w:tcPr>
                <w:p w14:paraId="479DF3B7">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空压机含油废液</w:t>
                  </w:r>
                </w:p>
              </w:tc>
              <w:tc>
                <w:tcPr>
                  <w:tcW w:w="1029" w:type="dxa"/>
                  <w:tcBorders>
                    <w:tl2br w:val="nil"/>
                    <w:tr2bl w:val="nil"/>
                  </w:tcBorders>
                  <w:noWrap w:val="0"/>
                  <w:vAlign w:val="center"/>
                </w:tcPr>
                <w:p w14:paraId="2A548630">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HW09</w:t>
                  </w:r>
                </w:p>
              </w:tc>
              <w:tc>
                <w:tcPr>
                  <w:tcW w:w="1117" w:type="dxa"/>
                  <w:tcBorders>
                    <w:tl2br w:val="nil"/>
                    <w:tr2bl w:val="nil"/>
                  </w:tcBorders>
                  <w:noWrap w:val="0"/>
                  <w:vAlign w:val="center"/>
                </w:tcPr>
                <w:p w14:paraId="3BE9E178">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900-007-09</w:t>
                  </w:r>
                </w:p>
              </w:tc>
              <w:tc>
                <w:tcPr>
                  <w:tcW w:w="1297" w:type="dxa"/>
                  <w:tcBorders>
                    <w:tl2br w:val="nil"/>
                    <w:tr2bl w:val="nil"/>
                  </w:tcBorders>
                  <w:noWrap w:val="0"/>
                  <w:vAlign w:val="center"/>
                </w:tcPr>
                <w:p w14:paraId="5009ECA3">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0.4</w:t>
                  </w:r>
                </w:p>
              </w:tc>
              <w:tc>
                <w:tcPr>
                  <w:tcW w:w="1021" w:type="dxa"/>
                  <w:tcBorders>
                    <w:tl2br w:val="nil"/>
                    <w:tr2bl w:val="nil"/>
                  </w:tcBorders>
                  <w:noWrap w:val="0"/>
                  <w:vAlign w:val="center"/>
                </w:tcPr>
                <w:p w14:paraId="1902175C">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空压机</w:t>
                  </w:r>
                </w:p>
              </w:tc>
              <w:tc>
                <w:tcPr>
                  <w:tcW w:w="772" w:type="dxa"/>
                  <w:tcBorders>
                    <w:tl2br w:val="nil"/>
                    <w:tr2bl w:val="nil"/>
                  </w:tcBorders>
                  <w:noWrap w:val="0"/>
                  <w:vAlign w:val="center"/>
                </w:tcPr>
                <w:p w14:paraId="5E27F6DB">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液态</w:t>
                  </w:r>
                </w:p>
              </w:tc>
              <w:tc>
                <w:tcPr>
                  <w:tcW w:w="935" w:type="dxa"/>
                  <w:tcBorders>
                    <w:tl2br w:val="nil"/>
                    <w:tr2bl w:val="nil"/>
                  </w:tcBorders>
                  <w:noWrap w:val="0"/>
                  <w:vAlign w:val="center"/>
                </w:tcPr>
                <w:p w14:paraId="60CB1749">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水、油</w:t>
                  </w:r>
                </w:p>
              </w:tc>
              <w:tc>
                <w:tcPr>
                  <w:tcW w:w="925" w:type="dxa"/>
                  <w:tcBorders>
                    <w:tl2br w:val="nil"/>
                    <w:tr2bl w:val="nil"/>
                  </w:tcBorders>
                  <w:noWrap w:val="0"/>
                  <w:vAlign w:val="center"/>
                </w:tcPr>
                <w:p w14:paraId="716511E8">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油</w:t>
                  </w:r>
                </w:p>
              </w:tc>
              <w:tc>
                <w:tcPr>
                  <w:tcW w:w="908" w:type="dxa"/>
                  <w:tcBorders>
                    <w:tl2br w:val="nil"/>
                    <w:tr2bl w:val="nil"/>
                  </w:tcBorders>
                  <w:noWrap w:val="0"/>
                  <w:vAlign w:val="center"/>
                </w:tcPr>
                <w:p w14:paraId="27FC7278">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每天</w:t>
                  </w:r>
                </w:p>
              </w:tc>
              <w:tc>
                <w:tcPr>
                  <w:tcW w:w="842" w:type="dxa"/>
                  <w:tcBorders>
                    <w:tl2br w:val="nil"/>
                    <w:tr2bl w:val="nil"/>
                  </w:tcBorders>
                  <w:noWrap w:val="0"/>
                  <w:vAlign w:val="center"/>
                </w:tcPr>
                <w:p w14:paraId="60F46CD0">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T</w:t>
                  </w:r>
                </w:p>
              </w:tc>
              <w:tc>
                <w:tcPr>
                  <w:tcW w:w="1175" w:type="dxa"/>
                  <w:vMerge w:val="continue"/>
                  <w:tcBorders>
                    <w:tl2br w:val="nil"/>
                    <w:tr2bl w:val="nil"/>
                  </w:tcBorders>
                  <w:noWrap w:val="0"/>
                  <w:vAlign w:val="center"/>
                </w:tcPr>
                <w:p w14:paraId="7E9546FA">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p>
              </w:tc>
            </w:tr>
            <w:tr w14:paraId="23F57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17" w:type="dxa"/>
                  <w:tcBorders>
                    <w:tl2br w:val="nil"/>
                    <w:tr2bl w:val="nil"/>
                  </w:tcBorders>
                  <w:noWrap w:val="0"/>
                  <w:vAlign w:val="center"/>
                </w:tcPr>
                <w:p w14:paraId="19D23A9D">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7</w:t>
                  </w:r>
                </w:p>
              </w:tc>
              <w:tc>
                <w:tcPr>
                  <w:tcW w:w="1324" w:type="dxa"/>
                  <w:tcBorders>
                    <w:tl2br w:val="nil"/>
                    <w:tr2bl w:val="nil"/>
                  </w:tcBorders>
                  <w:noWrap w:val="0"/>
                  <w:vAlign w:val="center"/>
                </w:tcPr>
                <w:p w14:paraId="0A21DF80">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废油桶</w:t>
                  </w:r>
                </w:p>
              </w:tc>
              <w:tc>
                <w:tcPr>
                  <w:tcW w:w="1029" w:type="dxa"/>
                  <w:tcBorders>
                    <w:tl2br w:val="nil"/>
                    <w:tr2bl w:val="nil"/>
                  </w:tcBorders>
                  <w:noWrap w:val="0"/>
                  <w:vAlign w:val="center"/>
                </w:tcPr>
                <w:p w14:paraId="385C47B7">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HW</w:t>
                  </w:r>
                  <w:r>
                    <w:rPr>
                      <w:rFonts w:hint="eastAsia" w:ascii="Times New Roman" w:hAnsi="Times New Roman" w:eastAsia="宋体" w:cs="Times New Roman"/>
                      <w:color w:val="auto"/>
                      <w:kern w:val="0"/>
                      <w:sz w:val="22"/>
                      <w:szCs w:val="22"/>
                      <w:lang w:val="en-US" w:eastAsia="zh-CN" w:bidi="ar-SA"/>
                    </w:rPr>
                    <w:t>49</w:t>
                  </w:r>
                </w:p>
              </w:tc>
              <w:tc>
                <w:tcPr>
                  <w:tcW w:w="1117" w:type="dxa"/>
                  <w:tcBorders>
                    <w:tl2br w:val="nil"/>
                    <w:tr2bl w:val="nil"/>
                  </w:tcBorders>
                  <w:noWrap w:val="0"/>
                  <w:vAlign w:val="center"/>
                </w:tcPr>
                <w:p w14:paraId="4F93794B">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900-041-49</w:t>
                  </w:r>
                </w:p>
              </w:tc>
              <w:tc>
                <w:tcPr>
                  <w:tcW w:w="1297" w:type="dxa"/>
                  <w:tcBorders>
                    <w:tl2br w:val="nil"/>
                    <w:tr2bl w:val="nil"/>
                  </w:tcBorders>
                  <w:noWrap w:val="0"/>
                  <w:vAlign w:val="center"/>
                </w:tcPr>
                <w:p w14:paraId="3754C837">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0.3</w:t>
                  </w:r>
                </w:p>
              </w:tc>
              <w:tc>
                <w:tcPr>
                  <w:tcW w:w="1021" w:type="dxa"/>
                  <w:tcBorders>
                    <w:tl2br w:val="nil"/>
                    <w:tr2bl w:val="nil"/>
                  </w:tcBorders>
                  <w:noWrap w:val="0"/>
                  <w:vAlign w:val="center"/>
                </w:tcPr>
                <w:p w14:paraId="0DF4A498">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w:t>
                  </w:r>
                </w:p>
              </w:tc>
              <w:tc>
                <w:tcPr>
                  <w:tcW w:w="772" w:type="dxa"/>
                  <w:tcBorders>
                    <w:tl2br w:val="nil"/>
                    <w:tr2bl w:val="nil"/>
                  </w:tcBorders>
                  <w:noWrap w:val="0"/>
                  <w:vAlign w:val="center"/>
                </w:tcPr>
                <w:p w14:paraId="3C1E573B">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固态</w:t>
                  </w:r>
                </w:p>
              </w:tc>
              <w:tc>
                <w:tcPr>
                  <w:tcW w:w="935" w:type="dxa"/>
                  <w:tcBorders>
                    <w:tl2br w:val="nil"/>
                    <w:tr2bl w:val="nil"/>
                  </w:tcBorders>
                  <w:noWrap w:val="0"/>
                  <w:vAlign w:val="center"/>
                </w:tcPr>
                <w:p w14:paraId="3C9C32BA">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油</w:t>
                  </w:r>
                </w:p>
              </w:tc>
              <w:tc>
                <w:tcPr>
                  <w:tcW w:w="925" w:type="dxa"/>
                  <w:tcBorders>
                    <w:tl2br w:val="nil"/>
                    <w:tr2bl w:val="nil"/>
                  </w:tcBorders>
                  <w:noWrap w:val="0"/>
                  <w:vAlign w:val="center"/>
                </w:tcPr>
                <w:p w14:paraId="5F96EE11">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油</w:t>
                  </w:r>
                </w:p>
              </w:tc>
              <w:tc>
                <w:tcPr>
                  <w:tcW w:w="908" w:type="dxa"/>
                  <w:tcBorders>
                    <w:tl2br w:val="nil"/>
                    <w:tr2bl w:val="nil"/>
                  </w:tcBorders>
                  <w:noWrap w:val="0"/>
                  <w:vAlign w:val="center"/>
                </w:tcPr>
                <w:p w14:paraId="727F603C">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不定期</w:t>
                  </w:r>
                </w:p>
              </w:tc>
              <w:tc>
                <w:tcPr>
                  <w:tcW w:w="842" w:type="dxa"/>
                  <w:tcBorders>
                    <w:tl2br w:val="nil"/>
                    <w:tr2bl w:val="nil"/>
                  </w:tcBorders>
                  <w:noWrap w:val="0"/>
                  <w:vAlign w:val="center"/>
                </w:tcPr>
                <w:p w14:paraId="70E7D3F6">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szCs w:val="22"/>
                      <w:lang w:val="en-US" w:eastAsia="zh-CN" w:bidi="ar-SA"/>
                    </w:rPr>
                    <w:t>T</w:t>
                  </w:r>
                  <w:r>
                    <w:rPr>
                      <w:rFonts w:hint="eastAsia" w:ascii="Times New Roman" w:hAnsi="Times New Roman" w:eastAsia="宋体" w:cs="Times New Roman"/>
                      <w:color w:val="auto"/>
                      <w:kern w:val="0"/>
                      <w:sz w:val="22"/>
                      <w:szCs w:val="22"/>
                      <w:lang w:val="en-US" w:eastAsia="zh-CN" w:bidi="ar-SA"/>
                    </w:rPr>
                    <w:t>/In</w:t>
                  </w:r>
                </w:p>
              </w:tc>
              <w:tc>
                <w:tcPr>
                  <w:tcW w:w="1175" w:type="dxa"/>
                  <w:vMerge w:val="continue"/>
                  <w:tcBorders>
                    <w:tl2br w:val="nil"/>
                    <w:tr2bl w:val="nil"/>
                  </w:tcBorders>
                  <w:noWrap w:val="0"/>
                  <w:vAlign w:val="center"/>
                </w:tcPr>
                <w:p w14:paraId="28C1CAE6">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p>
              </w:tc>
            </w:tr>
            <w:tr w14:paraId="55A28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87" w:type="dxa"/>
                  <w:gridSpan w:val="4"/>
                  <w:tcBorders>
                    <w:tl2br w:val="nil"/>
                    <w:tr2bl w:val="nil"/>
                  </w:tcBorders>
                  <w:noWrap w:val="0"/>
                  <w:vAlign w:val="center"/>
                </w:tcPr>
                <w:p w14:paraId="544F60FC">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合计</w:t>
                  </w:r>
                </w:p>
              </w:tc>
              <w:tc>
                <w:tcPr>
                  <w:tcW w:w="1297" w:type="dxa"/>
                  <w:tcBorders>
                    <w:tl2br w:val="nil"/>
                    <w:tr2bl w:val="nil"/>
                  </w:tcBorders>
                  <w:noWrap w:val="0"/>
                  <w:vAlign w:val="center"/>
                </w:tcPr>
                <w:p w14:paraId="04779B58">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3459.018</w:t>
                  </w:r>
                </w:p>
              </w:tc>
              <w:tc>
                <w:tcPr>
                  <w:tcW w:w="1021" w:type="dxa"/>
                  <w:tcBorders>
                    <w:tl2br w:val="nil"/>
                    <w:tr2bl w:val="nil"/>
                  </w:tcBorders>
                  <w:noWrap w:val="0"/>
                  <w:vAlign w:val="center"/>
                </w:tcPr>
                <w:p w14:paraId="697304E3">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w:t>
                  </w:r>
                </w:p>
              </w:tc>
              <w:tc>
                <w:tcPr>
                  <w:tcW w:w="772" w:type="dxa"/>
                  <w:tcBorders>
                    <w:tl2br w:val="nil"/>
                    <w:tr2bl w:val="nil"/>
                  </w:tcBorders>
                  <w:noWrap w:val="0"/>
                  <w:vAlign w:val="center"/>
                </w:tcPr>
                <w:p w14:paraId="0C3A9B4B">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w:t>
                  </w:r>
                </w:p>
              </w:tc>
              <w:tc>
                <w:tcPr>
                  <w:tcW w:w="935" w:type="dxa"/>
                  <w:tcBorders>
                    <w:tl2br w:val="nil"/>
                    <w:tr2bl w:val="nil"/>
                  </w:tcBorders>
                  <w:noWrap w:val="0"/>
                  <w:vAlign w:val="center"/>
                </w:tcPr>
                <w:p w14:paraId="189ADACA">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w:t>
                  </w:r>
                </w:p>
              </w:tc>
              <w:tc>
                <w:tcPr>
                  <w:tcW w:w="925" w:type="dxa"/>
                  <w:tcBorders>
                    <w:tl2br w:val="nil"/>
                    <w:tr2bl w:val="nil"/>
                  </w:tcBorders>
                  <w:noWrap w:val="0"/>
                  <w:vAlign w:val="center"/>
                </w:tcPr>
                <w:p w14:paraId="7C780A96">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w:t>
                  </w:r>
                </w:p>
              </w:tc>
              <w:tc>
                <w:tcPr>
                  <w:tcW w:w="908" w:type="dxa"/>
                  <w:tcBorders>
                    <w:tl2br w:val="nil"/>
                    <w:tr2bl w:val="nil"/>
                  </w:tcBorders>
                  <w:noWrap w:val="0"/>
                  <w:vAlign w:val="center"/>
                </w:tcPr>
                <w:p w14:paraId="7826C486">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w:t>
                  </w:r>
                </w:p>
              </w:tc>
              <w:tc>
                <w:tcPr>
                  <w:tcW w:w="842" w:type="dxa"/>
                  <w:tcBorders>
                    <w:tl2br w:val="nil"/>
                    <w:tr2bl w:val="nil"/>
                  </w:tcBorders>
                  <w:noWrap w:val="0"/>
                  <w:vAlign w:val="center"/>
                </w:tcPr>
                <w:p w14:paraId="75725622">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w:t>
                  </w:r>
                </w:p>
              </w:tc>
              <w:tc>
                <w:tcPr>
                  <w:tcW w:w="1175" w:type="dxa"/>
                  <w:tcBorders>
                    <w:tl2br w:val="nil"/>
                    <w:tr2bl w:val="nil"/>
                  </w:tcBorders>
                  <w:noWrap w:val="0"/>
                  <w:vAlign w:val="center"/>
                </w:tcPr>
                <w:p w14:paraId="1E3F9793">
                  <w:pPr>
                    <w:keepNext w:val="0"/>
                    <w:keepLines w:val="0"/>
                    <w:pageBreakBefore w:val="0"/>
                    <w:widowControl w:val="0"/>
                    <w:kinsoku/>
                    <w:wordWrap/>
                    <w:overflowPunct/>
                    <w:topLinePunct/>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w:t>
                  </w:r>
                </w:p>
              </w:tc>
            </w:tr>
          </w:tbl>
          <w:p w14:paraId="1D078C28">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Times New Roman"/>
                <w:b/>
                <w:bCs/>
                <w:color w:val="auto"/>
                <w:kern w:val="0"/>
                <w:sz w:val="26"/>
                <w:szCs w:val="26"/>
                <w:highlight w:val="none"/>
                <w:lang w:val="en-US" w:eastAsia="zh-CN"/>
              </w:rPr>
            </w:pPr>
          </w:p>
          <w:p w14:paraId="5FE9200F">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Times New Roman"/>
                <w:b/>
                <w:bCs/>
                <w:color w:val="auto"/>
                <w:kern w:val="0"/>
                <w:sz w:val="26"/>
                <w:szCs w:val="26"/>
                <w:highlight w:val="none"/>
                <w:lang w:val="en-US" w:eastAsia="zh-CN"/>
              </w:rPr>
            </w:pPr>
            <w:r>
              <w:rPr>
                <w:rFonts w:hint="default" w:ascii="Times New Roman" w:hAnsi="Times New Roman" w:eastAsia="宋体" w:cs="Times New Roman"/>
                <w:b/>
                <w:bCs/>
                <w:color w:val="auto"/>
                <w:kern w:val="0"/>
                <w:sz w:val="26"/>
                <w:szCs w:val="26"/>
                <w:highlight w:val="none"/>
                <w:lang w:val="en-US" w:eastAsia="zh-CN"/>
              </w:rPr>
              <w:t>表</w:t>
            </w:r>
            <w:r>
              <w:rPr>
                <w:rFonts w:hint="eastAsia" w:ascii="Times New Roman" w:hAnsi="Times New Roman" w:eastAsia="宋体" w:cs="Times New Roman"/>
                <w:b/>
                <w:bCs/>
                <w:color w:val="auto"/>
                <w:kern w:val="0"/>
                <w:sz w:val="26"/>
                <w:szCs w:val="26"/>
                <w:highlight w:val="none"/>
                <w:lang w:val="en-US" w:eastAsia="zh-CN"/>
              </w:rPr>
              <w:t>4.2-23  本项目建成后全厂</w:t>
            </w:r>
            <w:r>
              <w:rPr>
                <w:rFonts w:hint="default" w:ascii="Times New Roman" w:hAnsi="Times New Roman" w:eastAsia="宋体" w:cs="Times New Roman"/>
                <w:b/>
                <w:bCs/>
                <w:color w:val="auto"/>
                <w:kern w:val="0"/>
                <w:sz w:val="26"/>
                <w:szCs w:val="26"/>
                <w:highlight w:val="none"/>
                <w:lang w:val="en-US" w:eastAsia="zh-CN"/>
              </w:rPr>
              <w:t>危险废物产</w:t>
            </w:r>
            <w:r>
              <w:rPr>
                <w:rFonts w:hint="eastAsia" w:ascii="Times New Roman" w:hAnsi="Times New Roman" w:eastAsia="宋体" w:cs="Times New Roman"/>
                <w:b/>
                <w:bCs/>
                <w:color w:val="auto"/>
                <w:kern w:val="0"/>
                <w:sz w:val="26"/>
                <w:szCs w:val="26"/>
                <w:highlight w:val="none"/>
                <w:lang w:val="en-US" w:eastAsia="zh-CN"/>
              </w:rPr>
              <w:t>生</w:t>
            </w:r>
            <w:r>
              <w:rPr>
                <w:rFonts w:hint="default" w:ascii="Times New Roman" w:hAnsi="Times New Roman" w:eastAsia="宋体" w:cs="Times New Roman"/>
                <w:b/>
                <w:bCs/>
                <w:color w:val="auto"/>
                <w:kern w:val="0"/>
                <w:sz w:val="26"/>
                <w:szCs w:val="26"/>
                <w:highlight w:val="none"/>
                <w:lang w:val="en-US" w:eastAsia="zh-CN"/>
              </w:rPr>
              <w:t>情况表</w:t>
            </w:r>
          </w:p>
          <w:tbl>
            <w:tblPr>
              <w:tblStyle w:val="26"/>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3228"/>
              <w:gridCol w:w="2376"/>
              <w:gridCol w:w="2377"/>
              <w:gridCol w:w="2377"/>
            </w:tblGrid>
            <w:tr w14:paraId="6594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4" w:type="dxa"/>
                  <w:vMerge w:val="restart"/>
                  <w:noWrap w:val="0"/>
                  <w:vAlign w:val="center"/>
                </w:tcPr>
                <w:p w14:paraId="3317D1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序号</w:t>
                  </w:r>
                </w:p>
              </w:tc>
              <w:tc>
                <w:tcPr>
                  <w:tcW w:w="3228" w:type="dxa"/>
                  <w:vMerge w:val="restart"/>
                  <w:noWrap w:val="0"/>
                  <w:vAlign w:val="center"/>
                </w:tcPr>
                <w:p w14:paraId="6A8CC6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名称</w:t>
                  </w:r>
                </w:p>
              </w:tc>
              <w:tc>
                <w:tcPr>
                  <w:tcW w:w="7130" w:type="dxa"/>
                  <w:gridSpan w:val="3"/>
                  <w:noWrap w:val="0"/>
                  <w:vAlign w:val="center"/>
                </w:tcPr>
                <w:p w14:paraId="796EF9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产生量</w:t>
                  </w:r>
                </w:p>
              </w:tc>
            </w:tr>
            <w:tr w14:paraId="6A63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4" w:type="dxa"/>
                  <w:vMerge w:val="continue"/>
                  <w:noWrap w:val="0"/>
                  <w:vAlign w:val="center"/>
                </w:tcPr>
                <w:p w14:paraId="4712DD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p>
              </w:tc>
              <w:tc>
                <w:tcPr>
                  <w:tcW w:w="3228" w:type="dxa"/>
                  <w:vMerge w:val="continue"/>
                  <w:noWrap w:val="0"/>
                  <w:vAlign w:val="center"/>
                </w:tcPr>
                <w:p w14:paraId="08B0FF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p>
              </w:tc>
              <w:tc>
                <w:tcPr>
                  <w:tcW w:w="2376" w:type="dxa"/>
                  <w:noWrap w:val="0"/>
                  <w:vAlign w:val="center"/>
                </w:tcPr>
                <w:p w14:paraId="358C77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现有智能化项目</w:t>
                  </w:r>
                </w:p>
              </w:tc>
              <w:tc>
                <w:tcPr>
                  <w:tcW w:w="2377" w:type="dxa"/>
                  <w:noWrap w:val="0"/>
                  <w:vAlign w:val="center"/>
                </w:tcPr>
                <w:p w14:paraId="1066F5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本项目</w:t>
                  </w:r>
                </w:p>
              </w:tc>
              <w:tc>
                <w:tcPr>
                  <w:tcW w:w="2377" w:type="dxa"/>
                  <w:noWrap w:val="0"/>
                  <w:vAlign w:val="center"/>
                </w:tcPr>
                <w:p w14:paraId="6A7656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本项目建成后全厂</w:t>
                  </w:r>
                </w:p>
              </w:tc>
            </w:tr>
            <w:tr w14:paraId="11DA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4" w:type="dxa"/>
                  <w:noWrap w:val="0"/>
                  <w:vAlign w:val="center"/>
                </w:tcPr>
                <w:p w14:paraId="091D2B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1</w:t>
                  </w:r>
                </w:p>
              </w:tc>
              <w:tc>
                <w:tcPr>
                  <w:tcW w:w="3228" w:type="dxa"/>
                  <w:noWrap w:val="0"/>
                  <w:vAlign w:val="center"/>
                </w:tcPr>
                <w:p w14:paraId="4A6613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除尘灰</w:t>
                  </w:r>
                </w:p>
              </w:tc>
              <w:tc>
                <w:tcPr>
                  <w:tcW w:w="2376" w:type="dxa"/>
                  <w:noWrap w:val="0"/>
                  <w:vAlign w:val="center"/>
                </w:tcPr>
                <w:p w14:paraId="4F17D1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697.761</w:t>
                  </w:r>
                </w:p>
              </w:tc>
              <w:tc>
                <w:tcPr>
                  <w:tcW w:w="2377" w:type="dxa"/>
                  <w:noWrap w:val="0"/>
                  <w:vAlign w:val="center"/>
                </w:tcPr>
                <w:p w14:paraId="312489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eastAsia" w:ascii="Times New Roman" w:hAnsi="Times New Roman" w:eastAsia="宋体" w:cs="Times New Roman"/>
                      <w:b w:val="0"/>
                      <w:bCs w:val="0"/>
                      <w:color w:val="auto"/>
                      <w:kern w:val="0"/>
                      <w:sz w:val="22"/>
                      <w:szCs w:val="22"/>
                      <w:highlight w:val="none"/>
                      <w:vertAlign w:val="baseline"/>
                      <w:lang w:val="en-US" w:eastAsia="zh-CN"/>
                    </w:rPr>
                    <w:t>450.184</w:t>
                  </w:r>
                </w:p>
              </w:tc>
              <w:tc>
                <w:tcPr>
                  <w:tcW w:w="2377" w:type="dxa"/>
                  <w:noWrap w:val="0"/>
                  <w:vAlign w:val="center"/>
                </w:tcPr>
                <w:p w14:paraId="38F2A8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eastAsia" w:ascii="Times New Roman" w:hAnsi="Times New Roman" w:eastAsia="宋体" w:cs="Times New Roman"/>
                      <w:b w:val="0"/>
                      <w:bCs w:val="0"/>
                      <w:color w:val="auto"/>
                      <w:kern w:val="0"/>
                      <w:sz w:val="22"/>
                      <w:szCs w:val="22"/>
                      <w:highlight w:val="none"/>
                      <w:vertAlign w:val="baseline"/>
                      <w:lang w:val="en-US" w:eastAsia="zh-CN"/>
                    </w:rPr>
                    <w:t>1147.945</w:t>
                  </w:r>
                </w:p>
              </w:tc>
            </w:tr>
            <w:tr w14:paraId="77A54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4" w:type="dxa"/>
                  <w:noWrap w:val="0"/>
                  <w:vAlign w:val="center"/>
                </w:tcPr>
                <w:p w14:paraId="3035CF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2</w:t>
                  </w:r>
                </w:p>
              </w:tc>
              <w:tc>
                <w:tcPr>
                  <w:tcW w:w="3228" w:type="dxa"/>
                  <w:noWrap w:val="0"/>
                  <w:vAlign w:val="center"/>
                </w:tcPr>
                <w:p w14:paraId="029C40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eastAsia" w:ascii="Times New Roman" w:hAnsi="Times New Roman" w:eastAsia="宋体" w:cs="Times New Roman"/>
                      <w:b w:val="0"/>
                      <w:bCs w:val="0"/>
                      <w:color w:val="auto"/>
                      <w:kern w:val="0"/>
                      <w:sz w:val="22"/>
                      <w:szCs w:val="22"/>
                      <w:highlight w:val="none"/>
                      <w:vertAlign w:val="baseline"/>
                      <w:lang w:val="en-US" w:eastAsia="zh-CN"/>
                    </w:rPr>
                    <w:t>二次铝灰</w:t>
                  </w:r>
                </w:p>
              </w:tc>
              <w:tc>
                <w:tcPr>
                  <w:tcW w:w="2376" w:type="dxa"/>
                  <w:noWrap w:val="0"/>
                  <w:vAlign w:val="center"/>
                </w:tcPr>
                <w:p w14:paraId="4A09AD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1805.503</w:t>
                  </w:r>
                </w:p>
              </w:tc>
              <w:tc>
                <w:tcPr>
                  <w:tcW w:w="2377" w:type="dxa"/>
                  <w:noWrap w:val="0"/>
                  <w:vAlign w:val="center"/>
                </w:tcPr>
                <w:p w14:paraId="08E90E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eastAsia" w:ascii="Times New Roman" w:hAnsi="Times New Roman" w:eastAsia="宋体" w:cs="Times New Roman"/>
                      <w:b w:val="0"/>
                      <w:bCs w:val="0"/>
                      <w:color w:val="auto"/>
                      <w:kern w:val="0"/>
                      <w:sz w:val="22"/>
                      <w:szCs w:val="22"/>
                      <w:highlight w:val="none"/>
                      <w:vertAlign w:val="baseline"/>
                      <w:lang w:val="en-US" w:eastAsia="zh-CN"/>
                    </w:rPr>
                    <w:t>2775.384</w:t>
                  </w:r>
                </w:p>
              </w:tc>
              <w:tc>
                <w:tcPr>
                  <w:tcW w:w="2377" w:type="dxa"/>
                  <w:noWrap w:val="0"/>
                  <w:vAlign w:val="center"/>
                </w:tcPr>
                <w:p w14:paraId="536F36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eastAsia" w:ascii="Times New Roman" w:hAnsi="Times New Roman" w:eastAsia="宋体" w:cs="Times New Roman"/>
                      <w:b w:val="0"/>
                      <w:bCs w:val="0"/>
                      <w:color w:val="auto"/>
                      <w:kern w:val="0"/>
                      <w:sz w:val="22"/>
                      <w:szCs w:val="22"/>
                      <w:highlight w:val="none"/>
                      <w:vertAlign w:val="baseline"/>
                      <w:lang w:val="en-US" w:eastAsia="zh-CN"/>
                    </w:rPr>
                    <w:t>4580.887</w:t>
                  </w:r>
                </w:p>
              </w:tc>
            </w:tr>
            <w:tr w14:paraId="71EB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4" w:type="dxa"/>
                  <w:noWrap w:val="0"/>
                  <w:vAlign w:val="center"/>
                </w:tcPr>
                <w:p w14:paraId="10692D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3</w:t>
                  </w:r>
                </w:p>
              </w:tc>
              <w:tc>
                <w:tcPr>
                  <w:tcW w:w="3228" w:type="dxa"/>
                  <w:noWrap w:val="0"/>
                  <w:vAlign w:val="center"/>
                </w:tcPr>
                <w:p w14:paraId="78E2DF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含油废铝料</w:t>
                  </w:r>
                </w:p>
              </w:tc>
              <w:tc>
                <w:tcPr>
                  <w:tcW w:w="2376" w:type="dxa"/>
                  <w:noWrap w:val="0"/>
                  <w:vAlign w:val="center"/>
                </w:tcPr>
                <w:p w14:paraId="29E681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58.438</w:t>
                  </w:r>
                </w:p>
              </w:tc>
              <w:tc>
                <w:tcPr>
                  <w:tcW w:w="2377" w:type="dxa"/>
                  <w:noWrap w:val="0"/>
                  <w:vAlign w:val="center"/>
                </w:tcPr>
                <w:p w14:paraId="65197F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eastAsia" w:ascii="Times New Roman" w:hAnsi="Times New Roman" w:eastAsia="宋体" w:cs="Times New Roman"/>
                      <w:b w:val="0"/>
                      <w:bCs w:val="0"/>
                      <w:color w:val="auto"/>
                      <w:kern w:val="0"/>
                      <w:sz w:val="22"/>
                      <w:szCs w:val="22"/>
                      <w:highlight w:val="none"/>
                      <w:vertAlign w:val="baseline"/>
                      <w:lang w:val="en-US" w:eastAsia="zh-CN"/>
                    </w:rPr>
                    <w:t>231.45</w:t>
                  </w:r>
                </w:p>
              </w:tc>
              <w:tc>
                <w:tcPr>
                  <w:tcW w:w="2377" w:type="dxa"/>
                  <w:noWrap w:val="0"/>
                  <w:vAlign w:val="center"/>
                </w:tcPr>
                <w:p w14:paraId="0262A1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eastAsia" w:ascii="Times New Roman" w:hAnsi="Times New Roman" w:eastAsia="宋体" w:cs="Times New Roman"/>
                      <w:b w:val="0"/>
                      <w:bCs w:val="0"/>
                      <w:color w:val="auto"/>
                      <w:kern w:val="0"/>
                      <w:sz w:val="22"/>
                      <w:szCs w:val="22"/>
                      <w:highlight w:val="none"/>
                      <w:vertAlign w:val="baseline"/>
                      <w:lang w:val="en-US" w:eastAsia="zh-CN"/>
                    </w:rPr>
                    <w:t>289.888</w:t>
                  </w:r>
                </w:p>
              </w:tc>
            </w:tr>
            <w:tr w14:paraId="37E1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4" w:type="dxa"/>
                  <w:noWrap w:val="0"/>
                  <w:vAlign w:val="center"/>
                </w:tcPr>
                <w:p w14:paraId="651950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4</w:t>
                  </w:r>
                </w:p>
              </w:tc>
              <w:tc>
                <w:tcPr>
                  <w:tcW w:w="3228" w:type="dxa"/>
                  <w:noWrap w:val="0"/>
                  <w:vAlign w:val="center"/>
                </w:tcPr>
                <w:p w14:paraId="170573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废液压油</w:t>
                  </w:r>
                </w:p>
              </w:tc>
              <w:tc>
                <w:tcPr>
                  <w:tcW w:w="2376" w:type="dxa"/>
                  <w:noWrap w:val="0"/>
                  <w:vAlign w:val="center"/>
                </w:tcPr>
                <w:p w14:paraId="5566BE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1</w:t>
                  </w:r>
                </w:p>
              </w:tc>
              <w:tc>
                <w:tcPr>
                  <w:tcW w:w="2377" w:type="dxa"/>
                  <w:noWrap w:val="0"/>
                  <w:vAlign w:val="center"/>
                </w:tcPr>
                <w:p w14:paraId="4515C3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eastAsia" w:ascii="Times New Roman" w:hAnsi="Times New Roman" w:eastAsia="宋体" w:cs="Times New Roman"/>
                      <w:b w:val="0"/>
                      <w:bCs w:val="0"/>
                      <w:color w:val="auto"/>
                      <w:kern w:val="0"/>
                      <w:sz w:val="22"/>
                      <w:szCs w:val="22"/>
                      <w:highlight w:val="none"/>
                      <w:vertAlign w:val="baseline"/>
                      <w:lang w:val="en-US" w:eastAsia="zh-CN"/>
                    </w:rPr>
                    <w:t>1.0</w:t>
                  </w:r>
                </w:p>
              </w:tc>
              <w:tc>
                <w:tcPr>
                  <w:tcW w:w="2377" w:type="dxa"/>
                  <w:noWrap w:val="0"/>
                  <w:vAlign w:val="center"/>
                </w:tcPr>
                <w:p w14:paraId="598BB9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eastAsia" w:ascii="Times New Roman" w:hAnsi="Times New Roman" w:eastAsia="宋体" w:cs="Times New Roman"/>
                      <w:b w:val="0"/>
                      <w:bCs w:val="0"/>
                      <w:color w:val="auto"/>
                      <w:kern w:val="0"/>
                      <w:sz w:val="22"/>
                      <w:szCs w:val="22"/>
                      <w:highlight w:val="none"/>
                      <w:vertAlign w:val="baseline"/>
                      <w:lang w:val="en-US" w:eastAsia="zh-CN"/>
                    </w:rPr>
                    <w:t>2</w:t>
                  </w:r>
                </w:p>
              </w:tc>
            </w:tr>
            <w:tr w14:paraId="6EE9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4" w:type="dxa"/>
                  <w:noWrap w:val="0"/>
                  <w:vAlign w:val="center"/>
                </w:tcPr>
                <w:p w14:paraId="3EF55B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5</w:t>
                  </w:r>
                </w:p>
              </w:tc>
              <w:tc>
                <w:tcPr>
                  <w:tcW w:w="3228" w:type="dxa"/>
                  <w:noWrap w:val="0"/>
                  <w:vAlign w:val="center"/>
                </w:tcPr>
                <w:p w14:paraId="08303E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废弃的含油抹布、劳保用品</w:t>
                  </w:r>
                </w:p>
              </w:tc>
              <w:tc>
                <w:tcPr>
                  <w:tcW w:w="2376" w:type="dxa"/>
                  <w:noWrap w:val="0"/>
                  <w:vAlign w:val="center"/>
                </w:tcPr>
                <w:p w14:paraId="1F112D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0.2</w:t>
                  </w:r>
                </w:p>
              </w:tc>
              <w:tc>
                <w:tcPr>
                  <w:tcW w:w="2377" w:type="dxa"/>
                  <w:noWrap w:val="0"/>
                  <w:vAlign w:val="center"/>
                </w:tcPr>
                <w:p w14:paraId="6964D1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eastAsia" w:ascii="Times New Roman" w:hAnsi="Times New Roman" w:eastAsia="宋体" w:cs="Times New Roman"/>
                      <w:b w:val="0"/>
                      <w:bCs w:val="0"/>
                      <w:color w:val="auto"/>
                      <w:kern w:val="0"/>
                      <w:sz w:val="22"/>
                      <w:szCs w:val="22"/>
                      <w:highlight w:val="none"/>
                      <w:vertAlign w:val="baseline"/>
                      <w:lang w:val="en-US" w:eastAsia="zh-CN"/>
                    </w:rPr>
                    <w:t>0.3</w:t>
                  </w:r>
                </w:p>
              </w:tc>
              <w:tc>
                <w:tcPr>
                  <w:tcW w:w="2377" w:type="dxa"/>
                  <w:noWrap w:val="0"/>
                  <w:vAlign w:val="center"/>
                </w:tcPr>
                <w:p w14:paraId="370408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eastAsia" w:ascii="Times New Roman" w:hAnsi="Times New Roman" w:eastAsia="宋体" w:cs="Times New Roman"/>
                      <w:b w:val="0"/>
                      <w:bCs w:val="0"/>
                      <w:color w:val="auto"/>
                      <w:kern w:val="0"/>
                      <w:sz w:val="22"/>
                      <w:szCs w:val="22"/>
                      <w:highlight w:val="none"/>
                      <w:vertAlign w:val="baseline"/>
                      <w:lang w:val="en-US" w:eastAsia="zh-CN"/>
                    </w:rPr>
                    <w:t>0.5</w:t>
                  </w:r>
                </w:p>
              </w:tc>
            </w:tr>
            <w:tr w14:paraId="29B4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4" w:type="dxa"/>
                  <w:noWrap w:val="0"/>
                  <w:vAlign w:val="center"/>
                </w:tcPr>
                <w:p w14:paraId="2CC984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6</w:t>
                  </w:r>
                </w:p>
              </w:tc>
              <w:tc>
                <w:tcPr>
                  <w:tcW w:w="3228" w:type="dxa"/>
                  <w:noWrap w:val="0"/>
                  <w:vAlign w:val="center"/>
                </w:tcPr>
                <w:p w14:paraId="18D414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空压机含油废液</w:t>
                  </w:r>
                </w:p>
              </w:tc>
              <w:tc>
                <w:tcPr>
                  <w:tcW w:w="2376" w:type="dxa"/>
                  <w:noWrap w:val="0"/>
                  <w:vAlign w:val="center"/>
                </w:tcPr>
                <w:p w14:paraId="3D4EC4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0.5</w:t>
                  </w:r>
                </w:p>
              </w:tc>
              <w:tc>
                <w:tcPr>
                  <w:tcW w:w="2377" w:type="dxa"/>
                  <w:noWrap w:val="0"/>
                  <w:vAlign w:val="center"/>
                </w:tcPr>
                <w:p w14:paraId="3002AA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eastAsia" w:ascii="Times New Roman" w:hAnsi="Times New Roman" w:eastAsia="宋体" w:cs="Times New Roman"/>
                      <w:b w:val="0"/>
                      <w:bCs w:val="0"/>
                      <w:color w:val="auto"/>
                      <w:kern w:val="0"/>
                      <w:sz w:val="22"/>
                      <w:szCs w:val="22"/>
                      <w:highlight w:val="none"/>
                      <w:vertAlign w:val="baseline"/>
                      <w:lang w:val="en-US" w:eastAsia="zh-CN"/>
                    </w:rPr>
                    <w:t>0.4</w:t>
                  </w:r>
                </w:p>
              </w:tc>
              <w:tc>
                <w:tcPr>
                  <w:tcW w:w="2377" w:type="dxa"/>
                  <w:noWrap w:val="0"/>
                  <w:vAlign w:val="center"/>
                </w:tcPr>
                <w:p w14:paraId="57EA56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eastAsia" w:ascii="Times New Roman" w:hAnsi="Times New Roman" w:eastAsia="宋体" w:cs="Times New Roman"/>
                      <w:b w:val="0"/>
                      <w:bCs w:val="0"/>
                      <w:color w:val="auto"/>
                      <w:kern w:val="0"/>
                      <w:sz w:val="22"/>
                      <w:szCs w:val="22"/>
                      <w:highlight w:val="none"/>
                      <w:vertAlign w:val="baseline"/>
                      <w:lang w:val="en-US" w:eastAsia="zh-CN"/>
                    </w:rPr>
                    <w:t>0.9</w:t>
                  </w:r>
                </w:p>
              </w:tc>
            </w:tr>
            <w:tr w14:paraId="01A4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4" w:type="dxa"/>
                  <w:noWrap w:val="0"/>
                  <w:vAlign w:val="center"/>
                </w:tcPr>
                <w:p w14:paraId="77B85D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7</w:t>
                  </w:r>
                </w:p>
              </w:tc>
              <w:tc>
                <w:tcPr>
                  <w:tcW w:w="3228" w:type="dxa"/>
                  <w:noWrap w:val="0"/>
                  <w:vAlign w:val="center"/>
                </w:tcPr>
                <w:p w14:paraId="376EAF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废油桶</w:t>
                  </w:r>
                </w:p>
              </w:tc>
              <w:tc>
                <w:tcPr>
                  <w:tcW w:w="2376" w:type="dxa"/>
                  <w:noWrap w:val="0"/>
                  <w:vAlign w:val="center"/>
                </w:tcPr>
                <w:p w14:paraId="0C17A8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default" w:ascii="Times New Roman" w:hAnsi="Times New Roman" w:eastAsia="宋体" w:cs="Times New Roman"/>
                      <w:b w:val="0"/>
                      <w:bCs w:val="0"/>
                      <w:color w:val="auto"/>
                      <w:kern w:val="0"/>
                      <w:sz w:val="22"/>
                      <w:szCs w:val="22"/>
                      <w:highlight w:val="none"/>
                      <w:vertAlign w:val="baseline"/>
                      <w:lang w:val="en-US" w:eastAsia="zh-CN"/>
                    </w:rPr>
                    <w:t>0.5</w:t>
                  </w:r>
                </w:p>
              </w:tc>
              <w:tc>
                <w:tcPr>
                  <w:tcW w:w="2377" w:type="dxa"/>
                  <w:noWrap w:val="0"/>
                  <w:vAlign w:val="center"/>
                </w:tcPr>
                <w:p w14:paraId="24A845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eastAsia" w:ascii="Times New Roman" w:hAnsi="Times New Roman" w:eastAsia="宋体" w:cs="Times New Roman"/>
                      <w:b w:val="0"/>
                      <w:bCs w:val="0"/>
                      <w:color w:val="auto"/>
                      <w:kern w:val="0"/>
                      <w:sz w:val="22"/>
                      <w:szCs w:val="22"/>
                      <w:highlight w:val="none"/>
                      <w:vertAlign w:val="baseline"/>
                      <w:lang w:val="en-US" w:eastAsia="zh-CN"/>
                    </w:rPr>
                    <w:t>0.3</w:t>
                  </w:r>
                </w:p>
              </w:tc>
              <w:tc>
                <w:tcPr>
                  <w:tcW w:w="2377" w:type="dxa"/>
                  <w:noWrap w:val="0"/>
                  <w:vAlign w:val="center"/>
                </w:tcPr>
                <w:p w14:paraId="3236F8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eastAsia" w:ascii="Times New Roman" w:hAnsi="Times New Roman" w:eastAsia="宋体" w:cs="Times New Roman"/>
                      <w:b w:val="0"/>
                      <w:bCs w:val="0"/>
                      <w:color w:val="auto"/>
                      <w:kern w:val="0"/>
                      <w:sz w:val="22"/>
                      <w:szCs w:val="22"/>
                      <w:highlight w:val="none"/>
                      <w:vertAlign w:val="baseline"/>
                      <w:lang w:val="en-US" w:eastAsia="zh-CN"/>
                    </w:rPr>
                    <w:t>0.8</w:t>
                  </w:r>
                </w:p>
              </w:tc>
            </w:tr>
            <w:tr w14:paraId="389B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2" w:type="dxa"/>
                  <w:gridSpan w:val="2"/>
                  <w:noWrap w:val="0"/>
                  <w:vAlign w:val="center"/>
                </w:tcPr>
                <w:p w14:paraId="5A0F32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eastAsia" w:ascii="Times New Roman" w:hAnsi="Times New Roman" w:eastAsia="宋体" w:cs="Times New Roman"/>
                      <w:b w:val="0"/>
                      <w:bCs w:val="0"/>
                      <w:color w:val="auto"/>
                      <w:kern w:val="0"/>
                      <w:sz w:val="22"/>
                      <w:szCs w:val="22"/>
                      <w:highlight w:val="none"/>
                      <w:vertAlign w:val="baseline"/>
                      <w:lang w:val="en-US" w:eastAsia="zh-CN"/>
                    </w:rPr>
                    <w:t>合计</w:t>
                  </w:r>
                </w:p>
              </w:tc>
              <w:tc>
                <w:tcPr>
                  <w:tcW w:w="2376" w:type="dxa"/>
                  <w:noWrap w:val="0"/>
                  <w:vAlign w:val="center"/>
                </w:tcPr>
                <w:p w14:paraId="79DE96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eastAsia" w:ascii="Times New Roman" w:hAnsi="Times New Roman" w:eastAsia="宋体" w:cs="Times New Roman"/>
                      <w:b w:val="0"/>
                      <w:bCs w:val="0"/>
                      <w:color w:val="auto"/>
                      <w:kern w:val="0"/>
                      <w:sz w:val="22"/>
                      <w:szCs w:val="22"/>
                      <w:highlight w:val="none"/>
                      <w:vertAlign w:val="baseline"/>
                      <w:lang w:val="en-US" w:eastAsia="zh-CN"/>
                    </w:rPr>
                    <w:t>2563.902</w:t>
                  </w:r>
                </w:p>
              </w:tc>
              <w:tc>
                <w:tcPr>
                  <w:tcW w:w="2377" w:type="dxa"/>
                  <w:noWrap w:val="0"/>
                  <w:vAlign w:val="center"/>
                </w:tcPr>
                <w:p w14:paraId="5B57E2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eastAsia" w:ascii="Times New Roman" w:hAnsi="Times New Roman" w:eastAsia="宋体" w:cs="Times New Roman"/>
                      <w:b w:val="0"/>
                      <w:bCs w:val="0"/>
                      <w:color w:val="auto"/>
                      <w:kern w:val="0"/>
                      <w:sz w:val="22"/>
                      <w:szCs w:val="22"/>
                      <w:highlight w:val="none"/>
                      <w:vertAlign w:val="baseline"/>
                      <w:lang w:val="en-US" w:eastAsia="zh-CN"/>
                    </w:rPr>
                    <w:t>3459.018</w:t>
                  </w:r>
                </w:p>
              </w:tc>
              <w:tc>
                <w:tcPr>
                  <w:tcW w:w="2377" w:type="dxa"/>
                  <w:noWrap w:val="0"/>
                  <w:vAlign w:val="center"/>
                </w:tcPr>
                <w:p w14:paraId="65268F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2"/>
                      <w:szCs w:val="22"/>
                      <w:highlight w:val="none"/>
                      <w:vertAlign w:val="baseline"/>
                      <w:lang w:val="en-US" w:eastAsia="zh-CN"/>
                    </w:rPr>
                  </w:pPr>
                  <w:r>
                    <w:rPr>
                      <w:rFonts w:hint="eastAsia" w:ascii="Times New Roman" w:hAnsi="Times New Roman" w:eastAsia="宋体" w:cs="Times New Roman"/>
                      <w:b w:val="0"/>
                      <w:bCs w:val="0"/>
                      <w:color w:val="auto"/>
                      <w:kern w:val="0"/>
                      <w:sz w:val="22"/>
                      <w:szCs w:val="22"/>
                      <w:highlight w:val="none"/>
                      <w:vertAlign w:val="baseline"/>
                      <w:lang w:val="en-US" w:eastAsia="zh-CN"/>
                    </w:rPr>
                    <w:t>6022.92</w:t>
                  </w:r>
                </w:p>
              </w:tc>
            </w:tr>
          </w:tbl>
          <w:p w14:paraId="698918E8">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Times New Roman" w:hAnsi="Times New Roman" w:eastAsia="宋体" w:cs="Times New Roman"/>
                <w:b/>
                <w:bCs/>
                <w:color w:val="auto"/>
                <w:kern w:val="0"/>
                <w:sz w:val="26"/>
                <w:szCs w:val="26"/>
                <w:highlight w:val="none"/>
                <w:lang w:val="en-US" w:eastAsia="zh-CN"/>
              </w:rPr>
            </w:pPr>
          </w:p>
          <w:p w14:paraId="722009F9">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Times New Roman"/>
                <w:b/>
                <w:bCs/>
                <w:color w:val="auto"/>
                <w:kern w:val="0"/>
                <w:sz w:val="26"/>
                <w:szCs w:val="26"/>
                <w:highlight w:val="none"/>
                <w:lang w:val="en-US" w:eastAsia="zh-CN"/>
              </w:rPr>
            </w:pPr>
          </w:p>
          <w:p w14:paraId="13CC4262">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Times New Roman"/>
                <w:b/>
                <w:bCs/>
                <w:color w:val="auto"/>
                <w:kern w:val="0"/>
                <w:sz w:val="26"/>
                <w:szCs w:val="26"/>
                <w:highlight w:val="none"/>
                <w:lang w:val="en-US" w:eastAsia="zh-CN"/>
              </w:rPr>
            </w:pPr>
          </w:p>
          <w:p w14:paraId="73AD3178">
            <w:pPr>
              <w:pStyle w:val="13"/>
              <w:snapToGrid w:val="0"/>
              <w:spacing w:line="460" w:lineRule="exact"/>
              <w:jc w:val="both"/>
              <w:rPr>
                <w:rFonts w:hint="eastAsia" w:ascii="Times New Roman" w:hAnsi="Times New Roman" w:eastAsia="宋体" w:cs="Times New Roman"/>
                <w:b/>
                <w:bCs/>
                <w:color w:val="auto"/>
                <w:kern w:val="2"/>
                <w:sz w:val="26"/>
                <w:szCs w:val="26"/>
                <w:vertAlign w:val="baseline"/>
                <w:lang w:val="en-US" w:eastAsia="zh-CN" w:bidi="ar-SA"/>
              </w:rPr>
            </w:pPr>
          </w:p>
        </w:tc>
      </w:tr>
    </w:tbl>
    <w:p w14:paraId="4F934C0C">
      <w:pPr>
        <w:pStyle w:val="11"/>
        <w:numPr>
          <w:ilvl w:val="0"/>
          <w:numId w:val="0"/>
        </w:numPr>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8354"/>
      </w:tblGrid>
      <w:tr w14:paraId="4744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noWrap w:val="0"/>
            <w:vAlign w:val="center"/>
          </w:tcPr>
          <w:p w14:paraId="1DFCE256">
            <w:pPr>
              <w:pStyle w:val="20"/>
              <w:adjustRightInd w:val="0"/>
              <w:snapToGrid w:val="0"/>
              <w:spacing w:before="0" w:beforeAutospacing="0" w:after="0" w:afterAutospacing="0"/>
              <w:jc w:val="center"/>
              <w:rPr>
                <w:rFonts w:hint="eastAsia" w:ascii="宋体" w:hAnsi="宋体" w:eastAsia="宋体" w:cs="Times New Roman"/>
                <w:color w:val="auto"/>
                <w:vertAlign w:val="baseline"/>
                <w:lang w:val="en-US" w:eastAsia="zh-CN"/>
              </w:rPr>
            </w:pPr>
            <w:r>
              <w:rPr>
                <w:rFonts w:hint="eastAsia" w:ascii="宋体" w:hAnsi="宋体" w:eastAsia="宋体" w:cs="Times New Roman"/>
                <w:color w:val="auto"/>
                <w:vertAlign w:val="baseline"/>
                <w:lang w:val="en-US" w:eastAsia="zh-CN"/>
              </w:rPr>
              <w:t>运营期环</w:t>
            </w:r>
          </w:p>
          <w:p w14:paraId="5BC001B8">
            <w:pPr>
              <w:pStyle w:val="20"/>
              <w:adjustRightInd w:val="0"/>
              <w:snapToGrid w:val="0"/>
              <w:spacing w:before="0" w:beforeAutospacing="0" w:after="0" w:afterAutospacing="0"/>
              <w:jc w:val="center"/>
              <w:rPr>
                <w:rFonts w:hint="eastAsia" w:ascii="宋体" w:hAnsi="宋体" w:eastAsia="宋体" w:cs="Times New Roman"/>
                <w:color w:val="auto"/>
                <w:vertAlign w:val="baseline"/>
                <w:lang w:val="en-US" w:eastAsia="zh-CN"/>
              </w:rPr>
            </w:pPr>
            <w:r>
              <w:rPr>
                <w:rFonts w:hint="eastAsia" w:ascii="宋体" w:hAnsi="宋体" w:eastAsia="宋体" w:cs="Times New Roman"/>
                <w:color w:val="auto"/>
                <w:vertAlign w:val="baseline"/>
                <w:lang w:val="en-US" w:eastAsia="zh-CN"/>
              </w:rPr>
              <w:t>境保</w:t>
            </w:r>
          </w:p>
          <w:p w14:paraId="738FC1B8">
            <w:pPr>
              <w:pStyle w:val="20"/>
              <w:adjustRightInd w:val="0"/>
              <w:snapToGrid w:val="0"/>
              <w:spacing w:before="0" w:beforeAutospacing="0" w:after="0" w:afterAutospacing="0"/>
              <w:jc w:val="center"/>
              <w:rPr>
                <w:rFonts w:hint="eastAsia" w:ascii="宋体" w:hAnsi="宋体" w:eastAsia="宋体" w:cs="Times New Roman"/>
                <w:color w:val="auto"/>
                <w:vertAlign w:val="baseline"/>
                <w:lang w:val="en-US" w:eastAsia="zh-CN"/>
              </w:rPr>
            </w:pPr>
            <w:r>
              <w:rPr>
                <w:rFonts w:hint="eastAsia" w:ascii="宋体" w:hAnsi="宋体" w:eastAsia="宋体" w:cs="Times New Roman"/>
                <w:color w:val="auto"/>
                <w:vertAlign w:val="baseline"/>
                <w:lang w:val="en-US" w:eastAsia="zh-CN"/>
              </w:rPr>
              <w:t>护措</w:t>
            </w:r>
          </w:p>
          <w:p w14:paraId="339A0EC0">
            <w:pPr>
              <w:pStyle w:val="20"/>
              <w:adjustRightInd w:val="0"/>
              <w:snapToGrid w:val="0"/>
              <w:spacing w:before="0" w:beforeAutospacing="0" w:after="0" w:afterAutospacing="0"/>
              <w:jc w:val="center"/>
              <w:rPr>
                <w:color w:val="auto"/>
                <w:vertAlign w:val="baseline"/>
              </w:rPr>
            </w:pPr>
            <w:r>
              <w:rPr>
                <w:rFonts w:hint="eastAsia" w:ascii="宋体" w:hAnsi="宋体" w:eastAsia="宋体" w:cs="Times New Roman"/>
                <w:color w:val="auto"/>
                <w:vertAlign w:val="baseline"/>
                <w:lang w:val="en-US" w:eastAsia="zh-CN"/>
              </w:rPr>
              <w:t>施</w:t>
            </w:r>
          </w:p>
        </w:tc>
        <w:tc>
          <w:tcPr>
            <w:tcW w:w="8354" w:type="dxa"/>
            <w:noWrap w:val="0"/>
            <w:vAlign w:val="top"/>
          </w:tcPr>
          <w:p w14:paraId="462184C1">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default" w:ascii="Times New Roman" w:hAnsi="Times New Roman" w:eastAsia="宋体" w:cs="Times New Roman"/>
                <w:b/>
                <w:bCs/>
                <w:color w:val="auto"/>
                <w:sz w:val="26"/>
                <w:szCs w:val="26"/>
                <w:lang w:val="en-US" w:eastAsia="zh-CN"/>
              </w:rPr>
              <w:t>4.2</w:t>
            </w:r>
            <w:r>
              <w:rPr>
                <w:rFonts w:hint="eastAsia" w:ascii="Times New Roman" w:hAnsi="Times New Roman" w:eastAsia="宋体" w:cs="Times New Roman"/>
                <w:b/>
                <w:bCs/>
                <w:color w:val="auto"/>
                <w:sz w:val="26"/>
                <w:szCs w:val="26"/>
                <w:lang w:val="en-US" w:eastAsia="zh-CN"/>
              </w:rPr>
              <w:t>.4.2</w:t>
            </w:r>
            <w:r>
              <w:rPr>
                <w:rFonts w:hint="default" w:ascii="Times New Roman" w:hAnsi="Times New Roman" w:eastAsia="宋体" w:cs="Times New Roman"/>
                <w:b/>
                <w:bCs/>
                <w:color w:val="auto"/>
                <w:sz w:val="26"/>
                <w:szCs w:val="26"/>
                <w:lang w:val="en-US" w:eastAsia="zh-CN"/>
              </w:rPr>
              <w:t>固废处理措施及可行性分析</w:t>
            </w:r>
          </w:p>
          <w:p w14:paraId="68F649C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本项目</w:t>
            </w:r>
            <w:r>
              <w:rPr>
                <w:rFonts w:hint="default" w:ascii="Times New Roman" w:hAnsi="Times New Roman" w:eastAsia="宋体" w:cs="Times New Roman"/>
                <w:color w:val="auto"/>
                <w:sz w:val="26"/>
                <w:szCs w:val="26"/>
                <w:lang w:val="en-US" w:eastAsia="zh-CN"/>
              </w:rPr>
              <w:t>产生</w:t>
            </w:r>
            <w:r>
              <w:rPr>
                <w:rFonts w:hint="eastAsia" w:ascii="Times New Roman" w:hAnsi="Times New Roman" w:eastAsia="宋体" w:cs="Times New Roman"/>
                <w:color w:val="auto"/>
                <w:sz w:val="26"/>
                <w:szCs w:val="26"/>
                <w:lang w:val="en-US" w:eastAsia="zh-CN"/>
              </w:rPr>
              <w:t>的</w:t>
            </w:r>
            <w:r>
              <w:rPr>
                <w:rFonts w:hint="default" w:ascii="Times New Roman" w:hAnsi="Times New Roman" w:eastAsia="宋体" w:cs="Times New Roman"/>
                <w:color w:val="auto"/>
                <w:sz w:val="26"/>
                <w:szCs w:val="26"/>
                <w:lang w:val="en-US" w:eastAsia="zh-CN"/>
              </w:rPr>
              <w:t>固废</w:t>
            </w:r>
            <w:r>
              <w:rPr>
                <w:rFonts w:hint="eastAsia" w:ascii="Times New Roman" w:hAnsi="Times New Roman" w:eastAsia="宋体" w:cs="Times New Roman"/>
                <w:color w:val="auto"/>
                <w:sz w:val="26"/>
                <w:szCs w:val="26"/>
                <w:lang w:val="en-US" w:eastAsia="zh-CN"/>
              </w:rPr>
              <w:t>分类收集、处置。一般工业固废主要为废陶瓷板、废耐火材料等，分类暂存于一般工业固废暂存间，占地面积约为50m</w:t>
            </w:r>
            <w:r>
              <w:rPr>
                <w:rFonts w:hint="eastAsia" w:ascii="Times New Roman" w:hAnsi="Times New Roman" w:eastAsia="宋体" w:cs="Times New Roman"/>
                <w:color w:val="auto"/>
                <w:sz w:val="26"/>
                <w:szCs w:val="26"/>
                <w:vertAlign w:val="superscript"/>
                <w:lang w:val="en-US" w:eastAsia="zh-CN"/>
              </w:rPr>
              <w:t>2</w:t>
            </w:r>
            <w:r>
              <w:rPr>
                <w:rFonts w:hint="eastAsia" w:ascii="Times New Roman" w:hAnsi="Times New Roman" w:eastAsia="宋体" w:cs="Times New Roman"/>
                <w:color w:val="auto"/>
                <w:sz w:val="26"/>
                <w:szCs w:val="26"/>
                <w:lang w:val="en-US" w:eastAsia="zh-CN"/>
              </w:rPr>
              <w:t>。</w:t>
            </w:r>
          </w:p>
          <w:p w14:paraId="7C3DC59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建设单位已建危废贮存库，占地面积约200m</w:t>
            </w:r>
            <w:r>
              <w:rPr>
                <w:rFonts w:hint="eastAsia" w:ascii="Times New Roman" w:hAnsi="Times New Roman" w:eastAsia="宋体" w:cs="Times New Roman"/>
                <w:color w:val="auto"/>
                <w:sz w:val="26"/>
                <w:szCs w:val="26"/>
                <w:vertAlign w:val="superscript"/>
                <w:lang w:val="en-US" w:eastAsia="zh-CN"/>
              </w:rPr>
              <w:t>2</w:t>
            </w:r>
            <w:r>
              <w:rPr>
                <w:rFonts w:hint="eastAsia" w:ascii="Times New Roman" w:hAnsi="Times New Roman" w:eastAsia="宋体" w:cs="Times New Roman"/>
                <w:color w:val="auto"/>
                <w:sz w:val="26"/>
                <w:szCs w:val="26"/>
                <w:lang w:val="en-US" w:eastAsia="zh-CN"/>
              </w:rPr>
              <w:t>。本项目危废堆高按照1.5m进行控制，危废贮存库有效容积约180m</w:t>
            </w:r>
            <w:r>
              <w:rPr>
                <w:rFonts w:hint="eastAsia" w:ascii="Times New Roman" w:hAnsi="Times New Roman" w:eastAsia="宋体" w:cs="Times New Roman"/>
                <w:color w:val="auto"/>
                <w:sz w:val="26"/>
                <w:szCs w:val="26"/>
                <w:vertAlign w:val="superscript"/>
                <w:lang w:val="en-US" w:eastAsia="zh-CN"/>
              </w:rPr>
              <w:t>2</w:t>
            </w:r>
            <w:r>
              <w:rPr>
                <w:rFonts w:hint="eastAsia" w:ascii="Times New Roman" w:hAnsi="Times New Roman" w:eastAsia="宋体" w:cs="Times New Roman"/>
                <w:color w:val="auto"/>
                <w:sz w:val="26"/>
                <w:szCs w:val="26"/>
                <w:lang w:val="en-US" w:eastAsia="zh-CN"/>
              </w:rPr>
              <w:t>，有效贮存体积约270m</w:t>
            </w:r>
            <w:r>
              <w:rPr>
                <w:rFonts w:hint="eastAsia" w:ascii="Times New Roman" w:hAnsi="Times New Roman" w:eastAsia="宋体" w:cs="Times New Roman"/>
                <w:color w:val="auto"/>
                <w:sz w:val="26"/>
                <w:szCs w:val="26"/>
                <w:vertAlign w:val="superscript"/>
                <w:lang w:val="en-US" w:eastAsia="zh-CN"/>
              </w:rPr>
              <w:t>3</w:t>
            </w:r>
            <w:r>
              <w:rPr>
                <w:rFonts w:hint="eastAsia" w:ascii="Times New Roman" w:hAnsi="Times New Roman" w:eastAsia="宋体" w:cs="Times New Roman"/>
                <w:color w:val="auto"/>
                <w:sz w:val="26"/>
                <w:szCs w:val="26"/>
                <w:lang w:val="en-US" w:eastAsia="zh-CN"/>
              </w:rPr>
              <w:t>，本项目建成后，全厂的危险废物年产生量约6022.92t/a，转移周期约15d/1次，则危险废物的单月需要贮存的最大量为251t，满足贮存本项目实施后全厂贮存需求。危废贮存库应符合</w:t>
            </w:r>
            <w:r>
              <w:rPr>
                <w:rFonts w:hint="default" w:ascii="Times New Roman" w:hAnsi="Times New Roman" w:eastAsia="宋体" w:cs="Times New Roman"/>
                <w:color w:val="auto"/>
                <w:sz w:val="26"/>
                <w:szCs w:val="26"/>
                <w:lang w:val="en-US" w:eastAsia="zh-CN"/>
              </w:rPr>
              <w:t>《危险废物贮存污染控制标准》（GB18597-20</w:t>
            </w:r>
            <w:r>
              <w:rPr>
                <w:rFonts w:hint="eastAsia" w:ascii="Times New Roman" w:hAnsi="Times New Roman" w:eastAsia="宋体" w:cs="Times New Roman"/>
                <w:color w:val="auto"/>
                <w:sz w:val="26"/>
                <w:szCs w:val="26"/>
                <w:lang w:val="en-US" w:eastAsia="zh-CN"/>
              </w:rPr>
              <w:t>23</w:t>
            </w:r>
            <w:r>
              <w:rPr>
                <w:rFonts w:hint="default" w:ascii="Times New Roman" w:hAnsi="Times New Roman" w:eastAsia="宋体" w:cs="Times New Roman"/>
                <w:color w:val="auto"/>
                <w:sz w:val="26"/>
                <w:szCs w:val="26"/>
                <w:lang w:val="en-US" w:eastAsia="zh-CN"/>
              </w:rPr>
              <w:t>）</w:t>
            </w:r>
            <w:r>
              <w:rPr>
                <w:rFonts w:hint="eastAsia" w:ascii="Times New Roman" w:hAnsi="Times New Roman" w:eastAsia="宋体" w:cs="Times New Roman"/>
                <w:color w:val="auto"/>
                <w:sz w:val="26"/>
                <w:szCs w:val="26"/>
                <w:lang w:val="en-US" w:eastAsia="zh-CN"/>
              </w:rPr>
              <w:t>的相关要求</w:t>
            </w:r>
            <w:r>
              <w:rPr>
                <w:rFonts w:hint="default" w:ascii="Times New Roman" w:hAnsi="Times New Roman" w:eastAsia="宋体" w:cs="Times New Roman"/>
                <w:color w:val="auto"/>
                <w:sz w:val="26"/>
                <w:szCs w:val="26"/>
                <w:lang w:val="en-US" w:eastAsia="zh-CN"/>
              </w:rPr>
              <w:t>：</w:t>
            </w:r>
          </w:p>
          <w:p w14:paraId="79063654">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fldChar w:fldCharType="begin"/>
            </w:r>
            <w:r>
              <w:rPr>
                <w:rFonts w:hint="default" w:ascii="Times New Roman" w:hAnsi="Times New Roman" w:eastAsia="宋体" w:cs="Times New Roman"/>
                <w:color w:val="auto"/>
                <w:sz w:val="26"/>
                <w:szCs w:val="26"/>
                <w:lang w:val="en-US" w:eastAsia="zh-CN"/>
              </w:rPr>
              <w:instrText xml:space="preserve"> = 1 \* GB3 </w:instrText>
            </w:r>
            <w:r>
              <w:rPr>
                <w:rFonts w:hint="default" w:ascii="Times New Roman" w:hAnsi="Times New Roman" w:eastAsia="宋体" w:cs="Times New Roman"/>
                <w:color w:val="auto"/>
                <w:sz w:val="26"/>
                <w:szCs w:val="26"/>
                <w:lang w:val="en-US" w:eastAsia="zh-CN"/>
              </w:rPr>
              <w:fldChar w:fldCharType="separate"/>
            </w:r>
            <w:r>
              <w:rPr>
                <w:rFonts w:hint="default" w:ascii="Times New Roman" w:hAnsi="Times New Roman" w:eastAsia="宋体" w:cs="Times New Roman"/>
                <w:color w:val="auto"/>
                <w:sz w:val="26"/>
                <w:szCs w:val="26"/>
                <w:lang w:val="en-US" w:eastAsia="zh-CN"/>
              </w:rPr>
              <w:t>①</w:t>
            </w:r>
            <w:r>
              <w:rPr>
                <w:rFonts w:hint="default" w:ascii="Times New Roman" w:hAnsi="Times New Roman" w:eastAsia="宋体" w:cs="Times New Roman"/>
                <w:color w:val="auto"/>
                <w:sz w:val="26"/>
                <w:szCs w:val="26"/>
                <w:lang w:val="en-US" w:eastAsia="zh-CN"/>
              </w:rPr>
              <w:fldChar w:fldCharType="end"/>
            </w:r>
            <w:r>
              <w:rPr>
                <w:rFonts w:hint="eastAsia" w:ascii="Times New Roman" w:hAnsi="Times New Roman" w:eastAsia="宋体" w:cs="Times New Roman"/>
                <w:color w:val="auto"/>
                <w:sz w:val="26"/>
                <w:szCs w:val="26"/>
                <w:lang w:val="en-US" w:eastAsia="zh-CN"/>
              </w:rPr>
              <w:t>采取必要的防风、防晒、防雨、防漏、防渗、防腐等</w:t>
            </w:r>
            <w:r>
              <w:rPr>
                <w:rFonts w:hint="default" w:ascii="Times New Roman" w:hAnsi="Times New Roman" w:eastAsia="宋体" w:cs="Times New Roman"/>
                <w:color w:val="auto"/>
                <w:sz w:val="26"/>
                <w:szCs w:val="26"/>
                <w:lang w:val="en-US" w:eastAsia="zh-CN"/>
              </w:rPr>
              <w:t>设施；</w:t>
            </w:r>
          </w:p>
          <w:p w14:paraId="276D3FE9">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②</w:t>
            </w:r>
            <w:r>
              <w:rPr>
                <w:rFonts w:hint="eastAsia" w:ascii="Times New Roman" w:hAnsi="Times New Roman" w:eastAsia="宋体" w:cs="Times New Roman"/>
                <w:color w:val="auto"/>
                <w:sz w:val="26"/>
                <w:szCs w:val="26"/>
                <w:lang w:val="en-US" w:eastAsia="zh-CN"/>
              </w:rPr>
              <w:t>进行分区贮存，避免不相容的危险废物接触、混合。</w:t>
            </w:r>
          </w:p>
          <w:p w14:paraId="3CF13907">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③</w:t>
            </w:r>
            <w:r>
              <w:rPr>
                <w:rFonts w:hint="eastAsia" w:ascii="Times New Roman" w:hAnsi="Times New Roman" w:eastAsia="宋体" w:cs="Times New Roman"/>
                <w:color w:val="auto"/>
                <w:sz w:val="26"/>
                <w:szCs w:val="26"/>
                <w:lang w:val="en-US" w:eastAsia="zh-CN"/>
              </w:rPr>
              <w:t>贮存分区内地面、墙面裙脚、接触危险废物的隔板和墙体等应采用坚固的材料建造，表面无裂缝。废液压油、空压机含油废液等液态危险废物经桶装加盖密闭存放，在下方需设置托盘；铝灰渣暂存区位于室内，应设置有毒气体（氨）报警装置和除湿机，保证周边环境地面干燥、周围无渗漏雨水点。</w:t>
            </w:r>
          </w:p>
          <w:p w14:paraId="6995C27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④贮存设施地面与裙脚应采取表面防渗措施；表面防渗材料应与所接触的物料或污染物相容，可采用抗渗混凝土、高密度聚乙烯膜、钠基膨润土防水毯或其他防渗性能等效的材料。</w:t>
            </w:r>
          </w:p>
          <w:p w14:paraId="20ED968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 xml:space="preserve">⑤贮存库内不同贮存分区之间应采取隔离措施。隔离措施可根据危险废物特性采用过道、隔板或隔墙等方式。 </w:t>
            </w:r>
          </w:p>
          <w:p w14:paraId="44222F80">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本项目危险废物产生量共计1252.33t/a，危废类别较现有项目无较大变化，通过提高运转周期，沿用现有项目固废暂存管理制度，满足本项目固废收集、暂存需求。</w:t>
            </w:r>
          </w:p>
          <w:p w14:paraId="1274F82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通过以上措施后，</w:t>
            </w:r>
            <w:r>
              <w:rPr>
                <w:rFonts w:hint="eastAsia" w:ascii="Times New Roman" w:hAnsi="Times New Roman" w:eastAsia="宋体" w:cs="Times New Roman"/>
                <w:color w:val="auto"/>
                <w:sz w:val="26"/>
                <w:szCs w:val="26"/>
                <w:lang w:val="en-US" w:eastAsia="zh-CN"/>
              </w:rPr>
              <w:t>本项目</w:t>
            </w:r>
            <w:r>
              <w:rPr>
                <w:rFonts w:hint="default" w:ascii="Times New Roman" w:hAnsi="Times New Roman" w:eastAsia="宋体" w:cs="Times New Roman"/>
                <w:color w:val="auto"/>
                <w:sz w:val="26"/>
                <w:szCs w:val="26"/>
                <w:lang w:val="en-US" w:eastAsia="zh-CN"/>
              </w:rPr>
              <w:t>产生的固体废物均得到有效的处理和处置，不会造成二次污染，对环境</w:t>
            </w:r>
            <w:r>
              <w:rPr>
                <w:rFonts w:hint="eastAsia" w:ascii="Times New Roman" w:hAnsi="Times New Roman" w:eastAsia="宋体" w:cs="Times New Roman"/>
                <w:color w:val="auto"/>
                <w:sz w:val="26"/>
                <w:szCs w:val="26"/>
                <w:lang w:val="en-US" w:eastAsia="zh-CN"/>
              </w:rPr>
              <w:t>的</w:t>
            </w:r>
            <w:r>
              <w:rPr>
                <w:rFonts w:hint="default" w:ascii="Times New Roman" w:hAnsi="Times New Roman" w:eastAsia="宋体" w:cs="Times New Roman"/>
                <w:color w:val="auto"/>
                <w:sz w:val="26"/>
                <w:szCs w:val="26"/>
                <w:lang w:val="en-US" w:eastAsia="zh-CN"/>
              </w:rPr>
              <w:t>影响可接受。</w:t>
            </w:r>
          </w:p>
          <w:p w14:paraId="4EC6179C">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bookmarkStart w:id="8" w:name="_Toc28876220"/>
            <w:bookmarkStart w:id="9" w:name="_Toc425866013"/>
            <w:r>
              <w:rPr>
                <w:rFonts w:hint="eastAsia" w:ascii="Times New Roman" w:hAnsi="Times New Roman" w:eastAsia="宋体" w:cs="Times New Roman"/>
                <w:b/>
                <w:bCs/>
                <w:color w:val="auto"/>
                <w:sz w:val="26"/>
                <w:szCs w:val="26"/>
                <w:lang w:val="en-US" w:eastAsia="zh-CN"/>
              </w:rPr>
              <w:t>4.2.5</w:t>
            </w:r>
            <w:r>
              <w:rPr>
                <w:rFonts w:hint="default" w:ascii="Times New Roman" w:hAnsi="Times New Roman" w:eastAsia="宋体" w:cs="Times New Roman"/>
                <w:b/>
                <w:bCs/>
                <w:color w:val="auto"/>
                <w:sz w:val="26"/>
                <w:szCs w:val="26"/>
                <w:lang w:val="en-US" w:eastAsia="zh-CN"/>
              </w:rPr>
              <w:t>地下水</w:t>
            </w:r>
            <w:r>
              <w:rPr>
                <w:rFonts w:hint="eastAsia" w:ascii="Times New Roman" w:hAnsi="Times New Roman" w:eastAsia="宋体" w:cs="Times New Roman"/>
                <w:b/>
                <w:bCs/>
                <w:color w:val="auto"/>
                <w:sz w:val="26"/>
                <w:szCs w:val="26"/>
                <w:lang w:val="en-US" w:eastAsia="zh-CN"/>
              </w:rPr>
              <w:t>、土壤</w:t>
            </w:r>
          </w:p>
          <w:bookmarkEnd w:id="8"/>
          <w:bookmarkEnd w:id="9"/>
          <w:p w14:paraId="3553B1AF">
            <w:pPr>
              <w:adjustRightInd w:val="0"/>
              <w:snapToGrid w:val="0"/>
              <w:spacing w:line="460" w:lineRule="exact"/>
              <w:ind w:firstLine="520" w:firstLineChars="200"/>
              <w:rPr>
                <w:rFonts w:hint="default" w:ascii="Times New Roman" w:hAnsi="Times New Roman" w:eastAsia="宋体" w:cs="Times New Roman"/>
                <w:bCs/>
                <w:color w:val="auto"/>
                <w:sz w:val="26"/>
                <w:szCs w:val="26"/>
                <w:lang w:val="en-US" w:eastAsia="zh-CN"/>
              </w:rPr>
            </w:pPr>
            <w:bookmarkStart w:id="10" w:name="_Toc15631176"/>
            <w:bookmarkStart w:id="11" w:name="_Toc28876223"/>
            <w:r>
              <w:rPr>
                <w:rFonts w:hint="default" w:ascii="Times New Roman" w:hAnsi="Times New Roman" w:eastAsia="宋体" w:cs="Times New Roman"/>
                <w:bCs/>
                <w:color w:val="auto"/>
                <w:sz w:val="26"/>
                <w:szCs w:val="26"/>
                <w:lang w:val="en-US" w:eastAsia="zh-CN"/>
              </w:rPr>
              <w:t>本项目</w:t>
            </w:r>
            <w:r>
              <w:rPr>
                <w:rFonts w:hint="eastAsia" w:ascii="Times New Roman" w:hAnsi="Times New Roman" w:eastAsia="宋体" w:cs="Times New Roman"/>
                <w:bCs/>
                <w:color w:val="auto"/>
                <w:sz w:val="26"/>
                <w:szCs w:val="26"/>
                <w:lang w:val="en-US" w:eastAsia="zh-CN"/>
              </w:rPr>
              <w:t>不新增生活污水，</w:t>
            </w:r>
            <w:r>
              <w:rPr>
                <w:rFonts w:hint="default" w:ascii="Times New Roman" w:hAnsi="Times New Roman" w:eastAsia="宋体" w:cs="Times New Roman"/>
                <w:bCs/>
                <w:color w:val="auto"/>
                <w:sz w:val="26"/>
                <w:szCs w:val="26"/>
                <w:lang w:val="en-US" w:eastAsia="zh-CN"/>
              </w:rPr>
              <w:t>不涉及重金属及持久性污染物，亦不涉及剧毒化学品，地下水环境及土壤环境不敏感。</w:t>
            </w:r>
          </w:p>
          <w:p w14:paraId="6A9F24DC">
            <w:pPr>
              <w:adjustRightInd w:val="0"/>
              <w:snapToGrid w:val="0"/>
              <w:spacing w:line="460" w:lineRule="exact"/>
              <w:ind w:firstLine="520" w:firstLineChars="200"/>
              <w:rPr>
                <w:rFonts w:hint="default" w:ascii="Times New Roman" w:hAnsi="Times New Roman" w:eastAsia="宋体" w:cs="Times New Roman"/>
                <w:bCs/>
                <w:color w:val="auto"/>
                <w:sz w:val="26"/>
                <w:szCs w:val="26"/>
                <w:lang w:val="en-US" w:eastAsia="zh-CN"/>
              </w:rPr>
            </w:pPr>
            <w:r>
              <w:rPr>
                <w:rFonts w:hint="default" w:ascii="Times New Roman" w:hAnsi="Times New Roman" w:eastAsia="宋体" w:cs="Times New Roman"/>
                <w:bCs/>
                <w:color w:val="auto"/>
                <w:sz w:val="26"/>
                <w:szCs w:val="26"/>
                <w:lang w:val="en-US" w:eastAsia="zh-CN"/>
              </w:rPr>
              <w:t>厂区</w:t>
            </w:r>
            <w:r>
              <w:rPr>
                <w:rFonts w:hint="eastAsia" w:ascii="Times New Roman" w:hAnsi="Times New Roman" w:eastAsia="宋体" w:cs="Times New Roman"/>
                <w:bCs/>
                <w:color w:val="auto"/>
                <w:sz w:val="26"/>
                <w:szCs w:val="26"/>
                <w:lang w:val="en-US" w:eastAsia="zh-CN"/>
              </w:rPr>
              <w:t>已</w:t>
            </w:r>
            <w:r>
              <w:rPr>
                <w:rFonts w:hint="default" w:ascii="Times New Roman" w:hAnsi="Times New Roman" w:eastAsia="宋体" w:cs="Times New Roman"/>
                <w:bCs/>
                <w:color w:val="auto"/>
                <w:sz w:val="26"/>
                <w:szCs w:val="26"/>
                <w:lang w:val="en-US" w:eastAsia="zh-CN"/>
              </w:rPr>
              <w:t>对</w:t>
            </w:r>
            <w:r>
              <w:rPr>
                <w:rFonts w:hint="eastAsia" w:ascii="Times New Roman" w:hAnsi="Times New Roman" w:eastAsia="宋体" w:cs="Times New Roman"/>
                <w:bCs/>
                <w:color w:val="auto"/>
                <w:sz w:val="26"/>
                <w:szCs w:val="26"/>
                <w:lang w:val="en-US" w:eastAsia="zh-CN"/>
              </w:rPr>
              <w:t>危废贮存库及油品库</w:t>
            </w:r>
            <w:r>
              <w:rPr>
                <w:rFonts w:hint="default" w:ascii="Times New Roman" w:hAnsi="Times New Roman" w:eastAsia="宋体" w:cs="Times New Roman"/>
                <w:bCs/>
                <w:color w:val="auto"/>
                <w:sz w:val="26"/>
                <w:szCs w:val="26"/>
                <w:lang w:val="en-US" w:eastAsia="zh-CN"/>
              </w:rPr>
              <w:t>进行重点防渗，</w:t>
            </w:r>
            <w:r>
              <w:rPr>
                <w:rFonts w:hint="eastAsia" w:ascii="Times New Roman" w:hAnsi="Times New Roman" w:eastAsia="宋体" w:cs="Times New Roman"/>
                <w:bCs/>
                <w:color w:val="auto"/>
                <w:sz w:val="26"/>
                <w:szCs w:val="26"/>
                <w:lang w:val="en-US" w:eastAsia="zh-CN"/>
              </w:rPr>
              <w:t>满足等效黏土防渗层Mb≥6.0m、渗透系数K≤1.0×10</w:t>
            </w:r>
            <w:r>
              <w:rPr>
                <w:rFonts w:hint="eastAsia" w:ascii="Times New Roman" w:hAnsi="Times New Roman" w:eastAsia="宋体" w:cs="Times New Roman"/>
                <w:bCs/>
                <w:color w:val="auto"/>
                <w:sz w:val="26"/>
                <w:szCs w:val="26"/>
                <w:vertAlign w:val="superscript"/>
                <w:lang w:val="en-US" w:eastAsia="zh-CN"/>
              </w:rPr>
              <w:t>-7</w:t>
            </w:r>
            <w:r>
              <w:rPr>
                <w:rFonts w:hint="eastAsia" w:ascii="Times New Roman" w:hAnsi="Times New Roman" w:eastAsia="宋体" w:cs="Times New Roman"/>
                <w:bCs/>
                <w:color w:val="auto"/>
                <w:sz w:val="26"/>
                <w:szCs w:val="26"/>
                <w:lang w:val="en-US" w:eastAsia="zh-CN"/>
              </w:rPr>
              <w:t>cm/s，同时，危废贮存库还应满足</w:t>
            </w:r>
            <w:r>
              <w:rPr>
                <w:rFonts w:hint="default" w:ascii="Times New Roman" w:hAnsi="Times New Roman" w:eastAsia="宋体" w:cs="Times New Roman"/>
                <w:bCs/>
                <w:color w:val="auto"/>
                <w:sz w:val="26"/>
                <w:szCs w:val="26"/>
                <w:lang w:val="en-US" w:eastAsia="zh-CN"/>
              </w:rPr>
              <w:t>《危险废物贮存污染控制标准》（GB</w:t>
            </w:r>
            <w:r>
              <w:rPr>
                <w:rFonts w:hint="eastAsia" w:ascii="Times New Roman" w:hAnsi="Times New Roman" w:eastAsia="宋体" w:cs="Times New Roman"/>
                <w:bCs/>
                <w:color w:val="auto"/>
                <w:sz w:val="26"/>
                <w:szCs w:val="26"/>
                <w:lang w:val="en-US" w:eastAsia="zh-CN"/>
              </w:rPr>
              <w:t xml:space="preserve"> </w:t>
            </w:r>
            <w:r>
              <w:rPr>
                <w:rFonts w:hint="default" w:ascii="Times New Roman" w:hAnsi="Times New Roman" w:eastAsia="宋体" w:cs="Times New Roman"/>
                <w:bCs/>
                <w:color w:val="auto"/>
                <w:sz w:val="26"/>
                <w:szCs w:val="26"/>
                <w:lang w:val="en-US" w:eastAsia="zh-CN"/>
              </w:rPr>
              <w:t>18597-20</w:t>
            </w:r>
            <w:r>
              <w:rPr>
                <w:rFonts w:hint="eastAsia" w:ascii="Times New Roman" w:hAnsi="Times New Roman" w:eastAsia="宋体" w:cs="Times New Roman"/>
                <w:bCs/>
                <w:color w:val="auto"/>
                <w:sz w:val="26"/>
                <w:szCs w:val="26"/>
                <w:lang w:val="en-US" w:eastAsia="zh-CN"/>
              </w:rPr>
              <w:t>23</w:t>
            </w:r>
            <w:r>
              <w:rPr>
                <w:rFonts w:hint="default" w:ascii="Times New Roman" w:hAnsi="Times New Roman" w:eastAsia="宋体" w:cs="Times New Roman"/>
                <w:bCs/>
                <w:color w:val="auto"/>
                <w:sz w:val="26"/>
                <w:szCs w:val="26"/>
                <w:lang w:val="en-US" w:eastAsia="zh-CN"/>
              </w:rPr>
              <w:t>）</w:t>
            </w:r>
            <w:r>
              <w:rPr>
                <w:rFonts w:hint="eastAsia" w:ascii="Times New Roman" w:hAnsi="Times New Roman" w:eastAsia="宋体" w:cs="Times New Roman"/>
                <w:bCs/>
                <w:color w:val="auto"/>
                <w:sz w:val="26"/>
                <w:szCs w:val="26"/>
                <w:lang w:val="en-US" w:eastAsia="zh-CN"/>
              </w:rPr>
              <w:t>相关要求。</w:t>
            </w:r>
          </w:p>
          <w:p w14:paraId="6FA5A194">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bCs/>
                <w:color w:val="auto"/>
                <w:sz w:val="26"/>
                <w:szCs w:val="26"/>
                <w:lang w:val="en-US" w:eastAsia="zh-CN"/>
              </w:rPr>
            </w:pPr>
            <w:r>
              <w:rPr>
                <w:rFonts w:hint="default" w:ascii="Times New Roman" w:hAnsi="Times New Roman" w:eastAsia="宋体" w:cs="Times New Roman"/>
                <w:bCs/>
                <w:color w:val="auto"/>
                <w:sz w:val="26"/>
                <w:szCs w:val="26"/>
                <w:lang w:val="en-US" w:eastAsia="zh-CN"/>
              </w:rPr>
              <w:t>重点防渗区以外的其它生产区</w:t>
            </w:r>
            <w:r>
              <w:rPr>
                <w:rFonts w:hint="eastAsia" w:ascii="Times New Roman" w:hAnsi="Times New Roman" w:eastAsia="宋体" w:cs="Times New Roman"/>
                <w:bCs/>
                <w:color w:val="auto"/>
                <w:sz w:val="26"/>
                <w:szCs w:val="26"/>
                <w:lang w:val="en-US" w:eastAsia="zh-CN"/>
              </w:rPr>
              <w:t>、</w:t>
            </w:r>
            <w:r>
              <w:rPr>
                <w:rFonts w:hint="default" w:ascii="Times New Roman" w:hAnsi="Times New Roman" w:eastAsia="宋体" w:cs="Times New Roman"/>
                <w:bCs/>
                <w:color w:val="auto"/>
                <w:sz w:val="26"/>
                <w:szCs w:val="26"/>
                <w:lang w:val="en-US" w:eastAsia="zh-CN"/>
              </w:rPr>
              <w:t>一般固废间</w:t>
            </w:r>
            <w:r>
              <w:rPr>
                <w:rFonts w:hint="eastAsia" w:ascii="Times New Roman" w:hAnsi="Times New Roman" w:eastAsia="宋体" w:cs="Times New Roman"/>
                <w:bCs/>
                <w:color w:val="auto"/>
                <w:sz w:val="26"/>
                <w:szCs w:val="26"/>
                <w:lang w:val="en-US" w:eastAsia="zh-CN"/>
              </w:rPr>
              <w:t>已进行</w:t>
            </w:r>
            <w:r>
              <w:rPr>
                <w:rFonts w:hint="default" w:ascii="Times New Roman" w:hAnsi="Times New Roman" w:eastAsia="宋体" w:cs="Times New Roman"/>
                <w:bCs/>
                <w:color w:val="auto"/>
                <w:sz w:val="26"/>
                <w:szCs w:val="26"/>
                <w:lang w:val="en-US" w:eastAsia="zh-CN"/>
              </w:rPr>
              <w:t>一般防渗</w:t>
            </w:r>
            <w:r>
              <w:rPr>
                <w:rFonts w:hint="eastAsia" w:ascii="Times New Roman" w:hAnsi="Times New Roman" w:eastAsia="宋体" w:cs="Times New Roman"/>
                <w:bCs/>
                <w:color w:val="auto"/>
                <w:sz w:val="26"/>
                <w:szCs w:val="26"/>
                <w:lang w:val="en-US" w:eastAsia="zh-CN"/>
              </w:rPr>
              <w:t>，满足等效黏土防渗层 Mb≥1.5m，渗透系数 K≤10</w:t>
            </w:r>
            <w:r>
              <w:rPr>
                <w:rFonts w:hint="eastAsia" w:ascii="Times New Roman" w:hAnsi="Times New Roman" w:eastAsia="宋体" w:cs="Times New Roman"/>
                <w:bCs/>
                <w:color w:val="auto"/>
                <w:sz w:val="26"/>
                <w:szCs w:val="26"/>
                <w:vertAlign w:val="superscript"/>
                <w:lang w:val="en-US" w:eastAsia="zh-CN"/>
              </w:rPr>
              <w:t>-7</w:t>
            </w:r>
            <w:r>
              <w:rPr>
                <w:rFonts w:hint="eastAsia" w:ascii="Times New Roman" w:hAnsi="Times New Roman" w:eastAsia="宋体" w:cs="Times New Roman"/>
                <w:bCs/>
                <w:color w:val="auto"/>
                <w:sz w:val="26"/>
                <w:szCs w:val="26"/>
                <w:lang w:val="en-US" w:eastAsia="zh-CN"/>
              </w:rPr>
              <w:t>cm/s等相关要求。一般防渗渠其余区域进行了简单防渗。</w:t>
            </w:r>
          </w:p>
          <w:p w14:paraId="06B469B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采取上述措施后，本</w:t>
            </w:r>
            <w:r>
              <w:rPr>
                <w:rFonts w:hint="default" w:ascii="Times New Roman" w:hAnsi="Times New Roman" w:eastAsia="宋体" w:cs="Times New Roman"/>
                <w:color w:val="auto"/>
                <w:sz w:val="26"/>
                <w:szCs w:val="26"/>
                <w:lang w:val="en-US" w:eastAsia="zh-CN"/>
              </w:rPr>
              <w:t>项目无污染</w:t>
            </w:r>
            <w:r>
              <w:rPr>
                <w:rFonts w:hint="eastAsia" w:ascii="Times New Roman" w:hAnsi="Times New Roman" w:eastAsia="宋体" w:cs="Times New Roman"/>
                <w:color w:val="auto"/>
                <w:sz w:val="26"/>
                <w:szCs w:val="26"/>
                <w:lang w:val="en-US" w:eastAsia="zh-CN"/>
              </w:rPr>
              <w:t>地下水、土壤</w:t>
            </w:r>
            <w:r>
              <w:rPr>
                <w:rFonts w:hint="default" w:ascii="Times New Roman" w:hAnsi="Times New Roman" w:eastAsia="宋体" w:cs="Times New Roman"/>
                <w:color w:val="auto"/>
                <w:sz w:val="26"/>
                <w:szCs w:val="26"/>
                <w:lang w:val="en-US" w:eastAsia="zh-CN"/>
              </w:rPr>
              <w:t>环境影响途径</w:t>
            </w:r>
            <w:r>
              <w:rPr>
                <w:rFonts w:hint="eastAsia" w:ascii="Times New Roman" w:hAnsi="Times New Roman" w:eastAsia="宋体" w:cs="Times New Roman"/>
                <w:color w:val="auto"/>
                <w:sz w:val="26"/>
                <w:szCs w:val="26"/>
                <w:lang w:val="en-US" w:eastAsia="zh-CN"/>
              </w:rPr>
              <w:t>，</w:t>
            </w:r>
            <w:r>
              <w:rPr>
                <w:rFonts w:hint="default" w:ascii="Times New Roman" w:hAnsi="Times New Roman" w:eastAsia="宋体" w:cs="Times New Roman"/>
                <w:color w:val="auto"/>
                <w:sz w:val="26"/>
                <w:szCs w:val="26"/>
                <w:lang w:val="en-US" w:eastAsia="zh-CN"/>
              </w:rPr>
              <w:t>不会对土壤及地下水环境产生影响</w:t>
            </w:r>
            <w:r>
              <w:rPr>
                <w:rFonts w:hint="eastAsia" w:ascii="Times New Roman" w:hAnsi="Times New Roman" w:eastAsia="宋体" w:cs="Times New Roman"/>
                <w:color w:val="auto"/>
                <w:sz w:val="26"/>
                <w:szCs w:val="26"/>
                <w:lang w:val="en-US" w:eastAsia="zh-CN"/>
              </w:rPr>
              <w:t>。</w:t>
            </w:r>
          </w:p>
          <w:p w14:paraId="24449363">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Times New Roman"/>
                <w:b/>
                <w:bCs/>
                <w:color w:val="auto"/>
                <w:sz w:val="26"/>
                <w:szCs w:val="26"/>
                <w:lang w:val="en-US" w:eastAsia="zh-CN"/>
              </w:rPr>
            </w:pPr>
            <w:r>
              <w:rPr>
                <w:rFonts w:hint="default" w:ascii="Times New Roman" w:hAnsi="Times New Roman" w:eastAsia="宋体" w:cs="Times New Roman"/>
                <w:b/>
                <w:bCs/>
                <w:color w:val="auto"/>
                <w:sz w:val="26"/>
                <w:szCs w:val="26"/>
                <w:lang w:val="en-US" w:eastAsia="zh-CN"/>
              </w:rPr>
              <w:t>表4.2-</w:t>
            </w:r>
            <w:r>
              <w:rPr>
                <w:rFonts w:hint="eastAsia" w:ascii="Times New Roman" w:hAnsi="Times New Roman" w:eastAsia="宋体" w:cs="Times New Roman"/>
                <w:b/>
                <w:bCs/>
                <w:color w:val="auto"/>
                <w:sz w:val="26"/>
                <w:szCs w:val="26"/>
                <w:lang w:val="en-US" w:eastAsia="zh-CN"/>
              </w:rPr>
              <w:t>24</w:t>
            </w:r>
            <w:r>
              <w:rPr>
                <w:rFonts w:hint="default" w:ascii="Times New Roman" w:hAnsi="Times New Roman" w:eastAsia="宋体" w:cs="Times New Roman"/>
                <w:b/>
                <w:bCs/>
                <w:color w:val="auto"/>
                <w:sz w:val="26"/>
                <w:szCs w:val="26"/>
                <w:lang w:val="en-US" w:eastAsia="zh-CN"/>
              </w:rPr>
              <w:t xml:space="preserve">  </w:t>
            </w:r>
            <w:r>
              <w:rPr>
                <w:rFonts w:hint="eastAsia" w:ascii="Times New Roman" w:hAnsi="Times New Roman" w:eastAsia="宋体" w:cs="Times New Roman"/>
                <w:b/>
                <w:bCs/>
                <w:color w:val="auto"/>
                <w:sz w:val="26"/>
                <w:szCs w:val="26"/>
                <w:lang w:val="en-US" w:eastAsia="zh-CN"/>
              </w:rPr>
              <w:t>本项目分区防渗要求</w:t>
            </w:r>
            <w:r>
              <w:rPr>
                <w:rFonts w:hint="default" w:ascii="Times New Roman" w:hAnsi="Times New Roman" w:eastAsia="宋体" w:cs="Times New Roman"/>
                <w:b/>
                <w:bCs/>
                <w:color w:val="auto"/>
                <w:sz w:val="26"/>
                <w:szCs w:val="26"/>
                <w:lang w:val="en-US" w:eastAsia="zh-CN"/>
              </w:rPr>
              <w:t>表</w:t>
            </w:r>
          </w:p>
          <w:tbl>
            <w:tblPr>
              <w:tblStyle w:val="25"/>
              <w:tblW w:w="485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48"/>
              <w:gridCol w:w="2807"/>
              <w:gridCol w:w="3610"/>
            </w:tblGrid>
            <w:tr w14:paraId="791E66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1166" w:type="dxa"/>
                  <w:tcBorders>
                    <w:tl2br w:val="nil"/>
                    <w:tr2bl w:val="nil"/>
                  </w:tcBorders>
                  <w:noWrap w:val="0"/>
                  <w:vAlign w:val="center"/>
                </w:tcPr>
                <w:p w14:paraId="1F00B70E">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分区防渗</w:t>
                  </w:r>
                </w:p>
              </w:tc>
              <w:tc>
                <w:tcPr>
                  <w:tcW w:w="2261" w:type="dxa"/>
                  <w:tcBorders>
                    <w:tl2br w:val="nil"/>
                    <w:tr2bl w:val="nil"/>
                  </w:tcBorders>
                  <w:noWrap w:val="0"/>
                  <w:vAlign w:val="center"/>
                </w:tcPr>
                <w:p w14:paraId="03129482">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区域</w:t>
                  </w:r>
                </w:p>
              </w:tc>
              <w:tc>
                <w:tcPr>
                  <w:tcW w:w="2908" w:type="dxa"/>
                  <w:tcBorders>
                    <w:tl2br w:val="nil"/>
                    <w:tr2bl w:val="nil"/>
                  </w:tcBorders>
                  <w:noWrap w:val="0"/>
                  <w:vAlign w:val="center"/>
                </w:tcPr>
                <w:p w14:paraId="5B30D23C">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分区防渗要求</w:t>
                  </w:r>
                </w:p>
              </w:tc>
            </w:tr>
            <w:tr w14:paraId="33DC82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66" w:type="dxa"/>
                  <w:vMerge w:val="restart"/>
                  <w:tcBorders>
                    <w:tl2br w:val="nil"/>
                    <w:tr2bl w:val="nil"/>
                  </w:tcBorders>
                  <w:noWrap w:val="0"/>
                  <w:vAlign w:val="center"/>
                </w:tcPr>
                <w:p w14:paraId="2D618F62">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重点</w:t>
                  </w:r>
                </w:p>
                <w:p w14:paraId="45139AEA">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防渗区</w:t>
                  </w:r>
                </w:p>
              </w:tc>
              <w:tc>
                <w:tcPr>
                  <w:tcW w:w="2261" w:type="dxa"/>
                  <w:tcBorders>
                    <w:tl2br w:val="nil"/>
                    <w:tr2bl w:val="nil"/>
                  </w:tcBorders>
                  <w:noWrap w:val="0"/>
                  <w:vAlign w:val="center"/>
                </w:tcPr>
                <w:p w14:paraId="1E58919E">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危废贮存库</w:t>
                  </w:r>
                </w:p>
              </w:tc>
              <w:tc>
                <w:tcPr>
                  <w:tcW w:w="2908" w:type="dxa"/>
                  <w:tcBorders>
                    <w:tl2br w:val="nil"/>
                    <w:tr2bl w:val="nil"/>
                  </w:tcBorders>
                  <w:noWrap w:val="0"/>
                  <w:vAlign w:val="center"/>
                </w:tcPr>
                <w:p w14:paraId="2827C725">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sz w:val="22"/>
                      <w:szCs w:val="22"/>
                    </w:rPr>
                    <w:t>《危险废物贮存污染控制标准》（GB18597-2023）</w:t>
                  </w:r>
                  <w:r>
                    <w:rPr>
                      <w:rFonts w:hint="default" w:ascii="Times New Roman" w:hAnsi="Times New Roman" w:eastAsia="宋体" w:cs="Times New Roman"/>
                      <w:color w:val="auto"/>
                      <w:sz w:val="22"/>
                      <w:szCs w:val="22"/>
                      <w:lang w:eastAsia="zh-CN"/>
                    </w:rPr>
                    <w:t>相关</w:t>
                  </w:r>
                  <w:r>
                    <w:rPr>
                      <w:rFonts w:hint="default" w:ascii="Times New Roman" w:hAnsi="Times New Roman" w:eastAsia="宋体" w:cs="Times New Roman"/>
                      <w:color w:val="auto"/>
                      <w:sz w:val="22"/>
                      <w:szCs w:val="22"/>
                    </w:rPr>
                    <w:t>要求（渗透系数≤10</w:t>
                  </w:r>
                  <w:r>
                    <w:rPr>
                      <w:rFonts w:hint="default" w:ascii="Times New Roman" w:hAnsi="Times New Roman" w:eastAsia="宋体" w:cs="Times New Roman"/>
                      <w:color w:val="auto"/>
                      <w:sz w:val="22"/>
                      <w:szCs w:val="22"/>
                      <w:vertAlign w:val="superscript"/>
                    </w:rPr>
                    <w:t>-10</w:t>
                  </w:r>
                  <w:r>
                    <w:rPr>
                      <w:rFonts w:hint="default" w:ascii="Times New Roman" w:hAnsi="Times New Roman" w:eastAsia="宋体" w:cs="Times New Roman"/>
                      <w:color w:val="auto"/>
                      <w:sz w:val="22"/>
                      <w:szCs w:val="22"/>
                    </w:rPr>
                    <w:t>cm/s）</w:t>
                  </w:r>
                </w:p>
              </w:tc>
            </w:tr>
            <w:tr w14:paraId="3CDC1D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66" w:type="dxa"/>
                  <w:vMerge w:val="continue"/>
                  <w:tcBorders>
                    <w:tl2br w:val="nil"/>
                    <w:tr2bl w:val="nil"/>
                  </w:tcBorders>
                  <w:noWrap w:val="0"/>
                  <w:vAlign w:val="center"/>
                </w:tcPr>
                <w:p w14:paraId="1452D723">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p>
              </w:tc>
              <w:tc>
                <w:tcPr>
                  <w:tcW w:w="2261" w:type="dxa"/>
                  <w:tcBorders>
                    <w:tl2br w:val="nil"/>
                    <w:tr2bl w:val="nil"/>
                  </w:tcBorders>
                  <w:noWrap w:val="0"/>
                  <w:vAlign w:val="center"/>
                </w:tcPr>
                <w:p w14:paraId="59CCF89B">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油品库房</w:t>
                  </w:r>
                </w:p>
              </w:tc>
              <w:tc>
                <w:tcPr>
                  <w:tcW w:w="2908" w:type="dxa"/>
                  <w:tcBorders>
                    <w:tl2br w:val="nil"/>
                    <w:tr2bl w:val="nil"/>
                  </w:tcBorders>
                  <w:noWrap w:val="0"/>
                  <w:vAlign w:val="center"/>
                </w:tcPr>
                <w:p w14:paraId="4E56F8E9">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sz w:val="22"/>
                      <w:szCs w:val="22"/>
                    </w:rPr>
                    <w:t>等效黏土防渗层Mb≥6.0m、渗透系数K≤1.0×10</w:t>
                  </w:r>
                  <w:r>
                    <w:rPr>
                      <w:rFonts w:hint="default" w:ascii="Times New Roman" w:hAnsi="Times New Roman" w:eastAsia="宋体" w:cs="Times New Roman"/>
                      <w:color w:val="auto"/>
                      <w:sz w:val="22"/>
                      <w:szCs w:val="22"/>
                      <w:vertAlign w:val="superscript"/>
                    </w:rPr>
                    <w:t>-7</w:t>
                  </w:r>
                  <w:r>
                    <w:rPr>
                      <w:rFonts w:hint="default" w:ascii="Times New Roman" w:hAnsi="Times New Roman" w:eastAsia="宋体" w:cs="Times New Roman"/>
                      <w:color w:val="auto"/>
                      <w:sz w:val="22"/>
                      <w:szCs w:val="22"/>
                    </w:rPr>
                    <w:t>cm/s</w:t>
                  </w:r>
                </w:p>
              </w:tc>
            </w:tr>
            <w:tr w14:paraId="419E7F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66" w:type="dxa"/>
                  <w:tcBorders>
                    <w:tl2br w:val="nil"/>
                    <w:tr2bl w:val="nil"/>
                  </w:tcBorders>
                  <w:noWrap w:val="0"/>
                  <w:vAlign w:val="center"/>
                </w:tcPr>
                <w:p w14:paraId="32EA909B">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一般</w:t>
                  </w:r>
                </w:p>
                <w:p w14:paraId="5FD4E120">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防渗区</w:t>
                  </w:r>
                </w:p>
              </w:tc>
              <w:tc>
                <w:tcPr>
                  <w:tcW w:w="2261" w:type="dxa"/>
                  <w:tcBorders>
                    <w:tl2br w:val="nil"/>
                    <w:tr2bl w:val="nil"/>
                  </w:tcBorders>
                  <w:noWrap w:val="0"/>
                  <w:vAlign w:val="center"/>
                </w:tcPr>
                <w:p w14:paraId="7575E88F">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除了上述重点防渗区以外的其它生产区</w:t>
                  </w:r>
                </w:p>
              </w:tc>
              <w:tc>
                <w:tcPr>
                  <w:tcW w:w="2908" w:type="dxa"/>
                  <w:tcBorders>
                    <w:tl2br w:val="nil"/>
                    <w:tr2bl w:val="nil"/>
                  </w:tcBorders>
                  <w:noWrap w:val="0"/>
                  <w:vAlign w:val="center"/>
                </w:tcPr>
                <w:p w14:paraId="128464B6">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 xml:space="preserve">等效黏土防渗层 </w:t>
                  </w:r>
                  <w:r>
                    <w:rPr>
                      <w:rFonts w:hint="default" w:ascii="Times New Roman" w:hAnsi="Times New Roman" w:eastAsia="宋体" w:cs="Times New Roman"/>
                      <w:color w:val="auto"/>
                      <w:kern w:val="0"/>
                      <w:sz w:val="22"/>
                      <w:szCs w:val="22"/>
                      <w:lang w:val="en-US" w:eastAsia="zh-CN" w:bidi="ar-SA"/>
                    </w:rPr>
                    <w:t>Mb≥1.5m</w:t>
                  </w:r>
                  <w:r>
                    <w:rPr>
                      <w:rFonts w:hint="eastAsia" w:ascii="Times New Roman" w:hAnsi="Times New Roman" w:eastAsia="宋体" w:cs="Times New Roman"/>
                      <w:color w:val="auto"/>
                      <w:kern w:val="0"/>
                      <w:sz w:val="22"/>
                      <w:szCs w:val="22"/>
                      <w:lang w:val="en-US" w:eastAsia="zh-CN" w:bidi="ar-SA"/>
                    </w:rPr>
                    <w:t>，</w:t>
                  </w:r>
                </w:p>
                <w:p w14:paraId="03B7DCEC">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 xml:space="preserve">渗透系数 </w:t>
                  </w:r>
                  <w:r>
                    <w:rPr>
                      <w:rFonts w:hint="default" w:ascii="Times New Roman" w:hAnsi="Times New Roman" w:eastAsia="宋体" w:cs="Times New Roman"/>
                      <w:color w:val="auto"/>
                      <w:kern w:val="0"/>
                      <w:sz w:val="22"/>
                      <w:szCs w:val="22"/>
                      <w:lang w:val="en-US" w:eastAsia="zh-CN" w:bidi="ar-SA"/>
                    </w:rPr>
                    <w:t>K≤10</w:t>
                  </w:r>
                  <w:r>
                    <w:rPr>
                      <w:rFonts w:hint="default" w:ascii="Times New Roman" w:hAnsi="Times New Roman" w:eastAsia="宋体" w:cs="Times New Roman"/>
                      <w:color w:val="auto"/>
                      <w:kern w:val="0"/>
                      <w:sz w:val="22"/>
                      <w:szCs w:val="22"/>
                      <w:vertAlign w:val="superscript"/>
                      <w:lang w:val="en-US" w:eastAsia="zh-CN" w:bidi="ar-SA"/>
                    </w:rPr>
                    <w:t>-7</w:t>
                  </w:r>
                  <w:r>
                    <w:rPr>
                      <w:rFonts w:hint="default" w:ascii="Times New Roman" w:hAnsi="Times New Roman" w:eastAsia="宋体" w:cs="Times New Roman"/>
                      <w:color w:val="auto"/>
                      <w:kern w:val="0"/>
                      <w:sz w:val="22"/>
                      <w:szCs w:val="22"/>
                      <w:lang w:val="en-US" w:eastAsia="zh-CN" w:bidi="ar-SA"/>
                    </w:rPr>
                    <w:t>cm/s</w:t>
                  </w:r>
                </w:p>
              </w:tc>
            </w:tr>
            <w:tr w14:paraId="53C281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66" w:type="dxa"/>
                  <w:tcBorders>
                    <w:tl2br w:val="nil"/>
                    <w:tr2bl w:val="nil"/>
                  </w:tcBorders>
                  <w:noWrap w:val="0"/>
                  <w:vAlign w:val="center"/>
                </w:tcPr>
                <w:p w14:paraId="1DA93446">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简单</w:t>
                  </w:r>
                </w:p>
                <w:p w14:paraId="0FC727ED">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防渗区</w:t>
                  </w:r>
                </w:p>
              </w:tc>
              <w:tc>
                <w:tcPr>
                  <w:tcW w:w="2261" w:type="dxa"/>
                  <w:tcBorders>
                    <w:tl2br w:val="nil"/>
                    <w:tr2bl w:val="nil"/>
                  </w:tcBorders>
                  <w:noWrap w:val="0"/>
                  <w:vAlign w:val="center"/>
                </w:tcPr>
                <w:p w14:paraId="22DD2AFF">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除重点防渗区及一般防渗区</w:t>
                  </w:r>
                </w:p>
              </w:tc>
              <w:tc>
                <w:tcPr>
                  <w:tcW w:w="2908" w:type="dxa"/>
                  <w:tcBorders>
                    <w:tl2br w:val="nil"/>
                    <w:tr2bl w:val="nil"/>
                  </w:tcBorders>
                  <w:noWrap w:val="0"/>
                  <w:vAlign w:val="center"/>
                </w:tcPr>
                <w:p w14:paraId="15576546">
                  <w:pPr>
                    <w:keepNext w:val="0"/>
                    <w:keepLines w:val="0"/>
                    <w:pageBreakBefore w:val="0"/>
                    <w:widowControl w:val="0"/>
                    <w:kinsoku/>
                    <w:wordWrap/>
                    <w:overflowPunct/>
                    <w:topLinePunct/>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2"/>
                      <w:szCs w:val="22"/>
                      <w:lang w:val="en-US" w:eastAsia="zh-CN" w:bidi="ar-SA"/>
                    </w:rPr>
                  </w:pPr>
                  <w:r>
                    <w:rPr>
                      <w:rFonts w:hint="eastAsia" w:ascii="Times New Roman" w:hAnsi="Times New Roman" w:eastAsia="宋体" w:cs="Times New Roman"/>
                      <w:color w:val="auto"/>
                      <w:kern w:val="0"/>
                      <w:sz w:val="22"/>
                      <w:szCs w:val="22"/>
                      <w:lang w:val="en-US" w:eastAsia="zh-CN" w:bidi="ar-SA"/>
                    </w:rPr>
                    <w:t>一般地面硬化</w:t>
                  </w:r>
                </w:p>
              </w:tc>
            </w:tr>
            <w:bookmarkEnd w:id="10"/>
            <w:bookmarkEnd w:id="11"/>
          </w:tbl>
          <w:p w14:paraId="31DFDBF6">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eastAsia" w:ascii="Times New Roman" w:hAnsi="Times New Roman" w:eastAsia="宋体" w:cs="Times New Roman"/>
                <w:b/>
                <w:bCs/>
                <w:color w:val="auto"/>
                <w:sz w:val="26"/>
                <w:szCs w:val="26"/>
                <w:lang w:val="en-US" w:eastAsia="zh-CN"/>
              </w:rPr>
            </w:pPr>
          </w:p>
          <w:p w14:paraId="5A50C0F9">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4.2.6环境风险</w:t>
            </w:r>
          </w:p>
          <w:p w14:paraId="71DECF67">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4.2.6.1环境风险源调查</w:t>
            </w:r>
          </w:p>
          <w:p w14:paraId="2AB6F6F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szCs w:val="26"/>
                <w:highlight w:val="none"/>
              </w:rPr>
              <w:t>根据《建设项目环境风险评价技术导则》（HJ169-2018）附录B 、《危险化学品目录》</w:t>
            </w:r>
            <w:r>
              <w:rPr>
                <w:rFonts w:hint="eastAsia" w:ascii="Times New Roman" w:hAnsi="Times New Roman" w:eastAsia="宋体" w:cs="Times New Roman"/>
                <w:color w:val="auto"/>
                <w:sz w:val="26"/>
                <w:szCs w:val="26"/>
                <w:highlight w:val="none"/>
                <w:lang w:eastAsia="zh-CN"/>
              </w:rPr>
              <w:t>（</w:t>
            </w:r>
            <w:r>
              <w:rPr>
                <w:rFonts w:hint="default" w:ascii="Times New Roman" w:hAnsi="Times New Roman" w:eastAsia="宋体" w:cs="Times New Roman"/>
                <w:color w:val="auto"/>
                <w:sz w:val="26"/>
                <w:szCs w:val="26"/>
                <w:highlight w:val="none"/>
              </w:rPr>
              <w:t>2018版</w:t>
            </w:r>
            <w:r>
              <w:rPr>
                <w:rFonts w:hint="eastAsia" w:ascii="Times New Roman" w:hAnsi="Times New Roman" w:eastAsia="宋体" w:cs="Times New Roman"/>
                <w:color w:val="auto"/>
                <w:sz w:val="26"/>
                <w:szCs w:val="26"/>
                <w:highlight w:val="none"/>
                <w:lang w:eastAsia="zh-CN"/>
              </w:rPr>
              <w:t>）</w:t>
            </w:r>
            <w:r>
              <w:rPr>
                <w:rFonts w:hint="default" w:ascii="Times New Roman" w:hAnsi="Times New Roman" w:eastAsia="宋体" w:cs="Times New Roman"/>
                <w:color w:val="auto"/>
                <w:sz w:val="26"/>
                <w:szCs w:val="26"/>
                <w:highlight w:val="none"/>
              </w:rPr>
              <w:t>和《危险化学品重大危险源辨识》（GB18218-2018）有关规定，</w:t>
            </w:r>
            <w:r>
              <w:rPr>
                <w:rFonts w:hint="eastAsia" w:ascii="Times New Roman" w:hAnsi="Times New Roman" w:eastAsia="宋体" w:cs="Times New Roman"/>
                <w:color w:val="auto"/>
                <w:sz w:val="26"/>
                <w:szCs w:val="26"/>
                <w:highlight w:val="none"/>
                <w:lang w:val="en-US" w:eastAsia="zh-CN"/>
              </w:rPr>
              <w:t>全厂</w:t>
            </w:r>
            <w:r>
              <w:rPr>
                <w:rFonts w:hint="default" w:ascii="Times New Roman" w:hAnsi="Times New Roman" w:eastAsia="宋体" w:cs="Times New Roman"/>
                <w:color w:val="auto"/>
                <w:sz w:val="26"/>
                <w:szCs w:val="26"/>
                <w:highlight w:val="none"/>
                <w:lang w:eastAsia="zh-CN"/>
              </w:rPr>
              <w:t>涉及的环境风险的物质</w:t>
            </w:r>
            <w:r>
              <w:rPr>
                <w:rFonts w:hint="eastAsia" w:ascii="Times New Roman" w:hAnsi="Times New Roman" w:eastAsia="宋体" w:cs="Times New Roman"/>
                <w:color w:val="auto"/>
                <w:sz w:val="26"/>
                <w:szCs w:val="26"/>
                <w:highlight w:val="none"/>
                <w:lang w:val="en-US" w:eastAsia="zh-CN"/>
              </w:rPr>
              <w:t>主要为油类物质（润滑油、液压油、柴油、切削液）及危废贮存库涉及的废液压油、空压机含油废液、铝灰渣（氮化铝）等。本项目实施后，全厂的环境风险物质贮存情况详见下表。</w:t>
            </w:r>
          </w:p>
          <w:p w14:paraId="6A7B411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color w:val="auto"/>
                <w:sz w:val="26"/>
                <w:szCs w:val="26"/>
                <w:highlight w:val="none"/>
                <w:lang w:val="en-US" w:eastAsia="zh-CN"/>
              </w:rPr>
            </w:pPr>
          </w:p>
          <w:p w14:paraId="5FA4480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color w:val="auto"/>
                <w:sz w:val="26"/>
                <w:szCs w:val="26"/>
                <w:highlight w:val="none"/>
                <w:lang w:val="en-US" w:eastAsia="zh-CN"/>
              </w:rPr>
            </w:pPr>
          </w:p>
          <w:p w14:paraId="73043FC6">
            <w:pPr>
              <w:spacing w:line="460" w:lineRule="exact"/>
              <w:jc w:val="center"/>
              <w:rPr>
                <w:rFonts w:hint="eastAsia" w:ascii="Times New Roman" w:hAnsi="Times New Roman" w:eastAsia="宋体" w:cs="Times New Roman"/>
                <w:b/>
                <w:bCs/>
                <w:color w:val="auto"/>
                <w:sz w:val="26"/>
                <w:szCs w:val="26"/>
                <w:highlight w:val="none"/>
                <w:lang w:val="en-US" w:eastAsia="zh-CN"/>
              </w:rPr>
            </w:pPr>
            <w:r>
              <w:rPr>
                <w:rFonts w:hint="default" w:ascii="Times New Roman" w:hAnsi="Times New Roman" w:eastAsia="宋体" w:cs="Times New Roman"/>
                <w:b/>
                <w:bCs/>
                <w:color w:val="auto"/>
                <w:sz w:val="26"/>
                <w:szCs w:val="26"/>
                <w:highlight w:val="none"/>
                <w:lang w:val="en-US" w:eastAsia="zh-CN"/>
              </w:rPr>
              <w:t>表4.2-</w:t>
            </w:r>
            <w:r>
              <w:rPr>
                <w:rFonts w:hint="eastAsia" w:ascii="Times New Roman" w:hAnsi="Times New Roman" w:eastAsia="宋体" w:cs="Times New Roman"/>
                <w:b/>
                <w:bCs/>
                <w:color w:val="auto"/>
                <w:sz w:val="26"/>
                <w:szCs w:val="26"/>
                <w:highlight w:val="none"/>
                <w:lang w:val="en-US" w:eastAsia="zh-CN"/>
              </w:rPr>
              <w:t>25  全厂风险物质贮存一览表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84"/>
              <w:gridCol w:w="882"/>
              <w:gridCol w:w="1218"/>
              <w:gridCol w:w="2234"/>
              <w:gridCol w:w="1447"/>
            </w:tblGrid>
            <w:tr w14:paraId="27574F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84" w:type="dxa"/>
                  <w:tcBorders>
                    <w:tl2br w:val="nil"/>
                    <w:tr2bl w:val="nil"/>
                  </w:tcBorders>
                  <w:noWrap w:val="0"/>
                  <w:vAlign w:val="center"/>
                </w:tcPr>
                <w:p w14:paraId="044797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物料名称</w:t>
                  </w:r>
                </w:p>
              </w:tc>
              <w:tc>
                <w:tcPr>
                  <w:tcW w:w="882" w:type="dxa"/>
                  <w:tcBorders>
                    <w:tl2br w:val="nil"/>
                    <w:tr2bl w:val="nil"/>
                  </w:tcBorders>
                  <w:noWrap w:val="0"/>
                  <w:vAlign w:val="center"/>
                </w:tcPr>
                <w:p w14:paraId="5DD8DD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形态</w:t>
                  </w:r>
                </w:p>
              </w:tc>
              <w:tc>
                <w:tcPr>
                  <w:tcW w:w="1218" w:type="dxa"/>
                  <w:tcBorders>
                    <w:tl2br w:val="nil"/>
                    <w:tr2bl w:val="nil"/>
                  </w:tcBorders>
                  <w:noWrap w:val="0"/>
                  <w:vAlign w:val="center"/>
                </w:tcPr>
                <w:p w14:paraId="106082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包装规格</w:t>
                  </w:r>
                </w:p>
              </w:tc>
              <w:tc>
                <w:tcPr>
                  <w:tcW w:w="2234" w:type="dxa"/>
                  <w:tcBorders>
                    <w:tl2br w:val="nil"/>
                    <w:tr2bl w:val="nil"/>
                  </w:tcBorders>
                  <w:noWrap w:val="0"/>
                  <w:vAlign w:val="center"/>
                </w:tcPr>
                <w:p w14:paraId="7D6543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最大贮存量</w:t>
                  </w:r>
                </w:p>
              </w:tc>
              <w:tc>
                <w:tcPr>
                  <w:tcW w:w="1447" w:type="dxa"/>
                  <w:tcBorders>
                    <w:tl2br w:val="nil"/>
                    <w:tr2bl w:val="nil"/>
                  </w:tcBorders>
                  <w:noWrap w:val="0"/>
                  <w:vAlign w:val="center"/>
                </w:tcPr>
                <w:p w14:paraId="4F4CAC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贮存场所</w:t>
                  </w:r>
                </w:p>
              </w:tc>
            </w:tr>
            <w:tr w14:paraId="7DA008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84" w:type="dxa"/>
                  <w:tcBorders>
                    <w:tl2br w:val="nil"/>
                    <w:tr2bl w:val="nil"/>
                  </w:tcBorders>
                  <w:noWrap w:val="0"/>
                  <w:vAlign w:val="center"/>
                </w:tcPr>
                <w:p w14:paraId="6E9CB1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润滑油</w:t>
                  </w:r>
                </w:p>
              </w:tc>
              <w:tc>
                <w:tcPr>
                  <w:tcW w:w="882" w:type="dxa"/>
                  <w:tcBorders>
                    <w:tl2br w:val="nil"/>
                    <w:tr2bl w:val="nil"/>
                  </w:tcBorders>
                  <w:noWrap w:val="0"/>
                  <w:vAlign w:val="center"/>
                </w:tcPr>
                <w:p w14:paraId="410C02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液态</w:t>
                  </w:r>
                </w:p>
              </w:tc>
              <w:tc>
                <w:tcPr>
                  <w:tcW w:w="1218" w:type="dxa"/>
                  <w:tcBorders>
                    <w:tl2br w:val="nil"/>
                    <w:tr2bl w:val="nil"/>
                  </w:tcBorders>
                  <w:noWrap w:val="0"/>
                  <w:vAlign w:val="center"/>
                </w:tcPr>
                <w:p w14:paraId="32AEC7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170kg</w:t>
                  </w:r>
                  <w:r>
                    <w:rPr>
                      <w:rFonts w:hint="default" w:ascii="Times New Roman" w:hAnsi="Times New Roman" w:eastAsia="宋体" w:cs="Times New Roman"/>
                      <w:snapToGrid w:val="0"/>
                      <w:color w:val="auto"/>
                      <w:kern w:val="0"/>
                      <w:sz w:val="22"/>
                      <w:szCs w:val="22"/>
                      <w:highlight w:val="none"/>
                      <w:lang w:val="en-US" w:eastAsia="zh-CN" w:bidi="ar-SA"/>
                    </w:rPr>
                    <w:t>/</w:t>
                  </w:r>
                  <w:r>
                    <w:rPr>
                      <w:rFonts w:hint="eastAsia" w:ascii="Times New Roman" w:hAnsi="Times New Roman" w:eastAsia="宋体" w:cs="Times New Roman"/>
                      <w:snapToGrid w:val="0"/>
                      <w:color w:val="auto"/>
                      <w:kern w:val="0"/>
                      <w:sz w:val="22"/>
                      <w:szCs w:val="22"/>
                      <w:highlight w:val="none"/>
                      <w:lang w:val="en-US" w:eastAsia="zh-CN" w:bidi="ar-SA"/>
                    </w:rPr>
                    <w:t>桶</w:t>
                  </w:r>
                </w:p>
              </w:tc>
              <w:tc>
                <w:tcPr>
                  <w:tcW w:w="2234" w:type="dxa"/>
                  <w:tcBorders>
                    <w:tl2br w:val="nil"/>
                    <w:tr2bl w:val="nil"/>
                  </w:tcBorders>
                  <w:noWrap w:val="0"/>
                  <w:vAlign w:val="center"/>
                </w:tcPr>
                <w:p w14:paraId="525A8D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0.85t（5桶）</w:t>
                  </w:r>
                </w:p>
              </w:tc>
              <w:tc>
                <w:tcPr>
                  <w:tcW w:w="1447" w:type="dxa"/>
                  <w:tcBorders>
                    <w:tl2br w:val="nil"/>
                    <w:tr2bl w:val="nil"/>
                  </w:tcBorders>
                  <w:noWrap w:val="0"/>
                  <w:vAlign w:val="center"/>
                </w:tcPr>
                <w:p w14:paraId="437342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油库</w:t>
                  </w:r>
                </w:p>
              </w:tc>
            </w:tr>
            <w:tr w14:paraId="185F4D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84" w:type="dxa"/>
                  <w:tcBorders>
                    <w:tl2br w:val="nil"/>
                    <w:tr2bl w:val="nil"/>
                  </w:tcBorders>
                  <w:noWrap w:val="0"/>
                  <w:vAlign w:val="center"/>
                </w:tcPr>
                <w:p w14:paraId="0196F5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液压油</w:t>
                  </w:r>
                </w:p>
              </w:tc>
              <w:tc>
                <w:tcPr>
                  <w:tcW w:w="882" w:type="dxa"/>
                  <w:tcBorders>
                    <w:tl2br w:val="nil"/>
                    <w:tr2bl w:val="nil"/>
                  </w:tcBorders>
                  <w:noWrap w:val="0"/>
                  <w:vAlign w:val="center"/>
                </w:tcPr>
                <w:p w14:paraId="750E12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液态</w:t>
                  </w:r>
                </w:p>
              </w:tc>
              <w:tc>
                <w:tcPr>
                  <w:tcW w:w="1218" w:type="dxa"/>
                  <w:tcBorders>
                    <w:tl2br w:val="nil"/>
                    <w:tr2bl w:val="nil"/>
                  </w:tcBorders>
                  <w:noWrap w:val="0"/>
                  <w:vAlign w:val="center"/>
                </w:tcPr>
                <w:p w14:paraId="25722A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170kg</w:t>
                  </w:r>
                  <w:r>
                    <w:rPr>
                      <w:rFonts w:hint="default" w:ascii="Times New Roman" w:hAnsi="Times New Roman" w:eastAsia="宋体" w:cs="Times New Roman"/>
                      <w:snapToGrid w:val="0"/>
                      <w:color w:val="auto"/>
                      <w:kern w:val="0"/>
                      <w:sz w:val="22"/>
                      <w:szCs w:val="22"/>
                      <w:highlight w:val="none"/>
                      <w:lang w:val="en-US" w:eastAsia="zh-CN" w:bidi="ar-SA"/>
                    </w:rPr>
                    <w:t>/</w:t>
                  </w:r>
                  <w:r>
                    <w:rPr>
                      <w:rFonts w:hint="eastAsia" w:ascii="Times New Roman" w:hAnsi="Times New Roman" w:eastAsia="宋体" w:cs="Times New Roman"/>
                      <w:snapToGrid w:val="0"/>
                      <w:color w:val="auto"/>
                      <w:kern w:val="0"/>
                      <w:sz w:val="22"/>
                      <w:szCs w:val="22"/>
                      <w:highlight w:val="none"/>
                      <w:lang w:val="en-US" w:eastAsia="zh-CN" w:bidi="ar-SA"/>
                    </w:rPr>
                    <w:t>桶</w:t>
                  </w:r>
                </w:p>
              </w:tc>
              <w:tc>
                <w:tcPr>
                  <w:tcW w:w="2234" w:type="dxa"/>
                  <w:tcBorders>
                    <w:tl2br w:val="nil"/>
                    <w:tr2bl w:val="nil"/>
                  </w:tcBorders>
                  <w:noWrap w:val="0"/>
                  <w:vAlign w:val="center"/>
                </w:tcPr>
                <w:p w14:paraId="0A087C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0.85t（5桶）</w:t>
                  </w:r>
                </w:p>
              </w:tc>
              <w:tc>
                <w:tcPr>
                  <w:tcW w:w="1447" w:type="dxa"/>
                  <w:tcBorders>
                    <w:tl2br w:val="nil"/>
                    <w:tr2bl w:val="nil"/>
                  </w:tcBorders>
                  <w:noWrap w:val="0"/>
                  <w:vAlign w:val="center"/>
                </w:tcPr>
                <w:p w14:paraId="0054A4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油库</w:t>
                  </w:r>
                </w:p>
              </w:tc>
            </w:tr>
            <w:tr w14:paraId="2E3B5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84" w:type="dxa"/>
                  <w:tcBorders>
                    <w:tl2br w:val="nil"/>
                    <w:tr2bl w:val="nil"/>
                  </w:tcBorders>
                  <w:noWrap w:val="0"/>
                  <w:vAlign w:val="center"/>
                </w:tcPr>
                <w:p w14:paraId="7F08D7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柴油</w:t>
                  </w:r>
                </w:p>
              </w:tc>
              <w:tc>
                <w:tcPr>
                  <w:tcW w:w="882" w:type="dxa"/>
                  <w:tcBorders>
                    <w:tl2br w:val="nil"/>
                    <w:tr2bl w:val="nil"/>
                  </w:tcBorders>
                  <w:noWrap w:val="0"/>
                  <w:vAlign w:val="center"/>
                </w:tcPr>
                <w:p w14:paraId="3BFD2F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液态</w:t>
                  </w:r>
                </w:p>
              </w:tc>
              <w:tc>
                <w:tcPr>
                  <w:tcW w:w="1218" w:type="dxa"/>
                  <w:tcBorders>
                    <w:tl2br w:val="nil"/>
                    <w:tr2bl w:val="nil"/>
                  </w:tcBorders>
                  <w:noWrap w:val="0"/>
                  <w:vAlign w:val="center"/>
                </w:tcPr>
                <w:p w14:paraId="0ED389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kern w:val="0"/>
                      <w:sz w:val="22"/>
                      <w:szCs w:val="22"/>
                      <w:highlight w:val="none"/>
                      <w:lang w:val="en-US" w:eastAsia="zh-CN"/>
                    </w:rPr>
                  </w:pPr>
                  <w:r>
                    <w:rPr>
                      <w:rFonts w:hint="eastAsia" w:ascii="Times New Roman" w:hAnsi="Times New Roman" w:eastAsia="宋体" w:cs="Times New Roman"/>
                      <w:snapToGrid w:val="0"/>
                      <w:color w:val="auto"/>
                      <w:kern w:val="0"/>
                      <w:sz w:val="22"/>
                      <w:szCs w:val="22"/>
                      <w:highlight w:val="none"/>
                      <w:lang w:val="en-US" w:eastAsia="zh-CN" w:bidi="ar-SA"/>
                    </w:rPr>
                    <w:t>170kg</w:t>
                  </w:r>
                  <w:r>
                    <w:rPr>
                      <w:rFonts w:hint="default" w:ascii="Times New Roman" w:hAnsi="Times New Roman" w:eastAsia="宋体" w:cs="Times New Roman"/>
                      <w:snapToGrid w:val="0"/>
                      <w:color w:val="auto"/>
                      <w:kern w:val="0"/>
                      <w:sz w:val="22"/>
                      <w:szCs w:val="22"/>
                      <w:highlight w:val="none"/>
                      <w:lang w:val="en-US" w:eastAsia="zh-CN" w:bidi="ar-SA"/>
                    </w:rPr>
                    <w:t>/</w:t>
                  </w:r>
                  <w:r>
                    <w:rPr>
                      <w:rFonts w:hint="eastAsia" w:ascii="Times New Roman" w:hAnsi="Times New Roman" w:eastAsia="宋体" w:cs="Times New Roman"/>
                      <w:snapToGrid w:val="0"/>
                      <w:color w:val="auto"/>
                      <w:kern w:val="0"/>
                      <w:sz w:val="22"/>
                      <w:szCs w:val="22"/>
                      <w:highlight w:val="none"/>
                      <w:lang w:val="en-US" w:eastAsia="zh-CN" w:bidi="ar-SA"/>
                    </w:rPr>
                    <w:t>桶</w:t>
                  </w:r>
                </w:p>
              </w:tc>
              <w:tc>
                <w:tcPr>
                  <w:tcW w:w="2234" w:type="dxa"/>
                  <w:tcBorders>
                    <w:tl2br w:val="nil"/>
                    <w:tr2bl w:val="nil"/>
                  </w:tcBorders>
                  <w:noWrap w:val="0"/>
                  <w:vAlign w:val="center"/>
                </w:tcPr>
                <w:p w14:paraId="411573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0.85t（5桶）</w:t>
                  </w:r>
                </w:p>
              </w:tc>
              <w:tc>
                <w:tcPr>
                  <w:tcW w:w="1447" w:type="dxa"/>
                  <w:tcBorders>
                    <w:tl2br w:val="nil"/>
                    <w:tr2bl w:val="nil"/>
                  </w:tcBorders>
                  <w:noWrap w:val="0"/>
                  <w:vAlign w:val="center"/>
                </w:tcPr>
                <w:p w14:paraId="49AC51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油库</w:t>
                  </w:r>
                </w:p>
              </w:tc>
            </w:tr>
            <w:tr w14:paraId="7DE89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84" w:type="dxa"/>
                  <w:tcBorders>
                    <w:tl2br w:val="nil"/>
                    <w:tr2bl w:val="nil"/>
                  </w:tcBorders>
                  <w:noWrap w:val="0"/>
                  <w:vAlign w:val="center"/>
                </w:tcPr>
                <w:p w14:paraId="43CE05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切削液</w:t>
                  </w:r>
                </w:p>
              </w:tc>
              <w:tc>
                <w:tcPr>
                  <w:tcW w:w="882" w:type="dxa"/>
                  <w:tcBorders>
                    <w:tl2br w:val="nil"/>
                    <w:tr2bl w:val="nil"/>
                  </w:tcBorders>
                  <w:noWrap w:val="0"/>
                  <w:vAlign w:val="center"/>
                </w:tcPr>
                <w:p w14:paraId="127BB7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液态</w:t>
                  </w:r>
                </w:p>
              </w:tc>
              <w:tc>
                <w:tcPr>
                  <w:tcW w:w="1218" w:type="dxa"/>
                  <w:tcBorders>
                    <w:tl2br w:val="nil"/>
                    <w:tr2bl w:val="nil"/>
                  </w:tcBorders>
                  <w:noWrap w:val="0"/>
                  <w:vAlign w:val="center"/>
                </w:tcPr>
                <w:p w14:paraId="7E3181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kern w:val="0"/>
                      <w:sz w:val="22"/>
                      <w:szCs w:val="22"/>
                      <w:highlight w:val="none"/>
                      <w:lang w:val="en-US" w:eastAsia="zh-CN"/>
                    </w:rPr>
                  </w:pPr>
                  <w:r>
                    <w:rPr>
                      <w:rFonts w:hint="eastAsia" w:ascii="Times New Roman" w:hAnsi="Times New Roman" w:eastAsia="宋体" w:cs="Times New Roman"/>
                      <w:snapToGrid w:val="0"/>
                      <w:color w:val="auto"/>
                      <w:kern w:val="0"/>
                      <w:sz w:val="22"/>
                      <w:szCs w:val="22"/>
                      <w:highlight w:val="none"/>
                      <w:lang w:val="en-US" w:eastAsia="zh-CN" w:bidi="ar-SA"/>
                    </w:rPr>
                    <w:t>170kg</w:t>
                  </w:r>
                  <w:r>
                    <w:rPr>
                      <w:rFonts w:hint="default" w:ascii="Times New Roman" w:hAnsi="Times New Roman" w:eastAsia="宋体" w:cs="Times New Roman"/>
                      <w:snapToGrid w:val="0"/>
                      <w:color w:val="auto"/>
                      <w:kern w:val="0"/>
                      <w:sz w:val="22"/>
                      <w:szCs w:val="22"/>
                      <w:highlight w:val="none"/>
                      <w:lang w:val="en-US" w:eastAsia="zh-CN" w:bidi="ar-SA"/>
                    </w:rPr>
                    <w:t>/</w:t>
                  </w:r>
                  <w:r>
                    <w:rPr>
                      <w:rFonts w:hint="eastAsia" w:ascii="Times New Roman" w:hAnsi="Times New Roman" w:eastAsia="宋体" w:cs="Times New Roman"/>
                      <w:snapToGrid w:val="0"/>
                      <w:color w:val="auto"/>
                      <w:kern w:val="0"/>
                      <w:sz w:val="22"/>
                      <w:szCs w:val="22"/>
                      <w:highlight w:val="none"/>
                      <w:lang w:val="en-US" w:eastAsia="zh-CN" w:bidi="ar-SA"/>
                    </w:rPr>
                    <w:t>桶</w:t>
                  </w:r>
                </w:p>
              </w:tc>
              <w:tc>
                <w:tcPr>
                  <w:tcW w:w="2234" w:type="dxa"/>
                  <w:tcBorders>
                    <w:tl2br w:val="nil"/>
                    <w:tr2bl w:val="nil"/>
                  </w:tcBorders>
                  <w:noWrap w:val="0"/>
                  <w:vAlign w:val="center"/>
                </w:tcPr>
                <w:p w14:paraId="203F96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0.34t（2桶）</w:t>
                  </w:r>
                </w:p>
              </w:tc>
              <w:tc>
                <w:tcPr>
                  <w:tcW w:w="1447" w:type="dxa"/>
                  <w:tcBorders>
                    <w:tl2br w:val="nil"/>
                    <w:tr2bl w:val="nil"/>
                  </w:tcBorders>
                  <w:noWrap w:val="0"/>
                  <w:vAlign w:val="center"/>
                </w:tcPr>
                <w:p w14:paraId="15A955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油库</w:t>
                  </w:r>
                </w:p>
              </w:tc>
            </w:tr>
            <w:tr w14:paraId="57F78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84" w:type="dxa"/>
                  <w:tcBorders>
                    <w:tl2br w:val="nil"/>
                    <w:tr2bl w:val="nil"/>
                  </w:tcBorders>
                  <w:noWrap w:val="0"/>
                  <w:vAlign w:val="center"/>
                </w:tcPr>
                <w:p w14:paraId="3380FA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废液压油</w:t>
                  </w:r>
                </w:p>
              </w:tc>
              <w:tc>
                <w:tcPr>
                  <w:tcW w:w="882" w:type="dxa"/>
                  <w:tcBorders>
                    <w:tl2br w:val="nil"/>
                    <w:tr2bl w:val="nil"/>
                  </w:tcBorders>
                  <w:noWrap w:val="0"/>
                  <w:vAlign w:val="center"/>
                </w:tcPr>
                <w:p w14:paraId="174135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液态</w:t>
                  </w:r>
                </w:p>
              </w:tc>
              <w:tc>
                <w:tcPr>
                  <w:tcW w:w="1218" w:type="dxa"/>
                  <w:tcBorders>
                    <w:tl2br w:val="nil"/>
                    <w:tr2bl w:val="nil"/>
                  </w:tcBorders>
                  <w:noWrap w:val="0"/>
                  <w:vAlign w:val="center"/>
                </w:tcPr>
                <w:p w14:paraId="381F68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rPr>
                  </w:pPr>
                  <w:r>
                    <w:rPr>
                      <w:rFonts w:hint="eastAsia" w:ascii="Times New Roman" w:hAnsi="Times New Roman" w:eastAsia="宋体" w:cs="Times New Roman"/>
                      <w:snapToGrid w:val="0"/>
                      <w:color w:val="auto"/>
                      <w:kern w:val="0"/>
                      <w:sz w:val="22"/>
                      <w:szCs w:val="22"/>
                      <w:highlight w:val="none"/>
                      <w:lang w:val="en-US" w:eastAsia="zh-CN"/>
                    </w:rPr>
                    <w:t>/</w:t>
                  </w:r>
                </w:p>
              </w:tc>
              <w:tc>
                <w:tcPr>
                  <w:tcW w:w="2234" w:type="dxa"/>
                  <w:tcBorders>
                    <w:tl2br w:val="nil"/>
                    <w:tr2bl w:val="nil"/>
                  </w:tcBorders>
                  <w:noWrap w:val="0"/>
                  <w:vAlign w:val="center"/>
                </w:tcPr>
                <w:p w14:paraId="114C29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2t</w:t>
                  </w:r>
                </w:p>
              </w:tc>
              <w:tc>
                <w:tcPr>
                  <w:tcW w:w="1447" w:type="dxa"/>
                  <w:tcBorders>
                    <w:tl2br w:val="nil"/>
                    <w:tr2bl w:val="nil"/>
                  </w:tcBorders>
                  <w:noWrap w:val="0"/>
                  <w:vAlign w:val="center"/>
                </w:tcPr>
                <w:p w14:paraId="64D4B2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危废贮存库</w:t>
                  </w:r>
                </w:p>
              </w:tc>
            </w:tr>
            <w:tr w14:paraId="372B2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84" w:type="dxa"/>
                  <w:tcBorders>
                    <w:tl2br w:val="nil"/>
                    <w:tr2bl w:val="nil"/>
                  </w:tcBorders>
                  <w:noWrap w:val="0"/>
                  <w:vAlign w:val="center"/>
                </w:tcPr>
                <w:p w14:paraId="0E1C91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空压机含油废液</w:t>
                  </w:r>
                </w:p>
              </w:tc>
              <w:tc>
                <w:tcPr>
                  <w:tcW w:w="882" w:type="dxa"/>
                  <w:tcBorders>
                    <w:tl2br w:val="nil"/>
                    <w:tr2bl w:val="nil"/>
                  </w:tcBorders>
                  <w:noWrap w:val="0"/>
                  <w:vAlign w:val="center"/>
                </w:tcPr>
                <w:p w14:paraId="6746B4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液态</w:t>
                  </w:r>
                </w:p>
              </w:tc>
              <w:tc>
                <w:tcPr>
                  <w:tcW w:w="1218" w:type="dxa"/>
                  <w:tcBorders>
                    <w:tl2br w:val="nil"/>
                    <w:tr2bl w:val="nil"/>
                  </w:tcBorders>
                  <w:noWrap w:val="0"/>
                  <w:vAlign w:val="center"/>
                </w:tcPr>
                <w:p w14:paraId="441516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kern w:val="0"/>
                      <w:sz w:val="22"/>
                      <w:szCs w:val="22"/>
                      <w:highlight w:val="none"/>
                      <w:lang w:val="en-US" w:eastAsia="zh-CN"/>
                    </w:rPr>
                  </w:pPr>
                  <w:r>
                    <w:rPr>
                      <w:rFonts w:hint="eastAsia" w:ascii="Times New Roman" w:hAnsi="Times New Roman" w:eastAsia="宋体" w:cs="Times New Roman"/>
                      <w:snapToGrid w:val="0"/>
                      <w:color w:val="auto"/>
                      <w:kern w:val="0"/>
                      <w:sz w:val="22"/>
                      <w:szCs w:val="22"/>
                      <w:highlight w:val="none"/>
                      <w:lang w:val="en-US" w:eastAsia="zh-CN"/>
                    </w:rPr>
                    <w:t>/</w:t>
                  </w:r>
                </w:p>
              </w:tc>
              <w:tc>
                <w:tcPr>
                  <w:tcW w:w="2234" w:type="dxa"/>
                  <w:tcBorders>
                    <w:tl2br w:val="nil"/>
                    <w:tr2bl w:val="nil"/>
                  </w:tcBorders>
                  <w:noWrap w:val="0"/>
                  <w:vAlign w:val="center"/>
                </w:tcPr>
                <w:p w14:paraId="3EADC4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0.9t</w:t>
                  </w:r>
                </w:p>
              </w:tc>
              <w:tc>
                <w:tcPr>
                  <w:tcW w:w="1447" w:type="dxa"/>
                  <w:tcBorders>
                    <w:tl2br w:val="nil"/>
                    <w:tr2bl w:val="nil"/>
                  </w:tcBorders>
                  <w:noWrap w:val="0"/>
                  <w:vAlign w:val="center"/>
                </w:tcPr>
                <w:p w14:paraId="1EF67C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危废贮存库</w:t>
                  </w:r>
                </w:p>
              </w:tc>
            </w:tr>
            <w:tr w14:paraId="2AB580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84" w:type="dxa"/>
                  <w:tcBorders>
                    <w:tl2br w:val="nil"/>
                    <w:tr2bl w:val="nil"/>
                  </w:tcBorders>
                  <w:noWrap w:val="0"/>
                  <w:vAlign w:val="center"/>
                </w:tcPr>
                <w:p w14:paraId="76FDA7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铝灰渣（氮化铝）</w:t>
                  </w:r>
                  <w:r>
                    <w:rPr>
                      <w:rFonts w:hint="eastAsia" w:ascii="Times New Roman" w:hAnsi="Times New Roman" w:eastAsia="宋体" w:cs="Times New Roman"/>
                      <w:snapToGrid w:val="0"/>
                      <w:color w:val="auto"/>
                      <w:kern w:val="0"/>
                      <w:sz w:val="22"/>
                      <w:szCs w:val="22"/>
                      <w:highlight w:val="none"/>
                      <w:vertAlign w:val="superscript"/>
                      <w:lang w:val="en-US" w:eastAsia="zh-CN" w:bidi="ar-SA"/>
                    </w:rPr>
                    <w:t>①</w:t>
                  </w:r>
                </w:p>
              </w:tc>
              <w:tc>
                <w:tcPr>
                  <w:tcW w:w="882" w:type="dxa"/>
                  <w:tcBorders>
                    <w:tl2br w:val="nil"/>
                    <w:tr2bl w:val="nil"/>
                  </w:tcBorders>
                  <w:noWrap w:val="0"/>
                  <w:vAlign w:val="center"/>
                </w:tcPr>
                <w:p w14:paraId="60F26F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固态</w:t>
                  </w:r>
                </w:p>
              </w:tc>
              <w:tc>
                <w:tcPr>
                  <w:tcW w:w="1218" w:type="dxa"/>
                  <w:tcBorders>
                    <w:tl2br w:val="nil"/>
                    <w:tr2bl w:val="nil"/>
                  </w:tcBorders>
                  <w:noWrap w:val="0"/>
                  <w:vAlign w:val="center"/>
                </w:tcPr>
                <w:p w14:paraId="03DE90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kern w:val="0"/>
                      <w:sz w:val="22"/>
                      <w:szCs w:val="22"/>
                      <w:highlight w:val="none"/>
                      <w:lang w:val="en-US" w:eastAsia="zh-CN"/>
                    </w:rPr>
                  </w:pPr>
                  <w:r>
                    <w:rPr>
                      <w:rFonts w:hint="eastAsia" w:ascii="Times New Roman" w:hAnsi="Times New Roman" w:eastAsia="宋体" w:cs="Times New Roman"/>
                      <w:snapToGrid w:val="0"/>
                      <w:color w:val="auto"/>
                      <w:kern w:val="0"/>
                      <w:sz w:val="22"/>
                      <w:szCs w:val="22"/>
                      <w:highlight w:val="none"/>
                      <w:lang w:val="en-US" w:eastAsia="zh-CN"/>
                    </w:rPr>
                    <w:t>/</w:t>
                  </w:r>
                </w:p>
              </w:tc>
              <w:tc>
                <w:tcPr>
                  <w:tcW w:w="2234" w:type="dxa"/>
                  <w:tcBorders>
                    <w:tl2br w:val="nil"/>
                    <w:tr2bl w:val="nil"/>
                  </w:tcBorders>
                  <w:noWrap w:val="0"/>
                  <w:vAlign w:val="center"/>
                </w:tcPr>
                <w:p w14:paraId="1A8D8C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4.36（折算成氮化锂的量）</w:t>
                  </w:r>
                </w:p>
              </w:tc>
              <w:tc>
                <w:tcPr>
                  <w:tcW w:w="1447" w:type="dxa"/>
                  <w:tcBorders>
                    <w:tl2br w:val="nil"/>
                    <w:tr2bl w:val="nil"/>
                  </w:tcBorders>
                  <w:noWrap w:val="0"/>
                  <w:vAlign w:val="center"/>
                </w:tcPr>
                <w:p w14:paraId="1F8744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危废贮存库</w:t>
                  </w:r>
                </w:p>
              </w:tc>
            </w:tr>
            <w:tr w14:paraId="4CC13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84" w:type="dxa"/>
                  <w:tcBorders>
                    <w:tl2br w:val="nil"/>
                    <w:tr2bl w:val="nil"/>
                  </w:tcBorders>
                  <w:noWrap w:val="0"/>
                  <w:vAlign w:val="center"/>
                </w:tcPr>
                <w:p w14:paraId="6A333E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天然气（在线量）</w:t>
                  </w:r>
                  <w:r>
                    <w:rPr>
                      <w:rFonts w:hint="eastAsia" w:ascii="Times New Roman" w:hAnsi="Times New Roman" w:eastAsia="宋体" w:cs="Times New Roman"/>
                      <w:snapToGrid w:val="0"/>
                      <w:color w:val="auto"/>
                      <w:kern w:val="0"/>
                      <w:sz w:val="22"/>
                      <w:szCs w:val="22"/>
                      <w:highlight w:val="none"/>
                      <w:vertAlign w:val="superscript"/>
                      <w:lang w:val="en-US" w:eastAsia="zh-CN" w:bidi="ar-SA"/>
                    </w:rPr>
                    <w:t>②</w:t>
                  </w:r>
                </w:p>
              </w:tc>
              <w:tc>
                <w:tcPr>
                  <w:tcW w:w="882" w:type="dxa"/>
                  <w:tcBorders>
                    <w:tl2br w:val="nil"/>
                    <w:tr2bl w:val="nil"/>
                  </w:tcBorders>
                  <w:noWrap w:val="0"/>
                  <w:vAlign w:val="center"/>
                </w:tcPr>
                <w:p w14:paraId="061DF0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气态</w:t>
                  </w:r>
                </w:p>
              </w:tc>
              <w:tc>
                <w:tcPr>
                  <w:tcW w:w="1218" w:type="dxa"/>
                  <w:tcBorders>
                    <w:tl2br w:val="nil"/>
                    <w:tr2bl w:val="nil"/>
                  </w:tcBorders>
                  <w:noWrap w:val="0"/>
                  <w:vAlign w:val="center"/>
                </w:tcPr>
                <w:p w14:paraId="38CF59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rPr>
                  </w:pPr>
                  <w:r>
                    <w:rPr>
                      <w:rFonts w:hint="eastAsia" w:ascii="Times New Roman" w:hAnsi="Times New Roman" w:eastAsia="宋体" w:cs="Times New Roman"/>
                      <w:snapToGrid w:val="0"/>
                      <w:color w:val="auto"/>
                      <w:kern w:val="0"/>
                      <w:sz w:val="22"/>
                      <w:szCs w:val="22"/>
                      <w:highlight w:val="none"/>
                      <w:lang w:val="en-US" w:eastAsia="zh-CN"/>
                    </w:rPr>
                    <w:t>/</w:t>
                  </w:r>
                </w:p>
              </w:tc>
              <w:tc>
                <w:tcPr>
                  <w:tcW w:w="2234" w:type="dxa"/>
                  <w:tcBorders>
                    <w:tl2br w:val="nil"/>
                    <w:tr2bl w:val="nil"/>
                  </w:tcBorders>
                  <w:noWrap w:val="0"/>
                  <w:vAlign w:val="center"/>
                </w:tcPr>
                <w:p w14:paraId="57637A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0.0029</w:t>
                  </w:r>
                </w:p>
              </w:tc>
              <w:tc>
                <w:tcPr>
                  <w:tcW w:w="1447" w:type="dxa"/>
                  <w:tcBorders>
                    <w:tl2br w:val="nil"/>
                    <w:tr2bl w:val="nil"/>
                  </w:tcBorders>
                  <w:noWrap w:val="0"/>
                  <w:vAlign w:val="center"/>
                </w:tcPr>
                <w:p w14:paraId="658247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熔铸车间</w:t>
                  </w:r>
                </w:p>
              </w:tc>
            </w:tr>
          </w:tbl>
          <w:p w14:paraId="2BF6AAC8">
            <w:pPr>
              <w:keepNext w:val="0"/>
              <w:keepLines w:val="0"/>
              <w:pageBreakBefore w:val="0"/>
              <w:widowControl w:val="0"/>
              <w:kinsoku/>
              <w:wordWrap/>
              <w:overflowPunct/>
              <w:topLinePunct w:val="0"/>
              <w:autoSpaceDE/>
              <w:autoSpaceDN/>
              <w:bidi w:val="0"/>
              <w:adjustRightInd/>
              <w:snapToGrid/>
              <w:spacing w:line="320" w:lineRule="exact"/>
              <w:ind w:left="0" w:leftChars="0" w:firstLine="420" w:firstLineChars="200"/>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sz w:val="21"/>
                <w:szCs w:val="21"/>
                <w:lang w:val="en-US" w:eastAsia="zh-CN"/>
              </w:rPr>
              <w:t>备注：①铝灰</w:t>
            </w:r>
            <w:r>
              <w:rPr>
                <w:rFonts w:hint="eastAsia" w:ascii="Times New Roman" w:hAnsi="Times New Roman" w:eastAsia="宋体" w:cs="Times New Roman"/>
                <w:b w:val="0"/>
                <w:bCs w:val="0"/>
                <w:color w:val="auto"/>
                <w:kern w:val="0"/>
                <w:sz w:val="21"/>
                <w:szCs w:val="21"/>
                <w:lang w:val="en-US" w:eastAsia="zh-CN"/>
              </w:rPr>
              <w:t>中含有氮化铝，易与水反应生成氨气，氮化锂与氮化铝均为氮化合物，同时与水反应均生成氨气、性质类似。因</w:t>
            </w:r>
            <w:r>
              <w:rPr>
                <w:rFonts w:hint="default" w:ascii="Times New Roman" w:hAnsi="Times New Roman" w:eastAsia="宋体" w:cs="Times New Roman"/>
                <w:b w:val="0"/>
                <w:bCs w:val="0"/>
                <w:color w:val="auto"/>
                <w:kern w:val="0"/>
                <w:sz w:val="21"/>
                <w:szCs w:val="21"/>
              </w:rPr>
              <w:t>《</w:t>
            </w:r>
            <w:r>
              <w:rPr>
                <w:rFonts w:hint="eastAsia" w:ascii="Times New Roman" w:hAnsi="Times New Roman" w:eastAsia="宋体" w:cs="Times New Roman"/>
                <w:b w:val="0"/>
                <w:bCs w:val="0"/>
                <w:color w:val="auto"/>
                <w:kern w:val="0"/>
                <w:sz w:val="21"/>
                <w:szCs w:val="21"/>
                <w:lang w:val="en-US" w:eastAsia="zh-CN"/>
              </w:rPr>
              <w:t>建设项目环境风险评价技术导则</w:t>
            </w:r>
            <w:r>
              <w:rPr>
                <w:rFonts w:hint="default" w:ascii="Times New Roman" w:hAnsi="Times New Roman" w:eastAsia="宋体" w:cs="Times New Roman"/>
                <w:b w:val="0"/>
                <w:bCs w:val="0"/>
                <w:color w:val="auto"/>
                <w:kern w:val="0"/>
                <w:sz w:val="21"/>
                <w:szCs w:val="21"/>
              </w:rPr>
              <w:t>》</w:t>
            </w:r>
            <w:r>
              <w:rPr>
                <w:rFonts w:hint="eastAsia" w:ascii="Times New Roman" w:hAnsi="Times New Roman" w:eastAsia="宋体" w:cs="Times New Roman"/>
                <w:b w:val="0"/>
                <w:bCs w:val="0"/>
                <w:color w:val="auto"/>
                <w:kern w:val="0"/>
                <w:sz w:val="21"/>
                <w:szCs w:val="21"/>
                <w:lang w:eastAsia="zh-CN"/>
              </w:rPr>
              <w:t>（</w:t>
            </w:r>
            <w:r>
              <w:rPr>
                <w:rFonts w:hint="eastAsia" w:ascii="Times New Roman" w:hAnsi="Times New Roman" w:eastAsia="宋体" w:cs="Times New Roman"/>
                <w:b w:val="0"/>
                <w:bCs w:val="0"/>
                <w:color w:val="auto"/>
                <w:kern w:val="0"/>
                <w:sz w:val="21"/>
                <w:szCs w:val="21"/>
                <w:lang w:val="en-US" w:eastAsia="zh-CN"/>
              </w:rPr>
              <w:t>HJ 169-2018</w:t>
            </w:r>
            <w:r>
              <w:rPr>
                <w:rFonts w:hint="eastAsia" w:ascii="Times New Roman" w:hAnsi="Times New Roman" w:eastAsia="宋体" w:cs="Times New Roman"/>
                <w:b w:val="0"/>
                <w:bCs w:val="0"/>
                <w:color w:val="auto"/>
                <w:kern w:val="0"/>
                <w:sz w:val="21"/>
                <w:szCs w:val="21"/>
                <w:lang w:eastAsia="zh-CN"/>
              </w:rPr>
              <w:t>）</w:t>
            </w:r>
            <w:r>
              <w:rPr>
                <w:rFonts w:hint="eastAsia" w:ascii="Times New Roman" w:hAnsi="Times New Roman" w:eastAsia="宋体" w:cs="Times New Roman"/>
                <w:b w:val="0"/>
                <w:bCs w:val="0"/>
                <w:color w:val="auto"/>
                <w:kern w:val="0"/>
                <w:sz w:val="21"/>
                <w:szCs w:val="21"/>
                <w:lang w:val="en-US" w:eastAsia="zh-CN"/>
              </w:rPr>
              <w:t>未明确指出氮化铝为环境风险物质，但明确氮化锂属于风险物质，故本评价铝灰渣纳入风险物质统计，且氮化铝的临界量参照氮化锂的临界量计。</w:t>
            </w:r>
          </w:p>
          <w:p w14:paraId="5F490686">
            <w:pPr>
              <w:keepNext w:val="0"/>
              <w:keepLines w:val="0"/>
              <w:pageBreakBefore w:val="0"/>
              <w:widowControl w:val="0"/>
              <w:kinsoku/>
              <w:wordWrap/>
              <w:overflowPunct/>
              <w:topLinePunct w:val="0"/>
              <w:autoSpaceDE/>
              <w:autoSpaceDN/>
              <w:bidi w:val="0"/>
              <w:adjustRightInd/>
              <w:snapToGrid/>
              <w:spacing w:line="320" w:lineRule="exact"/>
              <w:ind w:left="0" w:leftChars="0" w:firstLine="420" w:firstLineChars="200"/>
              <w:textAlignment w:val="auto"/>
              <w:rPr>
                <w:rFonts w:hint="eastAsia"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 xml:space="preserve"> 全厂二次铝灰的最大暂存量约190.87t，根据《重庆康祺环保科技有限公司回收铝灰及铝渣无害化利用项目环境影响报告书》（报批版），该建设单位铝灰渣收集对象包括西南铝业，并对西南铝业产生的铝灰渣（二次铝灰）进行成分分析统计，氮化铝含量约占2.68%，则本项目最大贮存的二次铝灰中，氮化铝的含量约为5.11t。氮化铝分子量为41，氮化锂分子量为35，氮化铝通过折算为氮化锂的最大储存量为4.36t。</w:t>
            </w:r>
          </w:p>
          <w:p w14:paraId="3A002541">
            <w:pPr>
              <w:keepNext w:val="0"/>
              <w:keepLines w:val="0"/>
              <w:pageBreakBefore w:val="0"/>
              <w:widowControl w:val="0"/>
              <w:kinsoku/>
              <w:wordWrap/>
              <w:overflowPunct/>
              <w:topLinePunct w:val="0"/>
              <w:autoSpaceDE/>
              <w:autoSpaceDN/>
              <w:bidi w:val="0"/>
              <w:adjustRightInd/>
              <w:snapToGrid/>
              <w:spacing w:line="320" w:lineRule="exact"/>
              <w:ind w:left="0" w:leftChars="0" w:firstLine="420" w:firstLineChars="200"/>
              <w:textAlignment w:val="auto"/>
              <w:rPr>
                <w:rFonts w:hint="eastAsia"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②</w:t>
            </w:r>
            <w:r>
              <w:rPr>
                <w:rFonts w:hint="eastAsia" w:ascii="Times New Roman" w:hAnsi="Times New Roman" w:eastAsia="宋体" w:cs="Times New Roman"/>
                <w:b w:val="0"/>
                <w:bCs w:val="0"/>
                <w:color w:val="auto"/>
                <w:kern w:val="0"/>
                <w:sz w:val="21"/>
                <w:szCs w:val="21"/>
                <w:lang w:val="en-US" w:eastAsia="zh-CN"/>
              </w:rPr>
              <w:t>本项目熔炼炉、均质炉厂区内管线直径按DN100计，管线总长约250m，因此天然气</w:t>
            </w:r>
            <w:r>
              <w:rPr>
                <w:rFonts w:hint="default" w:ascii="Times New Roman" w:hAnsi="Times New Roman" w:eastAsia="宋体" w:cs="Times New Roman"/>
                <w:b w:val="0"/>
                <w:bCs w:val="0"/>
                <w:color w:val="auto"/>
                <w:kern w:val="0"/>
                <w:sz w:val="21"/>
                <w:szCs w:val="21"/>
                <w:lang w:val="en-US" w:eastAsia="zh-CN"/>
              </w:rPr>
              <w:t>在线量=</w:t>
            </w:r>
            <w:r>
              <w:rPr>
                <w:rFonts w:hint="eastAsia" w:ascii="Times New Roman" w:hAnsi="Times New Roman" w:eastAsia="宋体" w:cs="Times New Roman"/>
                <w:b w:val="0"/>
                <w:bCs w:val="0"/>
                <w:color w:val="auto"/>
                <w:kern w:val="0"/>
                <w:sz w:val="21"/>
                <w:szCs w:val="21"/>
                <w:lang w:val="en-US" w:eastAsia="zh-CN"/>
              </w:rPr>
              <w:t>0.8</w:t>
            </w:r>
            <w:r>
              <w:rPr>
                <w:rFonts w:hint="default" w:ascii="Times New Roman" w:hAnsi="Times New Roman" w:eastAsia="宋体" w:cs="Times New Roman"/>
                <w:b w:val="0"/>
                <w:bCs w:val="0"/>
                <w:color w:val="auto"/>
                <w:kern w:val="0"/>
                <w:sz w:val="21"/>
                <w:szCs w:val="21"/>
                <w:lang w:val="en-US" w:eastAsia="zh-CN"/>
              </w:rPr>
              <w:t>kg/m</w:t>
            </w:r>
            <w:r>
              <w:rPr>
                <w:rFonts w:hint="default" w:ascii="Times New Roman" w:hAnsi="Times New Roman" w:eastAsia="宋体" w:cs="Times New Roman"/>
                <w:b w:val="0"/>
                <w:bCs w:val="0"/>
                <w:color w:val="auto"/>
                <w:kern w:val="0"/>
                <w:sz w:val="21"/>
                <w:szCs w:val="21"/>
                <w:vertAlign w:val="superscript"/>
                <w:lang w:val="en-US" w:eastAsia="zh-CN"/>
              </w:rPr>
              <w:t>3</w:t>
            </w:r>
            <w:r>
              <w:rPr>
                <w:rFonts w:hint="default" w:ascii="Times New Roman" w:hAnsi="Times New Roman" w:eastAsia="宋体" w:cs="Times New Roman"/>
                <w:b w:val="0"/>
                <w:bCs w:val="0"/>
                <w:color w:val="auto"/>
                <w:kern w:val="0"/>
                <w:sz w:val="21"/>
                <w:szCs w:val="21"/>
                <w:lang w:val="en-US" w:eastAsia="zh-CN"/>
              </w:rPr>
              <w:t>*(3.14*(0.</w:t>
            </w:r>
            <w:r>
              <w:rPr>
                <w:rFonts w:hint="eastAsia" w:ascii="Times New Roman" w:hAnsi="Times New Roman" w:eastAsia="宋体" w:cs="Times New Roman"/>
                <w:b w:val="0"/>
                <w:bCs w:val="0"/>
                <w:color w:val="auto"/>
                <w:kern w:val="0"/>
                <w:sz w:val="21"/>
                <w:szCs w:val="21"/>
                <w:lang w:val="en-US" w:eastAsia="zh-CN"/>
              </w:rPr>
              <w:t>1</w:t>
            </w:r>
            <w:r>
              <w:rPr>
                <w:rFonts w:hint="default" w:ascii="Times New Roman" w:hAnsi="Times New Roman" w:eastAsia="宋体" w:cs="Times New Roman"/>
                <w:b w:val="0"/>
                <w:bCs w:val="0"/>
                <w:color w:val="auto"/>
                <w:kern w:val="0"/>
                <w:sz w:val="21"/>
                <w:szCs w:val="21"/>
                <w:lang w:val="en-US" w:eastAsia="zh-CN"/>
              </w:rPr>
              <w:t>m/2)</w:t>
            </w:r>
            <w:r>
              <w:rPr>
                <w:rFonts w:hint="default" w:ascii="Times New Roman" w:hAnsi="Times New Roman" w:eastAsia="宋体" w:cs="Times New Roman"/>
                <w:b w:val="0"/>
                <w:bCs w:val="0"/>
                <w:color w:val="auto"/>
                <w:kern w:val="0"/>
                <w:sz w:val="21"/>
                <w:szCs w:val="21"/>
                <w:vertAlign w:val="superscript"/>
                <w:lang w:val="en-US" w:eastAsia="zh-CN"/>
              </w:rPr>
              <w:t>2</w:t>
            </w:r>
            <w:r>
              <w:rPr>
                <w:rFonts w:hint="default" w:ascii="Times New Roman" w:hAnsi="Times New Roman" w:eastAsia="宋体" w:cs="Times New Roman"/>
                <w:b w:val="0"/>
                <w:bCs w:val="0"/>
                <w:color w:val="auto"/>
                <w:kern w:val="0"/>
                <w:sz w:val="21"/>
                <w:szCs w:val="21"/>
                <w:lang w:val="en-US" w:eastAsia="zh-CN"/>
              </w:rPr>
              <w:t>)*</w:t>
            </w:r>
            <w:r>
              <w:rPr>
                <w:rFonts w:hint="eastAsia" w:ascii="Times New Roman" w:hAnsi="Times New Roman" w:eastAsia="宋体" w:cs="Times New Roman"/>
                <w:b w:val="0"/>
                <w:bCs w:val="0"/>
                <w:color w:val="auto"/>
                <w:kern w:val="0"/>
                <w:sz w:val="21"/>
                <w:szCs w:val="21"/>
                <w:lang w:val="en-US" w:eastAsia="zh-CN"/>
              </w:rPr>
              <w:t>250</w:t>
            </w:r>
            <w:r>
              <w:rPr>
                <w:rFonts w:hint="default" w:ascii="Times New Roman" w:hAnsi="Times New Roman" w:eastAsia="宋体" w:cs="Times New Roman"/>
                <w:b w:val="0"/>
                <w:bCs w:val="0"/>
                <w:color w:val="auto"/>
                <w:kern w:val="0"/>
                <w:sz w:val="21"/>
                <w:szCs w:val="21"/>
                <w:lang w:val="en-US" w:eastAsia="zh-CN"/>
              </w:rPr>
              <w:t>m=</w:t>
            </w:r>
            <w:r>
              <w:rPr>
                <w:rFonts w:hint="eastAsia" w:ascii="Times New Roman" w:hAnsi="Times New Roman" w:eastAsia="宋体" w:cs="Times New Roman"/>
                <w:b w:val="0"/>
                <w:bCs w:val="0"/>
                <w:color w:val="auto"/>
                <w:kern w:val="0"/>
                <w:sz w:val="21"/>
                <w:szCs w:val="21"/>
                <w:lang w:val="en-US" w:eastAsia="zh-CN"/>
              </w:rPr>
              <w:t>0.0016</w:t>
            </w:r>
            <w:r>
              <w:rPr>
                <w:rFonts w:hint="default" w:ascii="Times New Roman" w:hAnsi="Times New Roman" w:eastAsia="宋体" w:cs="Times New Roman"/>
                <w:b w:val="0"/>
                <w:bCs w:val="0"/>
                <w:color w:val="auto"/>
                <w:kern w:val="0"/>
                <w:sz w:val="21"/>
                <w:szCs w:val="21"/>
                <w:lang w:val="en-US" w:eastAsia="zh-CN"/>
              </w:rPr>
              <w:t>t</w:t>
            </w:r>
            <w:r>
              <w:rPr>
                <w:rFonts w:hint="eastAsia" w:ascii="Times New Roman" w:hAnsi="Times New Roman" w:eastAsia="宋体" w:cs="Times New Roman"/>
                <w:b w:val="0"/>
                <w:bCs w:val="0"/>
                <w:color w:val="auto"/>
                <w:kern w:val="0"/>
                <w:sz w:val="21"/>
                <w:szCs w:val="21"/>
                <w:lang w:val="en-US" w:eastAsia="zh-CN"/>
              </w:rPr>
              <w:t>；现有智能化项目天然气在线量约0.0013t。</w:t>
            </w:r>
          </w:p>
          <w:p w14:paraId="2BB287E1">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4.2.6.2风险潜势初判</w:t>
            </w:r>
          </w:p>
          <w:p w14:paraId="28409355">
            <w:pPr>
              <w:autoSpaceDE w:val="0"/>
              <w:autoSpaceDN w:val="0"/>
              <w:adjustRightInd w:val="0"/>
              <w:spacing w:line="460" w:lineRule="exact"/>
              <w:ind w:firstLine="520" w:firstLineChars="200"/>
              <w:rPr>
                <w:rFonts w:ascii="Times New Roman" w:hAnsi="Times New Roman" w:eastAsia="宋体" w:cs="Times New Roman"/>
                <w:color w:val="auto"/>
                <w:sz w:val="26"/>
                <w:szCs w:val="26"/>
                <w:highlight w:val="none"/>
              </w:rPr>
            </w:pPr>
            <w:r>
              <w:rPr>
                <w:rFonts w:hint="eastAsia" w:ascii="Times New Roman" w:hAnsi="Times New Roman" w:eastAsia="宋体" w:cs="Times New Roman"/>
                <w:color w:val="auto"/>
                <w:sz w:val="26"/>
                <w:szCs w:val="26"/>
                <w:highlight w:val="none"/>
              </w:rPr>
              <w:t>根据《建设项目环境风险评价技术导则》（HJ169-2018）的规定，分析建设项目生产、使用、储存过程中涉及的有毒有害、易燃易爆物质，参见附录B确定危险物质的临界量。定量分析危险物质数量与临界量的比值（Q）和所属行业及生产工艺特点（M），按附录C对危险物质及工艺系统危险性（P）等级进行判断。</w:t>
            </w:r>
          </w:p>
          <w:p w14:paraId="5D3EDDB4">
            <w:pPr>
              <w:autoSpaceDE w:val="0"/>
              <w:autoSpaceDN w:val="0"/>
              <w:adjustRightInd w:val="0"/>
              <w:spacing w:line="460" w:lineRule="exact"/>
              <w:ind w:firstLine="520" w:firstLineChars="200"/>
              <w:rPr>
                <w:rFonts w:ascii="Times New Roman" w:hAnsi="Times New Roman" w:eastAsia="宋体" w:cs="Times New Roman"/>
                <w:color w:val="auto"/>
                <w:sz w:val="26"/>
                <w:szCs w:val="26"/>
                <w:highlight w:val="none"/>
              </w:rPr>
            </w:pPr>
            <w:r>
              <w:rPr>
                <w:rFonts w:hint="eastAsia" w:ascii="Times New Roman" w:hAnsi="Times New Roman" w:eastAsia="宋体" w:cs="Times New Roman"/>
                <w:color w:val="auto"/>
                <w:sz w:val="26"/>
                <w:szCs w:val="26"/>
                <w:highlight w:val="none"/>
              </w:rPr>
              <w:t>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14:paraId="55A5C1B7">
            <w:pPr>
              <w:autoSpaceDE w:val="0"/>
              <w:autoSpaceDN w:val="0"/>
              <w:adjustRightInd w:val="0"/>
              <w:spacing w:line="460" w:lineRule="exact"/>
              <w:ind w:firstLine="520" w:firstLineChars="200"/>
              <w:rPr>
                <w:rFonts w:ascii="Times New Roman" w:hAnsi="Times New Roman" w:eastAsia="宋体" w:cs="Times New Roman"/>
                <w:color w:val="auto"/>
                <w:sz w:val="26"/>
                <w:szCs w:val="26"/>
                <w:highlight w:val="none"/>
              </w:rPr>
            </w:pPr>
            <w:r>
              <w:rPr>
                <w:rFonts w:hint="eastAsia" w:ascii="Times New Roman" w:hAnsi="Times New Roman" w:eastAsia="宋体" w:cs="Times New Roman"/>
                <w:color w:val="auto"/>
                <w:sz w:val="26"/>
                <w:szCs w:val="26"/>
                <w:highlight w:val="none"/>
              </w:rPr>
              <w:t>当只涉及一种危险物质时，计算该物质的总量与其临界量比值，即为Q；</w:t>
            </w:r>
          </w:p>
          <w:p w14:paraId="3BAE16C7">
            <w:pPr>
              <w:autoSpaceDE w:val="0"/>
              <w:autoSpaceDN w:val="0"/>
              <w:adjustRightInd w:val="0"/>
              <w:spacing w:line="460" w:lineRule="exact"/>
              <w:ind w:firstLine="520" w:firstLineChars="200"/>
              <w:rPr>
                <w:rFonts w:ascii="Times New Roman" w:hAnsi="Times New Roman" w:eastAsia="宋体" w:cs="Times New Roman"/>
                <w:color w:val="auto"/>
                <w:sz w:val="26"/>
                <w:szCs w:val="26"/>
                <w:highlight w:val="none"/>
              </w:rPr>
            </w:pPr>
            <w:r>
              <w:rPr>
                <w:rFonts w:hint="eastAsia" w:ascii="Times New Roman" w:hAnsi="Times New Roman" w:eastAsia="宋体" w:cs="Times New Roman"/>
                <w:color w:val="auto"/>
                <w:sz w:val="26"/>
                <w:szCs w:val="26"/>
                <w:highlight w:val="none"/>
              </w:rPr>
              <w:t>当存在多种危险物质时，则按下式计算物质总量与其临界量比值Q；</w:t>
            </w:r>
          </w:p>
          <w:p w14:paraId="1458E958">
            <w:pPr>
              <w:spacing w:line="460" w:lineRule="exact"/>
              <w:ind w:firstLine="520" w:firstLineChars="200"/>
              <w:jc w:val="left"/>
              <w:rPr>
                <w:rFonts w:ascii="Times New Roman" w:hAnsi="Times New Roman" w:eastAsia="宋体" w:cs="Times New Roman"/>
                <w:color w:val="auto"/>
                <w:sz w:val="26"/>
                <w:szCs w:val="26"/>
                <w:highlight w:val="none"/>
              </w:rPr>
            </w:pPr>
            <w:r>
              <w:rPr>
                <w:rFonts w:ascii="Times New Roman" w:hAnsi="Times New Roman" w:eastAsia="宋体" w:cs="Times New Roman"/>
                <w:color w:val="auto"/>
                <w:sz w:val="26"/>
                <w:szCs w:val="26"/>
                <w:highlight w:val="none"/>
              </w:rPr>
              <w:t>Q=q1/Q1+ q2/Q2……+ qn/Qn</w:t>
            </w:r>
          </w:p>
          <w:p w14:paraId="4C42C97C">
            <w:pPr>
              <w:spacing w:line="460" w:lineRule="exact"/>
              <w:ind w:firstLine="520" w:firstLineChars="200"/>
              <w:jc w:val="left"/>
              <w:rPr>
                <w:rFonts w:ascii="Times New Roman" w:hAnsi="Times New Roman" w:eastAsia="宋体" w:cs="Times New Roman"/>
                <w:color w:val="auto"/>
                <w:sz w:val="26"/>
                <w:szCs w:val="26"/>
                <w:highlight w:val="none"/>
              </w:rPr>
            </w:pPr>
            <w:r>
              <w:rPr>
                <w:rFonts w:ascii="Times New Roman" w:hAnsi="Times New Roman" w:eastAsia="宋体" w:cs="Times New Roman"/>
                <w:color w:val="auto"/>
                <w:sz w:val="26"/>
                <w:szCs w:val="26"/>
                <w:highlight w:val="none"/>
              </w:rPr>
              <w:t>式中：q1、q2…，qn——为每种危险物质最大存在总量，t。</w:t>
            </w:r>
          </w:p>
          <w:p w14:paraId="57C79F3D">
            <w:pPr>
              <w:keepNext w:val="0"/>
              <w:keepLines w:val="0"/>
              <w:pageBreakBefore w:val="0"/>
              <w:widowControl w:val="0"/>
              <w:kinsoku/>
              <w:wordWrap/>
              <w:overflowPunct/>
              <w:topLinePunct w:val="0"/>
              <w:autoSpaceDE/>
              <w:autoSpaceDN/>
              <w:bidi w:val="0"/>
              <w:adjustRightInd/>
              <w:snapToGrid/>
              <w:spacing w:line="460" w:lineRule="exact"/>
              <w:ind w:firstLine="1300" w:firstLineChars="500"/>
              <w:jc w:val="left"/>
              <w:textAlignment w:val="auto"/>
              <w:rPr>
                <w:rFonts w:ascii="Times New Roman" w:hAnsi="Times New Roman" w:eastAsia="宋体" w:cs="Times New Roman"/>
                <w:color w:val="auto"/>
                <w:sz w:val="26"/>
                <w:szCs w:val="26"/>
                <w:highlight w:val="none"/>
              </w:rPr>
            </w:pPr>
            <w:r>
              <w:rPr>
                <w:rFonts w:ascii="Times New Roman" w:hAnsi="Times New Roman" w:eastAsia="宋体" w:cs="Times New Roman"/>
                <w:color w:val="auto"/>
                <w:sz w:val="26"/>
                <w:szCs w:val="26"/>
                <w:highlight w:val="none"/>
              </w:rPr>
              <w:t>Q1. Q2…Qn——每种危险物质的临界量，t。</w:t>
            </w:r>
          </w:p>
          <w:p w14:paraId="488523E3">
            <w:pPr>
              <w:keepNext w:val="0"/>
              <w:keepLines w:val="0"/>
              <w:pageBreakBefore w:val="0"/>
              <w:widowControl w:val="0"/>
              <w:kinsoku/>
              <w:wordWrap/>
              <w:overflowPunct/>
              <w:topLinePunct w:val="0"/>
              <w:autoSpaceDE/>
              <w:autoSpaceDN/>
              <w:bidi w:val="0"/>
              <w:adjustRightInd/>
              <w:snapToGrid/>
              <w:spacing w:line="460" w:lineRule="exact"/>
              <w:ind w:firstLine="1300" w:firstLineChars="500"/>
              <w:jc w:val="left"/>
              <w:textAlignment w:val="auto"/>
              <w:rPr>
                <w:rFonts w:ascii="Times New Roman" w:hAnsi="Times New Roman" w:eastAsia="宋体" w:cs="Times New Roman"/>
                <w:color w:val="auto"/>
                <w:sz w:val="26"/>
                <w:szCs w:val="26"/>
                <w:highlight w:val="none"/>
              </w:rPr>
            </w:pPr>
            <w:r>
              <w:rPr>
                <w:rFonts w:ascii="Times New Roman" w:hAnsi="Times New Roman" w:eastAsia="宋体" w:cs="Times New Roman"/>
                <w:color w:val="auto"/>
                <w:sz w:val="26"/>
                <w:szCs w:val="26"/>
                <w:highlight w:val="none"/>
              </w:rPr>
              <w:t>当Q&lt;1时，该项目环境风险潜势为</w:t>
            </w:r>
            <w:r>
              <w:rPr>
                <w:rFonts w:ascii="Times New Roman" w:hAnsi="Times New Roman" w:eastAsia="宋体" w:cs="Times New Roman"/>
                <w:color w:val="auto"/>
                <w:sz w:val="26"/>
                <w:szCs w:val="26"/>
                <w:highlight w:val="none"/>
              </w:rPr>
              <w:fldChar w:fldCharType="begin"/>
            </w:r>
            <w:r>
              <w:rPr>
                <w:rFonts w:ascii="Times New Roman" w:hAnsi="Times New Roman" w:eastAsia="宋体" w:cs="Times New Roman"/>
                <w:color w:val="auto"/>
                <w:sz w:val="26"/>
                <w:szCs w:val="26"/>
                <w:highlight w:val="none"/>
              </w:rPr>
              <w:instrText xml:space="preserve"> = 1 \* ROMAN </w:instrText>
            </w:r>
            <w:r>
              <w:rPr>
                <w:rFonts w:ascii="Times New Roman" w:hAnsi="Times New Roman" w:eastAsia="宋体" w:cs="Times New Roman"/>
                <w:color w:val="auto"/>
                <w:sz w:val="26"/>
                <w:szCs w:val="26"/>
                <w:highlight w:val="none"/>
              </w:rPr>
              <w:fldChar w:fldCharType="separate"/>
            </w:r>
            <w:r>
              <w:rPr>
                <w:rFonts w:ascii="Times New Roman" w:hAnsi="Times New Roman" w:eastAsia="宋体" w:cs="Times New Roman"/>
                <w:color w:val="auto"/>
                <w:sz w:val="26"/>
                <w:szCs w:val="26"/>
                <w:highlight w:val="none"/>
              </w:rPr>
              <w:t>I</w:t>
            </w:r>
            <w:r>
              <w:rPr>
                <w:rFonts w:ascii="Times New Roman" w:hAnsi="Times New Roman" w:eastAsia="宋体" w:cs="Times New Roman"/>
                <w:color w:val="auto"/>
                <w:sz w:val="26"/>
                <w:szCs w:val="26"/>
                <w:highlight w:val="none"/>
              </w:rPr>
              <w:fldChar w:fldCharType="end"/>
            </w:r>
            <w:r>
              <w:rPr>
                <w:rFonts w:ascii="Times New Roman" w:hAnsi="Times New Roman" w:eastAsia="宋体" w:cs="Times New Roman"/>
                <w:color w:val="auto"/>
                <w:sz w:val="26"/>
                <w:szCs w:val="26"/>
                <w:highlight w:val="none"/>
              </w:rPr>
              <w:t>。</w:t>
            </w:r>
          </w:p>
          <w:p w14:paraId="2129CA87">
            <w:pPr>
              <w:keepNext w:val="0"/>
              <w:keepLines w:val="0"/>
              <w:pageBreakBefore w:val="0"/>
              <w:widowControl w:val="0"/>
              <w:kinsoku/>
              <w:wordWrap/>
              <w:overflowPunct/>
              <w:topLinePunct w:val="0"/>
              <w:autoSpaceDE/>
              <w:autoSpaceDN/>
              <w:bidi w:val="0"/>
              <w:adjustRightInd/>
              <w:snapToGrid/>
              <w:spacing w:line="460" w:lineRule="exact"/>
              <w:ind w:firstLine="1300" w:firstLineChars="500"/>
              <w:jc w:val="left"/>
              <w:textAlignment w:val="auto"/>
              <w:rPr>
                <w:rFonts w:ascii="Times New Roman" w:hAnsi="Times New Roman" w:eastAsia="宋体" w:cs="Times New Roman"/>
                <w:color w:val="auto"/>
                <w:sz w:val="26"/>
                <w:szCs w:val="26"/>
                <w:highlight w:val="none"/>
              </w:rPr>
            </w:pPr>
            <w:r>
              <w:rPr>
                <w:rFonts w:ascii="Times New Roman" w:hAnsi="Times New Roman" w:eastAsia="宋体" w:cs="Times New Roman"/>
                <w:color w:val="auto"/>
                <w:sz w:val="26"/>
                <w:szCs w:val="26"/>
                <w:highlight w:val="none"/>
              </w:rPr>
              <w:t>当Q≥1时，将Q值划分为：（1）1≤Q&lt;10；（2）10≤Q&lt;100；（3）Q≥100。</w:t>
            </w:r>
          </w:p>
          <w:p w14:paraId="01D248C0">
            <w:pPr>
              <w:spacing w:line="460" w:lineRule="exact"/>
              <w:ind w:firstLine="520" w:firstLineChars="200"/>
              <w:jc w:val="left"/>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6"/>
                <w:szCs w:val="26"/>
                <w:highlight w:val="none"/>
                <w:lang w:val="en-US" w:eastAsia="zh-CN"/>
              </w:rPr>
              <w:t>全厂</w:t>
            </w:r>
            <w:r>
              <w:rPr>
                <w:rFonts w:ascii="Times New Roman" w:hAnsi="Times New Roman" w:eastAsia="宋体" w:cs="Times New Roman"/>
                <w:color w:val="auto"/>
                <w:sz w:val="26"/>
                <w:szCs w:val="26"/>
                <w:highlight w:val="none"/>
              </w:rPr>
              <w:t>涉及的</w:t>
            </w:r>
            <w:r>
              <w:rPr>
                <w:rFonts w:hint="eastAsia" w:ascii="Times New Roman" w:hAnsi="Times New Roman" w:eastAsia="宋体" w:cs="Times New Roman"/>
                <w:color w:val="auto"/>
                <w:sz w:val="26"/>
                <w:szCs w:val="26"/>
                <w:highlight w:val="none"/>
                <w:lang w:val="en-US" w:eastAsia="zh-CN"/>
              </w:rPr>
              <w:t>风险</w:t>
            </w:r>
            <w:r>
              <w:rPr>
                <w:rFonts w:ascii="Times New Roman" w:hAnsi="Times New Roman" w:eastAsia="宋体" w:cs="Times New Roman"/>
                <w:color w:val="auto"/>
                <w:sz w:val="26"/>
                <w:szCs w:val="26"/>
                <w:highlight w:val="none"/>
              </w:rPr>
              <w:t>物质数量与临界量比值（Q）计算结果</w:t>
            </w:r>
            <w:r>
              <w:rPr>
                <w:rFonts w:hint="eastAsia" w:ascii="Times New Roman" w:hAnsi="Times New Roman" w:eastAsia="宋体" w:cs="Times New Roman"/>
                <w:color w:val="auto"/>
                <w:sz w:val="26"/>
                <w:szCs w:val="26"/>
                <w:highlight w:val="none"/>
                <w:lang w:val="en-US" w:eastAsia="zh-CN"/>
              </w:rPr>
              <w:t>详见下表</w:t>
            </w:r>
            <w:r>
              <w:rPr>
                <w:rFonts w:ascii="Times New Roman" w:hAnsi="Times New Roman" w:eastAsia="宋体" w:cs="Times New Roman"/>
                <w:color w:val="auto"/>
                <w:sz w:val="26"/>
                <w:szCs w:val="26"/>
                <w:highlight w:val="none"/>
              </w:rPr>
              <w:t>。</w:t>
            </w:r>
          </w:p>
          <w:p w14:paraId="0354875B">
            <w:pPr>
              <w:keepNext w:val="0"/>
              <w:keepLines w:val="0"/>
              <w:pageBreakBefore w:val="0"/>
              <w:widowControl w:val="0"/>
              <w:kinsoku/>
              <w:wordWrap/>
              <w:overflowPunct/>
              <w:topLinePunct w:val="0"/>
              <w:autoSpaceDE/>
              <w:autoSpaceDN/>
              <w:bidi w:val="0"/>
              <w:adjustRightInd/>
              <w:snapToGrid/>
              <w:spacing w:line="100" w:lineRule="exact"/>
              <w:jc w:val="center"/>
              <w:textAlignment w:val="auto"/>
              <w:rPr>
                <w:rFonts w:ascii="Times New Roman" w:hAnsi="Times New Roman" w:eastAsia="宋体" w:cs="Times New Roman"/>
                <w:b/>
                <w:bCs/>
                <w:color w:val="auto"/>
                <w:sz w:val="26"/>
                <w:szCs w:val="26"/>
                <w:highlight w:val="none"/>
              </w:rPr>
            </w:pPr>
          </w:p>
          <w:p w14:paraId="6ABDB1C6">
            <w:pPr>
              <w:spacing w:line="460" w:lineRule="exact"/>
              <w:jc w:val="center"/>
              <w:rPr>
                <w:rFonts w:ascii="Times New Roman" w:hAnsi="Times New Roman" w:eastAsia="宋体" w:cs="Times New Roman"/>
                <w:b/>
                <w:bCs/>
                <w:color w:val="auto"/>
                <w:sz w:val="26"/>
                <w:szCs w:val="26"/>
                <w:highlight w:val="none"/>
              </w:rPr>
            </w:pPr>
            <w:r>
              <w:rPr>
                <w:rFonts w:ascii="Times New Roman" w:hAnsi="Times New Roman" w:eastAsia="宋体" w:cs="Times New Roman"/>
                <w:b/>
                <w:bCs/>
                <w:color w:val="auto"/>
                <w:sz w:val="26"/>
                <w:szCs w:val="26"/>
                <w:highlight w:val="none"/>
              </w:rPr>
              <w:t>表4.2-</w:t>
            </w:r>
            <w:r>
              <w:rPr>
                <w:rFonts w:hint="eastAsia" w:ascii="Times New Roman" w:hAnsi="Times New Roman" w:eastAsia="宋体" w:cs="Times New Roman"/>
                <w:b/>
                <w:bCs/>
                <w:color w:val="auto"/>
                <w:sz w:val="26"/>
                <w:szCs w:val="26"/>
                <w:highlight w:val="none"/>
                <w:lang w:val="en-US" w:eastAsia="zh-CN"/>
              </w:rPr>
              <w:t>26</w:t>
            </w:r>
            <w:r>
              <w:rPr>
                <w:rFonts w:ascii="Times New Roman" w:hAnsi="Times New Roman" w:eastAsia="宋体" w:cs="Times New Roman"/>
                <w:b/>
                <w:bCs/>
                <w:color w:val="auto"/>
                <w:sz w:val="26"/>
                <w:szCs w:val="26"/>
                <w:highlight w:val="none"/>
              </w:rPr>
              <w:t xml:space="preserve"> </w:t>
            </w:r>
            <w:r>
              <w:rPr>
                <w:rFonts w:hint="eastAsia" w:ascii="Times New Roman" w:hAnsi="Times New Roman" w:eastAsia="宋体" w:cs="Times New Roman"/>
                <w:b/>
                <w:bCs/>
                <w:color w:val="auto"/>
                <w:sz w:val="26"/>
                <w:szCs w:val="26"/>
                <w:highlight w:val="none"/>
                <w:lang w:val="en-US" w:eastAsia="zh-CN"/>
              </w:rPr>
              <w:t xml:space="preserve"> 本</w:t>
            </w:r>
            <w:r>
              <w:rPr>
                <w:rFonts w:ascii="Times New Roman" w:hAnsi="Times New Roman" w:eastAsia="宋体" w:cs="Times New Roman"/>
                <w:b/>
                <w:bCs/>
                <w:color w:val="auto"/>
                <w:sz w:val="26"/>
                <w:szCs w:val="26"/>
                <w:highlight w:val="none"/>
              </w:rPr>
              <w:t>项目</w:t>
            </w:r>
            <w:r>
              <w:rPr>
                <w:rFonts w:hint="eastAsia" w:ascii="Times New Roman" w:hAnsi="Times New Roman" w:eastAsia="宋体" w:cs="Times New Roman"/>
                <w:b/>
                <w:bCs/>
                <w:color w:val="auto"/>
                <w:sz w:val="26"/>
                <w:szCs w:val="26"/>
                <w:highlight w:val="none"/>
                <w:lang w:val="en-US" w:eastAsia="zh-CN"/>
              </w:rPr>
              <w:t>实施后全厂</w:t>
            </w:r>
            <w:r>
              <w:rPr>
                <w:rFonts w:ascii="Times New Roman" w:hAnsi="Times New Roman" w:eastAsia="宋体" w:cs="Times New Roman"/>
                <w:b/>
                <w:bCs/>
                <w:color w:val="auto"/>
                <w:sz w:val="26"/>
                <w:szCs w:val="26"/>
                <w:highlight w:val="none"/>
              </w:rPr>
              <w:t>Q值确定表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758"/>
              <w:gridCol w:w="1245"/>
              <w:gridCol w:w="1858"/>
              <w:gridCol w:w="1136"/>
              <w:gridCol w:w="1191"/>
            </w:tblGrid>
            <w:tr w14:paraId="26E2E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7" w:type="dxa"/>
                  <w:tcBorders>
                    <w:tl2br w:val="nil"/>
                    <w:tr2bl w:val="nil"/>
                  </w:tcBorders>
                  <w:noWrap w:val="0"/>
                  <w:vAlign w:val="center"/>
                </w:tcPr>
                <w:p w14:paraId="5813605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zh-CN"/>
                    </w:rPr>
                  </w:pPr>
                  <w:r>
                    <w:rPr>
                      <w:rFonts w:hint="default" w:ascii="Times New Roman" w:hAnsi="Times New Roman" w:eastAsia="宋体" w:cs="Times New Roman"/>
                      <w:color w:val="auto"/>
                      <w:kern w:val="0"/>
                      <w:sz w:val="22"/>
                      <w:szCs w:val="22"/>
                      <w:highlight w:val="none"/>
                      <w:lang w:val="zh-CN"/>
                    </w:rPr>
                    <w:t>序号</w:t>
                  </w:r>
                </w:p>
              </w:tc>
              <w:tc>
                <w:tcPr>
                  <w:tcW w:w="1758" w:type="dxa"/>
                  <w:tcBorders>
                    <w:tl2br w:val="nil"/>
                    <w:tr2bl w:val="nil"/>
                  </w:tcBorders>
                  <w:noWrap w:val="0"/>
                  <w:vAlign w:val="center"/>
                </w:tcPr>
                <w:p w14:paraId="7D7686C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zh-CN"/>
                    </w:rPr>
                  </w:pPr>
                  <w:r>
                    <w:rPr>
                      <w:rFonts w:hint="default" w:ascii="Times New Roman" w:hAnsi="Times New Roman" w:eastAsia="宋体" w:cs="Times New Roman"/>
                      <w:color w:val="auto"/>
                      <w:kern w:val="0"/>
                      <w:sz w:val="22"/>
                      <w:szCs w:val="22"/>
                      <w:highlight w:val="none"/>
                      <w:lang w:val="zh-CN"/>
                    </w:rPr>
                    <w:t>危险物质名称</w:t>
                  </w:r>
                </w:p>
              </w:tc>
              <w:tc>
                <w:tcPr>
                  <w:tcW w:w="1245" w:type="dxa"/>
                  <w:tcBorders>
                    <w:tl2br w:val="nil"/>
                    <w:tr2bl w:val="nil"/>
                  </w:tcBorders>
                  <w:noWrap w:val="0"/>
                  <w:vAlign w:val="center"/>
                </w:tcPr>
                <w:p w14:paraId="3FF9461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zh-CN"/>
                    </w:rPr>
                  </w:pPr>
                  <w:r>
                    <w:rPr>
                      <w:rFonts w:hint="default" w:ascii="Times New Roman" w:hAnsi="Times New Roman" w:eastAsia="宋体" w:cs="Times New Roman"/>
                      <w:color w:val="auto"/>
                      <w:kern w:val="0"/>
                      <w:sz w:val="22"/>
                      <w:szCs w:val="22"/>
                      <w:highlight w:val="none"/>
                      <w:lang w:val="zh-CN"/>
                    </w:rPr>
                    <w:t>CAS号</w:t>
                  </w:r>
                </w:p>
              </w:tc>
              <w:tc>
                <w:tcPr>
                  <w:tcW w:w="1858" w:type="dxa"/>
                  <w:tcBorders>
                    <w:tl2br w:val="nil"/>
                    <w:tr2bl w:val="nil"/>
                  </w:tcBorders>
                  <w:noWrap w:val="0"/>
                  <w:vAlign w:val="center"/>
                </w:tcPr>
                <w:p w14:paraId="65AE840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zh-CN"/>
                    </w:rPr>
                  </w:pPr>
                  <w:r>
                    <w:rPr>
                      <w:rFonts w:hint="default" w:ascii="Times New Roman" w:hAnsi="Times New Roman" w:eastAsia="宋体" w:cs="Times New Roman"/>
                      <w:color w:val="auto"/>
                      <w:kern w:val="0"/>
                      <w:sz w:val="22"/>
                      <w:szCs w:val="22"/>
                      <w:highlight w:val="none"/>
                      <w:lang w:val="zh-CN"/>
                    </w:rPr>
                    <w:t>最大存在总量qn/t</w:t>
                  </w:r>
                </w:p>
              </w:tc>
              <w:tc>
                <w:tcPr>
                  <w:tcW w:w="1136" w:type="dxa"/>
                  <w:tcBorders>
                    <w:tl2br w:val="nil"/>
                    <w:tr2bl w:val="nil"/>
                  </w:tcBorders>
                  <w:noWrap w:val="0"/>
                  <w:vAlign w:val="center"/>
                </w:tcPr>
                <w:p w14:paraId="75559530">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zh-CN"/>
                    </w:rPr>
                  </w:pPr>
                  <w:r>
                    <w:rPr>
                      <w:rFonts w:hint="default" w:ascii="Times New Roman" w:hAnsi="Times New Roman" w:eastAsia="宋体" w:cs="Times New Roman"/>
                      <w:color w:val="auto"/>
                      <w:kern w:val="0"/>
                      <w:sz w:val="22"/>
                      <w:szCs w:val="22"/>
                      <w:highlight w:val="none"/>
                      <w:lang w:val="zh-CN"/>
                    </w:rPr>
                    <w:t>临界量Qn/t</w:t>
                  </w:r>
                </w:p>
              </w:tc>
              <w:tc>
                <w:tcPr>
                  <w:tcW w:w="1191" w:type="dxa"/>
                  <w:tcBorders>
                    <w:tl2br w:val="nil"/>
                    <w:tr2bl w:val="nil"/>
                  </w:tcBorders>
                  <w:noWrap w:val="0"/>
                  <w:vAlign w:val="center"/>
                </w:tcPr>
                <w:p w14:paraId="6252C65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zh-CN"/>
                    </w:rPr>
                  </w:pPr>
                  <w:r>
                    <w:rPr>
                      <w:rFonts w:hint="default" w:ascii="Times New Roman" w:hAnsi="Times New Roman" w:eastAsia="宋体" w:cs="Times New Roman"/>
                      <w:color w:val="auto"/>
                      <w:kern w:val="0"/>
                      <w:sz w:val="22"/>
                      <w:szCs w:val="22"/>
                      <w:highlight w:val="none"/>
                      <w:lang w:val="zh-CN"/>
                    </w:rPr>
                    <w:t>该种</w:t>
                  </w:r>
                  <w:r>
                    <w:rPr>
                      <w:rFonts w:hint="default" w:ascii="Times New Roman" w:hAnsi="Times New Roman" w:eastAsia="宋体" w:cs="Times New Roman"/>
                      <w:color w:val="auto"/>
                      <w:kern w:val="0"/>
                      <w:sz w:val="22"/>
                      <w:szCs w:val="22"/>
                      <w:highlight w:val="none"/>
                      <w:lang w:val="en-US" w:eastAsia="zh-CN"/>
                    </w:rPr>
                    <w:t>风险</w:t>
                  </w:r>
                  <w:r>
                    <w:rPr>
                      <w:rFonts w:hint="default" w:ascii="Times New Roman" w:hAnsi="Times New Roman" w:eastAsia="宋体" w:cs="Times New Roman"/>
                      <w:color w:val="auto"/>
                      <w:kern w:val="0"/>
                      <w:sz w:val="22"/>
                      <w:szCs w:val="22"/>
                      <w:highlight w:val="none"/>
                      <w:lang w:val="zh-CN"/>
                    </w:rPr>
                    <w:t>物质Q值</w:t>
                  </w:r>
                </w:p>
              </w:tc>
            </w:tr>
            <w:tr w14:paraId="4F28F9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7" w:type="dxa"/>
                  <w:tcBorders>
                    <w:tl2br w:val="nil"/>
                    <w:tr2bl w:val="nil"/>
                  </w:tcBorders>
                  <w:noWrap w:val="0"/>
                  <w:vAlign w:val="center"/>
                </w:tcPr>
                <w:p w14:paraId="66FC323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zh-CN"/>
                    </w:rPr>
                  </w:pPr>
                  <w:r>
                    <w:rPr>
                      <w:rFonts w:hint="default" w:ascii="Times New Roman" w:hAnsi="Times New Roman" w:eastAsia="宋体" w:cs="Times New Roman"/>
                      <w:color w:val="auto"/>
                      <w:kern w:val="0"/>
                      <w:sz w:val="22"/>
                      <w:szCs w:val="22"/>
                      <w:highlight w:val="none"/>
                      <w:lang w:val="zh-CN"/>
                    </w:rPr>
                    <w:t>1</w:t>
                  </w:r>
                </w:p>
              </w:tc>
              <w:tc>
                <w:tcPr>
                  <w:tcW w:w="1758" w:type="dxa"/>
                  <w:tcBorders>
                    <w:tl2br w:val="nil"/>
                    <w:tr2bl w:val="nil"/>
                  </w:tcBorders>
                  <w:noWrap w:val="0"/>
                  <w:vAlign w:val="center"/>
                </w:tcPr>
                <w:p w14:paraId="511F85E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2"/>
                      <w:szCs w:val="22"/>
                      <w:highlight w:val="none"/>
                      <w:lang w:val="zh-CN" w:eastAsia="zh-CN"/>
                    </w:rPr>
                  </w:pPr>
                  <w:r>
                    <w:rPr>
                      <w:rFonts w:hint="default" w:ascii="Times New Roman" w:hAnsi="Times New Roman" w:eastAsia="宋体" w:cs="Times New Roman"/>
                      <w:snapToGrid w:val="0"/>
                      <w:color w:val="auto"/>
                      <w:kern w:val="0"/>
                      <w:sz w:val="22"/>
                      <w:szCs w:val="22"/>
                      <w:highlight w:val="none"/>
                      <w:lang w:val="en-US" w:eastAsia="zh-CN" w:bidi="ar-SA"/>
                    </w:rPr>
                    <w:t>润滑油</w:t>
                  </w:r>
                </w:p>
              </w:tc>
              <w:tc>
                <w:tcPr>
                  <w:tcW w:w="1245" w:type="dxa"/>
                  <w:tcBorders>
                    <w:tl2br w:val="nil"/>
                    <w:tr2bl w:val="nil"/>
                  </w:tcBorders>
                  <w:noWrap w:val="0"/>
                  <w:vAlign w:val="center"/>
                </w:tcPr>
                <w:p w14:paraId="008D8C8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zh-CN" w:eastAsia="zh-CN"/>
                    </w:rPr>
                  </w:pPr>
                  <w:r>
                    <w:rPr>
                      <w:rFonts w:hint="default" w:ascii="Times New Roman" w:hAnsi="Times New Roman" w:eastAsia="宋体" w:cs="Times New Roman"/>
                      <w:color w:val="auto"/>
                      <w:kern w:val="0"/>
                      <w:sz w:val="22"/>
                      <w:szCs w:val="22"/>
                      <w:highlight w:val="none"/>
                      <w:lang w:val="en-US" w:eastAsia="zh-CN"/>
                    </w:rPr>
                    <w:t>/</w:t>
                  </w:r>
                </w:p>
              </w:tc>
              <w:tc>
                <w:tcPr>
                  <w:tcW w:w="1858" w:type="dxa"/>
                  <w:tcBorders>
                    <w:tl2br w:val="nil"/>
                    <w:tr2bl w:val="nil"/>
                  </w:tcBorders>
                  <w:noWrap w:val="0"/>
                  <w:vAlign w:val="center"/>
                </w:tcPr>
                <w:p w14:paraId="48CC2BD0">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0.85</w:t>
                  </w:r>
                </w:p>
              </w:tc>
              <w:tc>
                <w:tcPr>
                  <w:tcW w:w="1136" w:type="dxa"/>
                  <w:tcBorders>
                    <w:tl2br w:val="nil"/>
                    <w:tr2bl w:val="nil"/>
                  </w:tcBorders>
                  <w:noWrap w:val="0"/>
                  <w:vAlign w:val="center"/>
                </w:tcPr>
                <w:p w14:paraId="4116CD1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rPr>
                    <w:t>2500</w:t>
                  </w:r>
                </w:p>
              </w:tc>
              <w:tc>
                <w:tcPr>
                  <w:tcW w:w="1191" w:type="dxa"/>
                  <w:tcBorders>
                    <w:tl2br w:val="nil"/>
                    <w:tr2bl w:val="nil"/>
                  </w:tcBorders>
                  <w:noWrap w:val="0"/>
                  <w:vAlign w:val="center"/>
                </w:tcPr>
                <w:p w14:paraId="453A45EC">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0.00034</w:t>
                  </w:r>
                </w:p>
              </w:tc>
            </w:tr>
            <w:tr w14:paraId="238DB2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7" w:type="dxa"/>
                  <w:tcBorders>
                    <w:tl2br w:val="nil"/>
                    <w:tr2bl w:val="nil"/>
                  </w:tcBorders>
                  <w:noWrap w:val="0"/>
                  <w:vAlign w:val="center"/>
                </w:tcPr>
                <w:p w14:paraId="6EB476F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2</w:t>
                  </w:r>
                </w:p>
              </w:tc>
              <w:tc>
                <w:tcPr>
                  <w:tcW w:w="1758" w:type="dxa"/>
                  <w:tcBorders>
                    <w:tl2br w:val="nil"/>
                    <w:tr2bl w:val="nil"/>
                  </w:tcBorders>
                  <w:noWrap w:val="0"/>
                  <w:vAlign w:val="center"/>
                </w:tcPr>
                <w:p w14:paraId="09B70FB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0"/>
                      <w:sz w:val="22"/>
                      <w:szCs w:val="22"/>
                      <w:highlight w:val="none"/>
                      <w:lang w:val="zh-CN" w:eastAsia="zh-CN"/>
                    </w:rPr>
                  </w:pPr>
                  <w:r>
                    <w:rPr>
                      <w:rFonts w:hint="default" w:ascii="Times New Roman" w:hAnsi="Times New Roman" w:eastAsia="宋体" w:cs="Times New Roman"/>
                      <w:snapToGrid w:val="0"/>
                      <w:color w:val="auto"/>
                      <w:kern w:val="0"/>
                      <w:sz w:val="22"/>
                      <w:szCs w:val="22"/>
                      <w:highlight w:val="none"/>
                      <w:lang w:val="en-US" w:eastAsia="zh-CN" w:bidi="ar-SA"/>
                    </w:rPr>
                    <w:t>液压油</w:t>
                  </w:r>
                </w:p>
              </w:tc>
              <w:tc>
                <w:tcPr>
                  <w:tcW w:w="1245" w:type="dxa"/>
                  <w:tcBorders>
                    <w:tl2br w:val="nil"/>
                    <w:tr2bl w:val="nil"/>
                  </w:tcBorders>
                  <w:noWrap w:val="0"/>
                  <w:vAlign w:val="center"/>
                </w:tcPr>
                <w:p w14:paraId="625CCE66">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w:t>
                  </w:r>
                </w:p>
              </w:tc>
              <w:tc>
                <w:tcPr>
                  <w:tcW w:w="1858" w:type="dxa"/>
                  <w:tcBorders>
                    <w:tl2br w:val="nil"/>
                    <w:tr2bl w:val="nil"/>
                  </w:tcBorders>
                  <w:noWrap w:val="0"/>
                  <w:vAlign w:val="center"/>
                </w:tcPr>
                <w:p w14:paraId="6C56D47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snapToGrid w:val="0"/>
                      <w:color w:val="auto"/>
                      <w:kern w:val="0"/>
                      <w:sz w:val="22"/>
                      <w:szCs w:val="22"/>
                      <w:lang w:val="en-US" w:eastAsia="zh-CN"/>
                    </w:rPr>
                    <w:t>0.85</w:t>
                  </w:r>
                </w:p>
              </w:tc>
              <w:tc>
                <w:tcPr>
                  <w:tcW w:w="1136" w:type="dxa"/>
                  <w:tcBorders>
                    <w:tl2br w:val="nil"/>
                    <w:tr2bl w:val="nil"/>
                  </w:tcBorders>
                  <w:noWrap w:val="0"/>
                  <w:vAlign w:val="center"/>
                </w:tcPr>
                <w:p w14:paraId="596654C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rPr>
                    <w:t>2500</w:t>
                  </w:r>
                </w:p>
              </w:tc>
              <w:tc>
                <w:tcPr>
                  <w:tcW w:w="1191" w:type="dxa"/>
                  <w:tcBorders>
                    <w:tl2br w:val="nil"/>
                    <w:tr2bl w:val="nil"/>
                  </w:tcBorders>
                  <w:noWrap w:val="0"/>
                  <w:vAlign w:val="center"/>
                </w:tcPr>
                <w:p w14:paraId="4449C69C">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0.00034</w:t>
                  </w:r>
                </w:p>
              </w:tc>
            </w:tr>
            <w:tr w14:paraId="261E3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7" w:type="dxa"/>
                  <w:tcBorders>
                    <w:tl2br w:val="nil"/>
                    <w:tr2bl w:val="nil"/>
                  </w:tcBorders>
                  <w:noWrap w:val="0"/>
                  <w:vAlign w:val="center"/>
                </w:tcPr>
                <w:p w14:paraId="471D60F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3</w:t>
                  </w:r>
                </w:p>
              </w:tc>
              <w:tc>
                <w:tcPr>
                  <w:tcW w:w="1758" w:type="dxa"/>
                  <w:tcBorders>
                    <w:tl2br w:val="nil"/>
                    <w:tr2bl w:val="nil"/>
                  </w:tcBorders>
                  <w:noWrap w:val="0"/>
                  <w:vAlign w:val="center"/>
                </w:tcPr>
                <w:p w14:paraId="263F06D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柴油</w:t>
                  </w:r>
                </w:p>
              </w:tc>
              <w:tc>
                <w:tcPr>
                  <w:tcW w:w="1245" w:type="dxa"/>
                  <w:tcBorders>
                    <w:tl2br w:val="nil"/>
                    <w:tr2bl w:val="nil"/>
                  </w:tcBorders>
                  <w:noWrap w:val="0"/>
                  <w:vAlign w:val="center"/>
                </w:tcPr>
                <w:p w14:paraId="74D0236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w:t>
                  </w:r>
                </w:p>
              </w:tc>
              <w:tc>
                <w:tcPr>
                  <w:tcW w:w="1858" w:type="dxa"/>
                  <w:tcBorders>
                    <w:tl2br w:val="nil"/>
                    <w:tr2bl w:val="nil"/>
                  </w:tcBorders>
                  <w:noWrap w:val="0"/>
                  <w:vAlign w:val="center"/>
                </w:tcPr>
                <w:p w14:paraId="04C670F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snapToGrid w:val="0"/>
                      <w:color w:val="auto"/>
                      <w:kern w:val="0"/>
                      <w:sz w:val="22"/>
                      <w:szCs w:val="22"/>
                      <w:lang w:val="en-US" w:eastAsia="zh-CN"/>
                    </w:rPr>
                    <w:t>0.85</w:t>
                  </w:r>
                </w:p>
              </w:tc>
              <w:tc>
                <w:tcPr>
                  <w:tcW w:w="1136" w:type="dxa"/>
                  <w:tcBorders>
                    <w:tl2br w:val="nil"/>
                    <w:tr2bl w:val="nil"/>
                  </w:tcBorders>
                  <w:noWrap w:val="0"/>
                  <w:vAlign w:val="center"/>
                </w:tcPr>
                <w:p w14:paraId="33C3A48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2500</w:t>
                  </w:r>
                </w:p>
              </w:tc>
              <w:tc>
                <w:tcPr>
                  <w:tcW w:w="1191" w:type="dxa"/>
                  <w:tcBorders>
                    <w:tl2br w:val="nil"/>
                    <w:tr2bl w:val="nil"/>
                  </w:tcBorders>
                  <w:noWrap w:val="0"/>
                  <w:vAlign w:val="center"/>
                </w:tcPr>
                <w:p w14:paraId="743C68D7">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0.00034</w:t>
                  </w:r>
                </w:p>
              </w:tc>
            </w:tr>
            <w:tr w14:paraId="0474B1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7" w:type="dxa"/>
                  <w:tcBorders>
                    <w:tl2br w:val="nil"/>
                    <w:tr2bl w:val="nil"/>
                  </w:tcBorders>
                  <w:noWrap w:val="0"/>
                  <w:vAlign w:val="center"/>
                </w:tcPr>
                <w:p w14:paraId="17235B0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4</w:t>
                  </w:r>
                </w:p>
              </w:tc>
              <w:tc>
                <w:tcPr>
                  <w:tcW w:w="1758" w:type="dxa"/>
                  <w:tcBorders>
                    <w:tl2br w:val="nil"/>
                    <w:tr2bl w:val="nil"/>
                  </w:tcBorders>
                  <w:noWrap w:val="0"/>
                  <w:vAlign w:val="center"/>
                </w:tcPr>
                <w:p w14:paraId="5110464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切削液</w:t>
                  </w:r>
                </w:p>
              </w:tc>
              <w:tc>
                <w:tcPr>
                  <w:tcW w:w="1245" w:type="dxa"/>
                  <w:tcBorders>
                    <w:tl2br w:val="nil"/>
                    <w:tr2bl w:val="nil"/>
                  </w:tcBorders>
                  <w:noWrap w:val="0"/>
                  <w:vAlign w:val="center"/>
                </w:tcPr>
                <w:p w14:paraId="56136DF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w:t>
                  </w:r>
                </w:p>
              </w:tc>
              <w:tc>
                <w:tcPr>
                  <w:tcW w:w="1858" w:type="dxa"/>
                  <w:tcBorders>
                    <w:tl2br w:val="nil"/>
                    <w:tr2bl w:val="nil"/>
                  </w:tcBorders>
                  <w:noWrap w:val="0"/>
                  <w:vAlign w:val="center"/>
                </w:tcPr>
                <w:p w14:paraId="38F35E1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snapToGrid w:val="0"/>
                      <w:color w:val="auto"/>
                      <w:kern w:val="0"/>
                      <w:sz w:val="22"/>
                      <w:szCs w:val="22"/>
                      <w:lang w:val="en-US" w:eastAsia="zh-CN"/>
                    </w:rPr>
                    <w:t>0.34</w:t>
                  </w:r>
                </w:p>
              </w:tc>
              <w:tc>
                <w:tcPr>
                  <w:tcW w:w="1136" w:type="dxa"/>
                  <w:tcBorders>
                    <w:tl2br w:val="nil"/>
                    <w:tr2bl w:val="nil"/>
                  </w:tcBorders>
                  <w:noWrap w:val="0"/>
                  <w:vAlign w:val="center"/>
                </w:tcPr>
                <w:p w14:paraId="4321DD4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2500</w:t>
                  </w:r>
                </w:p>
              </w:tc>
              <w:tc>
                <w:tcPr>
                  <w:tcW w:w="1191" w:type="dxa"/>
                  <w:tcBorders>
                    <w:tl2br w:val="nil"/>
                    <w:tr2bl w:val="nil"/>
                  </w:tcBorders>
                  <w:noWrap w:val="0"/>
                  <w:vAlign w:val="center"/>
                </w:tcPr>
                <w:p w14:paraId="5F6AC311">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0.000136</w:t>
                  </w:r>
                </w:p>
              </w:tc>
            </w:tr>
            <w:tr w14:paraId="2D94B1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7" w:type="dxa"/>
                  <w:tcBorders>
                    <w:tl2br w:val="nil"/>
                    <w:tr2bl w:val="nil"/>
                  </w:tcBorders>
                  <w:noWrap w:val="0"/>
                  <w:vAlign w:val="center"/>
                </w:tcPr>
                <w:p w14:paraId="531A6C5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5</w:t>
                  </w:r>
                </w:p>
              </w:tc>
              <w:tc>
                <w:tcPr>
                  <w:tcW w:w="1758" w:type="dxa"/>
                  <w:tcBorders>
                    <w:tl2br w:val="nil"/>
                    <w:tr2bl w:val="nil"/>
                  </w:tcBorders>
                  <w:noWrap w:val="0"/>
                  <w:vAlign w:val="center"/>
                </w:tcPr>
                <w:p w14:paraId="7971D66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废液压油</w:t>
                  </w:r>
                </w:p>
              </w:tc>
              <w:tc>
                <w:tcPr>
                  <w:tcW w:w="1245" w:type="dxa"/>
                  <w:tcBorders>
                    <w:tl2br w:val="nil"/>
                    <w:tr2bl w:val="nil"/>
                  </w:tcBorders>
                  <w:noWrap w:val="0"/>
                  <w:vAlign w:val="center"/>
                </w:tcPr>
                <w:p w14:paraId="4D700F1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w:t>
                  </w:r>
                </w:p>
              </w:tc>
              <w:tc>
                <w:tcPr>
                  <w:tcW w:w="1858" w:type="dxa"/>
                  <w:tcBorders>
                    <w:tl2br w:val="nil"/>
                    <w:tr2bl w:val="nil"/>
                  </w:tcBorders>
                  <w:noWrap w:val="0"/>
                  <w:vAlign w:val="center"/>
                </w:tcPr>
                <w:p w14:paraId="35BD4BF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2</w:t>
                  </w:r>
                </w:p>
              </w:tc>
              <w:tc>
                <w:tcPr>
                  <w:tcW w:w="1136" w:type="dxa"/>
                  <w:tcBorders>
                    <w:tl2br w:val="nil"/>
                    <w:tr2bl w:val="nil"/>
                  </w:tcBorders>
                  <w:noWrap w:val="0"/>
                  <w:vAlign w:val="center"/>
                </w:tcPr>
                <w:p w14:paraId="79411C6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2500</w:t>
                  </w:r>
                </w:p>
              </w:tc>
              <w:tc>
                <w:tcPr>
                  <w:tcW w:w="1191" w:type="dxa"/>
                  <w:tcBorders>
                    <w:tl2br w:val="nil"/>
                    <w:tr2bl w:val="nil"/>
                  </w:tcBorders>
                  <w:noWrap w:val="0"/>
                  <w:vAlign w:val="center"/>
                </w:tcPr>
                <w:p w14:paraId="5B9ECBA1">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0.0008</w:t>
                  </w:r>
                </w:p>
              </w:tc>
            </w:tr>
            <w:tr w14:paraId="5A040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7" w:type="dxa"/>
                  <w:tcBorders>
                    <w:tl2br w:val="nil"/>
                    <w:tr2bl w:val="nil"/>
                  </w:tcBorders>
                  <w:noWrap w:val="0"/>
                  <w:vAlign w:val="center"/>
                </w:tcPr>
                <w:p w14:paraId="20DA817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6</w:t>
                  </w:r>
                </w:p>
              </w:tc>
              <w:tc>
                <w:tcPr>
                  <w:tcW w:w="1758" w:type="dxa"/>
                  <w:tcBorders>
                    <w:tl2br w:val="nil"/>
                    <w:tr2bl w:val="nil"/>
                  </w:tcBorders>
                  <w:noWrap w:val="0"/>
                  <w:vAlign w:val="center"/>
                </w:tcPr>
                <w:p w14:paraId="0ACADFA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空压机含油废液</w:t>
                  </w:r>
                </w:p>
              </w:tc>
              <w:tc>
                <w:tcPr>
                  <w:tcW w:w="1245" w:type="dxa"/>
                  <w:tcBorders>
                    <w:tl2br w:val="nil"/>
                    <w:tr2bl w:val="nil"/>
                  </w:tcBorders>
                  <w:noWrap w:val="0"/>
                  <w:vAlign w:val="center"/>
                </w:tcPr>
                <w:p w14:paraId="41479CF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w:t>
                  </w:r>
                </w:p>
              </w:tc>
              <w:tc>
                <w:tcPr>
                  <w:tcW w:w="1858" w:type="dxa"/>
                  <w:tcBorders>
                    <w:tl2br w:val="nil"/>
                    <w:tr2bl w:val="nil"/>
                  </w:tcBorders>
                  <w:noWrap w:val="0"/>
                  <w:vAlign w:val="center"/>
                </w:tcPr>
                <w:p w14:paraId="6122D6A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0.9</w:t>
                  </w:r>
                </w:p>
              </w:tc>
              <w:tc>
                <w:tcPr>
                  <w:tcW w:w="1136" w:type="dxa"/>
                  <w:tcBorders>
                    <w:tl2br w:val="nil"/>
                    <w:tr2bl w:val="nil"/>
                  </w:tcBorders>
                  <w:noWrap w:val="0"/>
                  <w:vAlign w:val="center"/>
                </w:tcPr>
                <w:p w14:paraId="32F186C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2500</w:t>
                  </w:r>
                </w:p>
              </w:tc>
              <w:tc>
                <w:tcPr>
                  <w:tcW w:w="1191" w:type="dxa"/>
                  <w:tcBorders>
                    <w:tl2br w:val="nil"/>
                    <w:tr2bl w:val="nil"/>
                  </w:tcBorders>
                  <w:noWrap w:val="0"/>
                  <w:vAlign w:val="center"/>
                </w:tcPr>
                <w:p w14:paraId="0F7F9108">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0.00036</w:t>
                  </w:r>
                </w:p>
              </w:tc>
            </w:tr>
            <w:tr w14:paraId="6928A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7" w:type="dxa"/>
                  <w:tcBorders>
                    <w:tl2br w:val="nil"/>
                    <w:tr2bl w:val="nil"/>
                  </w:tcBorders>
                  <w:noWrap w:val="0"/>
                  <w:vAlign w:val="center"/>
                </w:tcPr>
                <w:p w14:paraId="6761286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7</w:t>
                  </w:r>
                </w:p>
              </w:tc>
              <w:tc>
                <w:tcPr>
                  <w:tcW w:w="1758" w:type="dxa"/>
                  <w:tcBorders>
                    <w:tl2br w:val="nil"/>
                    <w:tr2bl w:val="nil"/>
                  </w:tcBorders>
                  <w:noWrap w:val="0"/>
                  <w:vAlign w:val="center"/>
                </w:tcPr>
                <w:p w14:paraId="4722A8F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铝灰渣（氮化铝）</w:t>
                  </w:r>
                </w:p>
              </w:tc>
              <w:tc>
                <w:tcPr>
                  <w:tcW w:w="1245" w:type="dxa"/>
                  <w:tcBorders>
                    <w:tl2br w:val="nil"/>
                    <w:tr2bl w:val="nil"/>
                  </w:tcBorders>
                  <w:noWrap w:val="0"/>
                  <w:vAlign w:val="center"/>
                </w:tcPr>
                <w:p w14:paraId="3FDBCBE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26134-62-3</w:t>
                  </w:r>
                </w:p>
              </w:tc>
              <w:tc>
                <w:tcPr>
                  <w:tcW w:w="1858" w:type="dxa"/>
                  <w:tcBorders>
                    <w:tl2br w:val="nil"/>
                    <w:tr2bl w:val="nil"/>
                  </w:tcBorders>
                  <w:noWrap w:val="0"/>
                  <w:vAlign w:val="center"/>
                </w:tcPr>
                <w:p w14:paraId="7B3D586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eastAsia" w:ascii="Times New Roman" w:hAnsi="Times New Roman" w:eastAsia="宋体" w:cs="Times New Roman"/>
                      <w:color w:val="auto"/>
                      <w:kern w:val="0"/>
                      <w:sz w:val="22"/>
                      <w:szCs w:val="22"/>
                      <w:highlight w:val="none"/>
                      <w:lang w:val="en-US" w:eastAsia="zh-CN"/>
                    </w:rPr>
                    <w:t>4.36</w:t>
                  </w:r>
                  <w:r>
                    <w:rPr>
                      <w:rFonts w:hint="default" w:ascii="Times New Roman" w:hAnsi="Times New Roman" w:eastAsia="宋体" w:cs="Times New Roman"/>
                      <w:snapToGrid w:val="0"/>
                      <w:color w:val="auto"/>
                      <w:kern w:val="0"/>
                      <w:sz w:val="22"/>
                      <w:szCs w:val="22"/>
                      <w:highlight w:val="none"/>
                      <w:lang w:val="en-US" w:eastAsia="zh-CN" w:bidi="ar-SA"/>
                    </w:rPr>
                    <w:t>折算成氮化锂的量）</w:t>
                  </w:r>
                </w:p>
              </w:tc>
              <w:tc>
                <w:tcPr>
                  <w:tcW w:w="1136" w:type="dxa"/>
                  <w:tcBorders>
                    <w:tl2br w:val="nil"/>
                    <w:tr2bl w:val="nil"/>
                  </w:tcBorders>
                  <w:noWrap w:val="0"/>
                  <w:vAlign w:val="center"/>
                </w:tcPr>
                <w:p w14:paraId="49BF3B1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10</w:t>
                  </w:r>
                </w:p>
              </w:tc>
              <w:tc>
                <w:tcPr>
                  <w:tcW w:w="1191" w:type="dxa"/>
                  <w:tcBorders>
                    <w:tl2br w:val="nil"/>
                    <w:tr2bl w:val="nil"/>
                  </w:tcBorders>
                  <w:noWrap w:val="0"/>
                  <w:vAlign w:val="center"/>
                </w:tcPr>
                <w:p w14:paraId="1FBB351C">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2"/>
                      <w:szCs w:val="22"/>
                      <w:highlight w:val="none"/>
                      <w:lang w:val="en-US" w:eastAsia="zh-CN"/>
                    </w:rPr>
                  </w:pPr>
                  <w:r>
                    <w:rPr>
                      <w:rFonts w:hint="eastAsia" w:ascii="Times New Roman" w:hAnsi="Times New Roman" w:eastAsia="宋体" w:cs="Times New Roman"/>
                      <w:i w:val="0"/>
                      <w:iCs w:val="0"/>
                      <w:color w:val="auto"/>
                      <w:kern w:val="0"/>
                      <w:sz w:val="22"/>
                      <w:szCs w:val="22"/>
                      <w:u w:val="none"/>
                      <w:lang w:val="en-US" w:eastAsia="zh-CN" w:bidi="ar"/>
                    </w:rPr>
                    <w:t>0.436</w:t>
                  </w:r>
                </w:p>
              </w:tc>
            </w:tr>
            <w:tr w14:paraId="7BE30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7" w:type="dxa"/>
                  <w:tcBorders>
                    <w:tl2br w:val="nil"/>
                    <w:tr2bl w:val="nil"/>
                  </w:tcBorders>
                  <w:noWrap w:val="0"/>
                  <w:vAlign w:val="center"/>
                </w:tcPr>
                <w:p w14:paraId="720770A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8</w:t>
                  </w:r>
                </w:p>
              </w:tc>
              <w:tc>
                <w:tcPr>
                  <w:tcW w:w="1758" w:type="dxa"/>
                  <w:tcBorders>
                    <w:tl2br w:val="nil"/>
                    <w:tr2bl w:val="nil"/>
                  </w:tcBorders>
                  <w:noWrap w:val="0"/>
                  <w:vAlign w:val="center"/>
                </w:tcPr>
                <w:p w14:paraId="6A1D229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天然气（在线量）</w:t>
                  </w:r>
                </w:p>
              </w:tc>
              <w:tc>
                <w:tcPr>
                  <w:tcW w:w="1245" w:type="dxa"/>
                  <w:tcBorders>
                    <w:tl2br w:val="nil"/>
                    <w:tr2bl w:val="nil"/>
                  </w:tcBorders>
                  <w:noWrap w:val="0"/>
                  <w:vAlign w:val="center"/>
                </w:tcPr>
                <w:p w14:paraId="7EAF9AB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w:t>
                  </w:r>
                </w:p>
              </w:tc>
              <w:tc>
                <w:tcPr>
                  <w:tcW w:w="1858" w:type="dxa"/>
                  <w:tcBorders>
                    <w:tl2br w:val="nil"/>
                    <w:tr2bl w:val="nil"/>
                  </w:tcBorders>
                  <w:noWrap w:val="0"/>
                  <w:vAlign w:val="center"/>
                </w:tcPr>
                <w:p w14:paraId="066040D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0.0029</w:t>
                  </w:r>
                </w:p>
              </w:tc>
              <w:tc>
                <w:tcPr>
                  <w:tcW w:w="1136" w:type="dxa"/>
                  <w:tcBorders>
                    <w:tl2br w:val="nil"/>
                    <w:tr2bl w:val="nil"/>
                  </w:tcBorders>
                  <w:noWrap w:val="0"/>
                  <w:vAlign w:val="center"/>
                </w:tcPr>
                <w:p w14:paraId="6354618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10</w:t>
                  </w:r>
                </w:p>
              </w:tc>
              <w:tc>
                <w:tcPr>
                  <w:tcW w:w="1191" w:type="dxa"/>
                  <w:tcBorders>
                    <w:tl2br w:val="nil"/>
                    <w:tr2bl w:val="nil"/>
                  </w:tcBorders>
                  <w:noWrap w:val="0"/>
                  <w:vAlign w:val="center"/>
                </w:tcPr>
                <w:p w14:paraId="3D114F3E">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0.00029</w:t>
                  </w:r>
                </w:p>
              </w:tc>
            </w:tr>
            <w:tr w14:paraId="290330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7" w:type="dxa"/>
                  <w:tcBorders>
                    <w:tl2br w:val="nil"/>
                    <w:tr2bl w:val="nil"/>
                  </w:tcBorders>
                  <w:noWrap w:val="0"/>
                  <w:vAlign w:val="center"/>
                </w:tcPr>
                <w:p w14:paraId="676C7A3A">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zh-CN"/>
                    </w:rPr>
                  </w:pPr>
                  <w:r>
                    <w:rPr>
                      <w:rFonts w:hint="default" w:ascii="Times New Roman" w:hAnsi="Times New Roman" w:eastAsia="宋体" w:cs="Times New Roman"/>
                      <w:color w:val="auto"/>
                      <w:kern w:val="0"/>
                      <w:sz w:val="22"/>
                      <w:szCs w:val="22"/>
                      <w:highlight w:val="none"/>
                      <w:lang w:val="zh-CN"/>
                    </w:rPr>
                    <w:t>合计</w:t>
                  </w:r>
                </w:p>
              </w:tc>
              <w:tc>
                <w:tcPr>
                  <w:tcW w:w="5997" w:type="dxa"/>
                  <w:gridSpan w:val="4"/>
                  <w:tcBorders>
                    <w:tl2br w:val="nil"/>
                    <w:tr2bl w:val="nil"/>
                  </w:tcBorders>
                  <w:noWrap w:val="0"/>
                  <w:vAlign w:val="center"/>
                </w:tcPr>
                <w:p w14:paraId="098AE08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zh-CN"/>
                    </w:rPr>
                  </w:pPr>
                  <w:r>
                    <w:rPr>
                      <w:rFonts w:hint="default" w:ascii="Times New Roman" w:hAnsi="Times New Roman" w:eastAsia="宋体" w:cs="Times New Roman"/>
                      <w:color w:val="auto"/>
                      <w:kern w:val="0"/>
                      <w:sz w:val="22"/>
                      <w:szCs w:val="22"/>
                      <w:highlight w:val="none"/>
                      <w:lang w:val="zh-CN"/>
                    </w:rPr>
                    <w:t>Q=q1/Q1+ q2/Q2……+ qn/Qn</w:t>
                  </w:r>
                </w:p>
              </w:tc>
              <w:tc>
                <w:tcPr>
                  <w:tcW w:w="1191" w:type="dxa"/>
                  <w:tcBorders>
                    <w:tl2br w:val="nil"/>
                    <w:tr2bl w:val="nil"/>
                  </w:tcBorders>
                  <w:noWrap w:val="0"/>
                  <w:vAlign w:val="center"/>
                </w:tcPr>
                <w:p w14:paraId="1AD43FB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2"/>
                      <w:szCs w:val="22"/>
                      <w:highlight w:val="none"/>
                      <w:lang w:val="en-US" w:eastAsia="zh-CN"/>
                    </w:rPr>
                  </w:pPr>
                  <w:r>
                    <w:rPr>
                      <w:rFonts w:hint="default" w:ascii="Times New Roman" w:hAnsi="Times New Roman" w:eastAsia="宋体" w:cs="Times New Roman"/>
                      <w:color w:val="auto"/>
                      <w:kern w:val="0"/>
                      <w:sz w:val="22"/>
                      <w:szCs w:val="22"/>
                      <w:highlight w:val="none"/>
                      <w:lang w:val="en-US" w:eastAsia="zh-CN"/>
                    </w:rPr>
                    <w:t>0.</w:t>
                  </w:r>
                  <w:r>
                    <w:rPr>
                      <w:rFonts w:hint="eastAsia" w:ascii="Times New Roman" w:hAnsi="Times New Roman" w:eastAsia="宋体" w:cs="Times New Roman"/>
                      <w:color w:val="auto"/>
                      <w:kern w:val="0"/>
                      <w:sz w:val="22"/>
                      <w:szCs w:val="22"/>
                      <w:highlight w:val="none"/>
                      <w:lang w:val="en-US" w:eastAsia="zh-CN"/>
                    </w:rPr>
                    <w:t>438606</w:t>
                  </w:r>
                </w:p>
              </w:tc>
            </w:tr>
          </w:tbl>
          <w:p w14:paraId="22D697C5">
            <w:pPr>
              <w:keepNext w:val="0"/>
              <w:keepLines w:val="0"/>
              <w:pageBreakBefore w:val="0"/>
              <w:widowControl w:val="0"/>
              <w:kinsoku/>
              <w:wordWrap/>
              <w:overflowPunct/>
              <w:topLinePunct w:val="0"/>
              <w:autoSpaceDE/>
              <w:autoSpaceDN/>
              <w:bidi w:val="0"/>
              <w:adjustRightInd/>
              <w:snapToGrid/>
              <w:spacing w:line="300" w:lineRule="exact"/>
              <w:ind w:firstLine="44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0"/>
                <w:sz w:val="22"/>
                <w:szCs w:val="22"/>
                <w:highlight w:val="none"/>
                <w:lang w:val="en-US" w:eastAsia="zh-CN" w:bidi="ar-SA"/>
              </w:rPr>
              <w:t xml:space="preserve"> </w:t>
            </w:r>
            <w:r>
              <w:rPr>
                <w:rFonts w:hint="eastAsia" w:ascii="Times New Roman" w:hAnsi="Times New Roman" w:eastAsia="宋体" w:cs="Times New Roman"/>
                <w:color w:val="auto"/>
                <w:sz w:val="21"/>
                <w:szCs w:val="21"/>
                <w:highlight w:val="none"/>
                <w:lang w:val="en-US" w:eastAsia="zh-CN"/>
              </w:rPr>
              <w:t>备注：氮化铝的临界值参照</w:t>
            </w:r>
            <w:r>
              <w:rPr>
                <w:rFonts w:hint="default" w:ascii="Times New Roman" w:hAnsi="Times New Roman" w:eastAsia="宋体" w:cs="Times New Roman"/>
                <w:b w:val="0"/>
                <w:bCs w:val="0"/>
                <w:color w:val="auto"/>
                <w:kern w:val="0"/>
                <w:sz w:val="21"/>
                <w:szCs w:val="21"/>
              </w:rPr>
              <w:t>《</w:t>
            </w:r>
            <w:r>
              <w:rPr>
                <w:rFonts w:hint="eastAsia" w:ascii="Times New Roman" w:hAnsi="Times New Roman" w:eastAsia="宋体" w:cs="Times New Roman"/>
                <w:b w:val="0"/>
                <w:bCs w:val="0"/>
                <w:color w:val="auto"/>
                <w:kern w:val="0"/>
                <w:sz w:val="21"/>
                <w:szCs w:val="21"/>
                <w:lang w:val="en-US" w:eastAsia="zh-CN"/>
              </w:rPr>
              <w:t>建设项目环境风险评价技术导则</w:t>
            </w:r>
            <w:r>
              <w:rPr>
                <w:rFonts w:hint="default" w:ascii="Times New Roman" w:hAnsi="Times New Roman" w:eastAsia="宋体" w:cs="Times New Roman"/>
                <w:b w:val="0"/>
                <w:bCs w:val="0"/>
                <w:color w:val="auto"/>
                <w:kern w:val="0"/>
                <w:sz w:val="21"/>
                <w:szCs w:val="21"/>
              </w:rPr>
              <w:t>》</w:t>
            </w:r>
            <w:r>
              <w:rPr>
                <w:rFonts w:hint="eastAsia" w:ascii="Times New Roman" w:hAnsi="Times New Roman" w:eastAsia="宋体" w:cs="Times New Roman"/>
                <w:b w:val="0"/>
                <w:bCs w:val="0"/>
                <w:color w:val="auto"/>
                <w:kern w:val="0"/>
                <w:sz w:val="21"/>
                <w:szCs w:val="21"/>
                <w:lang w:eastAsia="zh-CN"/>
              </w:rPr>
              <w:t>（</w:t>
            </w:r>
            <w:r>
              <w:rPr>
                <w:rFonts w:hint="eastAsia" w:ascii="Times New Roman" w:hAnsi="Times New Roman" w:eastAsia="宋体" w:cs="Times New Roman"/>
                <w:b w:val="0"/>
                <w:bCs w:val="0"/>
                <w:color w:val="auto"/>
                <w:kern w:val="0"/>
                <w:sz w:val="21"/>
                <w:szCs w:val="21"/>
                <w:lang w:val="en-US" w:eastAsia="zh-CN"/>
              </w:rPr>
              <w:t>HJ 169-2018</w:t>
            </w:r>
            <w:r>
              <w:rPr>
                <w:rFonts w:hint="eastAsia" w:ascii="Times New Roman" w:hAnsi="Times New Roman" w:eastAsia="宋体" w:cs="Times New Roman"/>
                <w:b w:val="0"/>
                <w:bCs w:val="0"/>
                <w:color w:val="auto"/>
                <w:kern w:val="0"/>
                <w:sz w:val="21"/>
                <w:szCs w:val="21"/>
                <w:lang w:eastAsia="zh-CN"/>
              </w:rPr>
              <w:t>）</w:t>
            </w:r>
            <w:r>
              <w:rPr>
                <w:rFonts w:hint="eastAsia" w:ascii="Times New Roman" w:hAnsi="Times New Roman" w:eastAsia="宋体" w:cs="Times New Roman"/>
                <w:b w:val="0"/>
                <w:bCs w:val="0"/>
                <w:color w:val="auto"/>
                <w:kern w:val="0"/>
                <w:sz w:val="21"/>
                <w:szCs w:val="21"/>
                <w:lang w:val="en-US" w:eastAsia="zh-CN"/>
              </w:rPr>
              <w:t>附录B.1中氮化锂执行。</w:t>
            </w:r>
          </w:p>
          <w:p w14:paraId="40442FE1">
            <w:pPr>
              <w:spacing w:line="460" w:lineRule="exact"/>
              <w:ind w:firstLine="520" w:firstLineChars="200"/>
              <w:jc w:val="left"/>
              <w:rPr>
                <w:rFonts w:hint="default" w:ascii="Times New Roman" w:hAnsi="Times New Roman" w:eastAsia="宋体" w:cs="Times New Roman"/>
                <w:color w:val="auto"/>
                <w:sz w:val="26"/>
                <w:szCs w:val="26"/>
                <w:highlight w:val="none"/>
                <w:lang w:val="en-US" w:eastAsia="zh-CN"/>
              </w:rPr>
            </w:pPr>
          </w:p>
          <w:p w14:paraId="0529BD8C">
            <w:pPr>
              <w:spacing w:line="460" w:lineRule="exact"/>
              <w:ind w:firstLine="520" w:firstLineChars="200"/>
              <w:jc w:val="left"/>
              <w:rPr>
                <w:rFonts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lang w:val="en-US" w:eastAsia="zh-CN"/>
              </w:rPr>
              <w:t>因</w:t>
            </w:r>
            <w:r>
              <w:rPr>
                <w:rFonts w:ascii="Times New Roman" w:hAnsi="Times New Roman" w:eastAsia="宋体" w:cs="Times New Roman"/>
                <w:color w:val="auto"/>
                <w:sz w:val="26"/>
                <w:szCs w:val="26"/>
                <w:highlight w:val="none"/>
              </w:rPr>
              <w:t>此</w:t>
            </w:r>
            <w:r>
              <w:rPr>
                <w:rFonts w:hint="eastAsia" w:ascii="Times New Roman" w:hAnsi="Times New Roman" w:eastAsia="宋体" w:cs="Times New Roman"/>
                <w:color w:val="auto"/>
                <w:sz w:val="26"/>
                <w:szCs w:val="26"/>
                <w:highlight w:val="none"/>
              </w:rPr>
              <w:t>，</w:t>
            </w:r>
            <w:r>
              <w:rPr>
                <w:rFonts w:ascii="Times New Roman" w:hAnsi="Times New Roman" w:eastAsia="宋体" w:cs="Times New Roman"/>
                <w:color w:val="auto"/>
                <w:sz w:val="26"/>
                <w:szCs w:val="26"/>
                <w:highlight w:val="none"/>
              </w:rPr>
              <w:t>本</w:t>
            </w:r>
            <w:r>
              <w:rPr>
                <w:rFonts w:hint="default" w:ascii="Times New Roman" w:hAnsi="Times New Roman" w:eastAsia="宋体" w:cs="Times New Roman"/>
                <w:color w:val="auto"/>
                <w:sz w:val="26"/>
                <w:szCs w:val="26"/>
                <w:highlight w:val="none"/>
                <w:lang w:val="en-US" w:eastAsia="zh-CN"/>
              </w:rPr>
              <w:t>项目</w:t>
            </w:r>
            <w:r>
              <w:rPr>
                <w:rFonts w:hint="eastAsia" w:ascii="Times New Roman" w:hAnsi="Times New Roman" w:eastAsia="宋体" w:cs="Times New Roman"/>
                <w:color w:val="auto"/>
                <w:sz w:val="26"/>
                <w:szCs w:val="26"/>
                <w:highlight w:val="none"/>
                <w:lang w:val="en-US" w:eastAsia="zh-CN"/>
              </w:rPr>
              <w:t>实施后，全厂</w:t>
            </w:r>
            <w:r>
              <w:rPr>
                <w:rFonts w:hint="eastAsia" w:ascii="Times New Roman" w:hAnsi="Times New Roman" w:eastAsia="宋体" w:cs="Times New Roman"/>
                <w:color w:val="auto"/>
                <w:sz w:val="26"/>
                <w:szCs w:val="26"/>
                <w:highlight w:val="none"/>
              </w:rPr>
              <w:t>Q值为</w:t>
            </w:r>
            <w:r>
              <w:rPr>
                <w:rFonts w:hint="eastAsia" w:ascii="Times New Roman" w:hAnsi="Times New Roman" w:eastAsia="宋体" w:cs="Times New Roman"/>
                <w:color w:val="auto"/>
                <w:sz w:val="26"/>
                <w:szCs w:val="26"/>
                <w:highlight w:val="none"/>
                <w:lang w:val="en-US" w:eastAsia="zh-CN"/>
              </w:rPr>
              <w:t>0.44</w:t>
            </w:r>
            <w:r>
              <w:rPr>
                <w:rFonts w:ascii="Times New Roman" w:hAnsi="Times New Roman" w:eastAsia="宋体" w:cs="Times New Roman"/>
                <w:color w:val="auto"/>
                <w:sz w:val="26"/>
                <w:szCs w:val="26"/>
                <w:highlight w:val="none"/>
              </w:rPr>
              <w:t>&lt;1</w:t>
            </w:r>
            <w:r>
              <w:rPr>
                <w:rFonts w:hint="eastAsia" w:ascii="Times New Roman" w:hAnsi="Times New Roman" w:eastAsia="宋体" w:cs="Times New Roman"/>
                <w:color w:val="auto"/>
                <w:sz w:val="26"/>
                <w:szCs w:val="26"/>
                <w:highlight w:val="none"/>
              </w:rPr>
              <w:t>，</w:t>
            </w:r>
            <w:r>
              <w:rPr>
                <w:rFonts w:ascii="Times New Roman" w:hAnsi="Times New Roman" w:eastAsia="宋体" w:cs="Times New Roman"/>
                <w:color w:val="auto"/>
                <w:sz w:val="26"/>
                <w:szCs w:val="26"/>
                <w:highlight w:val="none"/>
              </w:rPr>
              <w:t>环境风险潜势为</w:t>
            </w:r>
            <w:r>
              <w:rPr>
                <w:rFonts w:ascii="Times New Roman" w:hAnsi="Times New Roman" w:eastAsia="宋体" w:cs="Times New Roman"/>
                <w:color w:val="auto"/>
                <w:sz w:val="26"/>
                <w:szCs w:val="26"/>
                <w:highlight w:val="none"/>
              </w:rPr>
              <w:fldChar w:fldCharType="begin"/>
            </w:r>
            <w:r>
              <w:rPr>
                <w:rFonts w:ascii="Times New Roman" w:hAnsi="Times New Roman" w:eastAsia="宋体" w:cs="Times New Roman"/>
                <w:color w:val="auto"/>
                <w:sz w:val="26"/>
                <w:szCs w:val="26"/>
                <w:highlight w:val="none"/>
              </w:rPr>
              <w:instrText xml:space="preserve"> = 1 \* ROMAN </w:instrText>
            </w:r>
            <w:r>
              <w:rPr>
                <w:rFonts w:ascii="Times New Roman" w:hAnsi="Times New Roman" w:eastAsia="宋体" w:cs="Times New Roman"/>
                <w:color w:val="auto"/>
                <w:sz w:val="26"/>
                <w:szCs w:val="26"/>
                <w:highlight w:val="none"/>
              </w:rPr>
              <w:fldChar w:fldCharType="separate"/>
            </w:r>
            <w:r>
              <w:rPr>
                <w:rFonts w:ascii="Times New Roman" w:hAnsi="Times New Roman" w:eastAsia="宋体" w:cs="Times New Roman"/>
                <w:color w:val="auto"/>
                <w:sz w:val="26"/>
                <w:szCs w:val="26"/>
                <w:highlight w:val="none"/>
              </w:rPr>
              <w:t>I</w:t>
            </w:r>
            <w:r>
              <w:rPr>
                <w:rFonts w:ascii="Times New Roman" w:hAnsi="Times New Roman" w:eastAsia="宋体" w:cs="Times New Roman"/>
                <w:color w:val="auto"/>
                <w:sz w:val="26"/>
                <w:szCs w:val="26"/>
                <w:highlight w:val="none"/>
              </w:rPr>
              <w:fldChar w:fldCharType="end"/>
            </w:r>
            <w:r>
              <w:rPr>
                <w:rFonts w:ascii="Times New Roman" w:hAnsi="Times New Roman" w:eastAsia="宋体" w:cs="Times New Roman"/>
                <w:color w:val="auto"/>
                <w:sz w:val="26"/>
                <w:szCs w:val="26"/>
                <w:highlight w:val="none"/>
              </w:rPr>
              <w:t>。</w:t>
            </w:r>
          </w:p>
          <w:p w14:paraId="78103600">
            <w:pPr>
              <w:widowControl w:val="0"/>
              <w:snapToGrid w:val="0"/>
              <w:spacing w:line="460" w:lineRule="atLeast"/>
              <w:ind w:left="0" w:leftChars="0" w:firstLine="0" w:firstLineChars="0"/>
              <w:jc w:val="both"/>
              <w:rPr>
                <w:rFonts w:ascii="Times New Roman" w:hAnsi="Times New Roman" w:eastAsia="宋体" w:cs="Times New Roman"/>
                <w:b/>
                <w:bCs/>
                <w:color w:val="auto"/>
                <w:kern w:val="2"/>
                <w:sz w:val="26"/>
                <w:szCs w:val="20"/>
                <w:lang w:val="en-US" w:eastAsia="zh-CN" w:bidi="ar-SA"/>
              </w:rPr>
            </w:pPr>
            <w:r>
              <w:rPr>
                <w:rFonts w:hint="eastAsia" w:ascii="Times New Roman" w:hAnsi="Times New Roman" w:eastAsia="宋体" w:cs="Times New Roman"/>
                <w:b/>
                <w:bCs/>
                <w:color w:val="auto"/>
                <w:kern w:val="2"/>
                <w:sz w:val="26"/>
                <w:szCs w:val="20"/>
                <w:lang w:val="en-US" w:eastAsia="zh-CN" w:bidi="ar-SA"/>
              </w:rPr>
              <w:t>4.2.6.3</w:t>
            </w:r>
            <w:r>
              <w:rPr>
                <w:rFonts w:ascii="Times New Roman" w:hAnsi="Times New Roman" w:eastAsia="宋体" w:cs="Times New Roman"/>
                <w:b/>
                <w:bCs/>
                <w:color w:val="auto"/>
                <w:kern w:val="2"/>
                <w:sz w:val="26"/>
                <w:szCs w:val="20"/>
                <w:lang w:val="en-US" w:eastAsia="zh-CN" w:bidi="ar-SA"/>
              </w:rPr>
              <w:t>评价等级</w:t>
            </w:r>
          </w:p>
          <w:p w14:paraId="00DCA459">
            <w:pPr>
              <w:widowControl w:val="0"/>
              <w:snapToGrid w:val="0"/>
              <w:spacing w:line="460" w:lineRule="atLeast"/>
              <w:ind w:firstLine="520" w:firstLineChars="200"/>
              <w:jc w:val="both"/>
              <w:rPr>
                <w:rFonts w:ascii="Times New Roman" w:hAnsi="Times New Roman" w:eastAsia="宋体" w:cs="Times New Roman"/>
                <w:bCs/>
                <w:color w:val="auto"/>
                <w:kern w:val="2"/>
                <w:sz w:val="26"/>
                <w:szCs w:val="20"/>
                <w:lang w:val="en-US" w:eastAsia="zh-CN" w:bidi="ar-SA"/>
              </w:rPr>
            </w:pPr>
            <w:r>
              <w:rPr>
                <w:rFonts w:ascii="Times New Roman" w:hAnsi="Times New Roman" w:eastAsia="宋体" w:cs="Times New Roman"/>
                <w:bCs/>
                <w:color w:val="auto"/>
                <w:kern w:val="2"/>
                <w:sz w:val="26"/>
                <w:szCs w:val="20"/>
                <w:lang w:val="en-US" w:eastAsia="zh-CN" w:bidi="ar-SA"/>
              </w:rPr>
              <w:t>根据《建设项目环境风险评价技术导则》（HJ169-2018），环境风险评价等级根据项目涉及的物质及工艺系统危险性和所在地的环境敏感性确定环境风险潜势判断，其规定详见</w:t>
            </w:r>
            <w:r>
              <w:rPr>
                <w:rFonts w:hint="eastAsia" w:ascii="Times New Roman" w:hAnsi="Times New Roman" w:eastAsia="宋体" w:cs="Times New Roman"/>
                <w:bCs/>
                <w:color w:val="auto"/>
                <w:kern w:val="2"/>
                <w:sz w:val="26"/>
                <w:szCs w:val="20"/>
                <w:lang w:val="en-US" w:eastAsia="zh-CN" w:bidi="ar-SA"/>
              </w:rPr>
              <w:t>下表</w:t>
            </w:r>
            <w:r>
              <w:rPr>
                <w:rFonts w:ascii="Times New Roman" w:hAnsi="Times New Roman" w:eastAsia="宋体" w:cs="Times New Roman"/>
                <w:bCs/>
                <w:color w:val="auto"/>
                <w:kern w:val="2"/>
                <w:sz w:val="26"/>
                <w:szCs w:val="20"/>
                <w:lang w:val="en-US" w:eastAsia="zh-CN" w:bidi="ar-SA"/>
              </w:rPr>
              <w:t>。</w:t>
            </w:r>
          </w:p>
          <w:p w14:paraId="4FB2FF38">
            <w:pPr>
              <w:widowControl w:val="0"/>
              <w:adjustRightInd w:val="0"/>
              <w:snapToGrid w:val="0"/>
              <w:spacing w:before="50" w:beforeLines="0"/>
              <w:jc w:val="center"/>
              <w:rPr>
                <w:rFonts w:ascii="Times New Roman" w:hAnsi="Times New Roman" w:eastAsia="宋体" w:cs="Times New Roman"/>
                <w:b/>
                <w:bCs w:val="0"/>
                <w:color w:val="auto"/>
                <w:kern w:val="2"/>
                <w:sz w:val="26"/>
                <w:szCs w:val="24"/>
                <w:lang w:val="en-US" w:eastAsia="zh-CN" w:bidi="ar-SA"/>
              </w:rPr>
            </w:pPr>
            <w:r>
              <w:rPr>
                <w:rFonts w:ascii="Times New Roman" w:hAnsi="Times New Roman" w:eastAsia="宋体" w:cs="Times New Roman"/>
                <w:b/>
                <w:bCs w:val="0"/>
                <w:color w:val="auto"/>
                <w:kern w:val="2"/>
                <w:sz w:val="26"/>
                <w:szCs w:val="24"/>
                <w:lang w:val="en-US" w:eastAsia="zh-CN" w:bidi="ar-SA"/>
              </w:rPr>
              <w:t>表</w:t>
            </w:r>
            <w:r>
              <w:rPr>
                <w:rFonts w:hint="eastAsia" w:ascii="Times New Roman" w:hAnsi="Times New Roman" w:eastAsia="宋体" w:cs="Times New Roman"/>
                <w:b/>
                <w:bCs w:val="0"/>
                <w:color w:val="auto"/>
                <w:kern w:val="2"/>
                <w:sz w:val="26"/>
                <w:szCs w:val="24"/>
                <w:lang w:val="en-US" w:eastAsia="zh-CN" w:bidi="ar-SA"/>
              </w:rPr>
              <w:t>4.2-27</w:t>
            </w:r>
            <w:r>
              <w:rPr>
                <w:rFonts w:ascii="Times New Roman" w:hAnsi="Times New Roman" w:eastAsia="宋体" w:cs="Times New Roman"/>
                <w:b/>
                <w:bCs w:val="0"/>
                <w:color w:val="auto"/>
                <w:kern w:val="2"/>
                <w:sz w:val="26"/>
                <w:szCs w:val="24"/>
                <w:lang w:val="en-US" w:eastAsia="zh-CN" w:bidi="ar-SA"/>
              </w:rPr>
              <w:t xml:space="preserve">  评价工作等级划分</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1630"/>
              <w:gridCol w:w="1689"/>
              <w:gridCol w:w="1433"/>
              <w:gridCol w:w="1711"/>
            </w:tblGrid>
            <w:tr w14:paraId="095A3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618" w:type="dxa"/>
                  <w:noWrap w:val="0"/>
                  <w:vAlign w:val="center"/>
                </w:tcPr>
                <w:p w14:paraId="0B1CB859">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环境风险潜势</w:t>
                  </w:r>
                </w:p>
              </w:tc>
              <w:tc>
                <w:tcPr>
                  <w:tcW w:w="1604" w:type="dxa"/>
                  <w:noWrap w:val="0"/>
                  <w:vAlign w:val="center"/>
                </w:tcPr>
                <w:p w14:paraId="7C04BFE5">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Ⅳ、Ⅳ+</w:t>
                  </w:r>
                </w:p>
              </w:tc>
              <w:tc>
                <w:tcPr>
                  <w:tcW w:w="1662" w:type="dxa"/>
                  <w:noWrap w:val="0"/>
                  <w:vAlign w:val="center"/>
                </w:tcPr>
                <w:p w14:paraId="1713C2DE">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Ⅲ</w:t>
                  </w:r>
                </w:p>
              </w:tc>
              <w:tc>
                <w:tcPr>
                  <w:tcW w:w="1410" w:type="dxa"/>
                  <w:noWrap w:val="0"/>
                  <w:vAlign w:val="center"/>
                </w:tcPr>
                <w:p w14:paraId="28223DF7">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Ⅱ</w:t>
                  </w:r>
                </w:p>
              </w:tc>
              <w:tc>
                <w:tcPr>
                  <w:tcW w:w="1683" w:type="dxa"/>
                  <w:noWrap w:val="0"/>
                  <w:vAlign w:val="center"/>
                </w:tcPr>
                <w:p w14:paraId="143BD9CD">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Ⅰ</w:t>
                  </w:r>
                </w:p>
              </w:tc>
            </w:tr>
            <w:tr w14:paraId="20E991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618" w:type="dxa"/>
                  <w:noWrap w:val="0"/>
                  <w:vAlign w:val="center"/>
                </w:tcPr>
                <w:p w14:paraId="7FBD3B62">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评价工作等级</w:t>
                  </w:r>
                </w:p>
              </w:tc>
              <w:tc>
                <w:tcPr>
                  <w:tcW w:w="1604" w:type="dxa"/>
                  <w:noWrap w:val="0"/>
                  <w:vAlign w:val="center"/>
                </w:tcPr>
                <w:p w14:paraId="3F42F246">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一</w:t>
                  </w:r>
                </w:p>
              </w:tc>
              <w:tc>
                <w:tcPr>
                  <w:tcW w:w="1662" w:type="dxa"/>
                  <w:noWrap w:val="0"/>
                  <w:vAlign w:val="center"/>
                </w:tcPr>
                <w:p w14:paraId="0093E185">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二</w:t>
                  </w:r>
                </w:p>
              </w:tc>
              <w:tc>
                <w:tcPr>
                  <w:tcW w:w="1410" w:type="dxa"/>
                  <w:noWrap w:val="0"/>
                  <w:vAlign w:val="center"/>
                </w:tcPr>
                <w:p w14:paraId="74C34886">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三</w:t>
                  </w:r>
                </w:p>
              </w:tc>
              <w:tc>
                <w:tcPr>
                  <w:tcW w:w="1683" w:type="dxa"/>
                  <w:noWrap w:val="0"/>
                  <w:vAlign w:val="center"/>
                </w:tcPr>
                <w:p w14:paraId="0F4460B7">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简单分析</w:t>
                  </w:r>
                </w:p>
              </w:tc>
            </w:tr>
            <w:tr w14:paraId="5E3807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977" w:type="dxa"/>
                  <w:gridSpan w:val="5"/>
                  <w:noWrap w:val="0"/>
                  <w:vAlign w:val="center"/>
                </w:tcPr>
                <w:p w14:paraId="2BE6B387">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a 是相对于详细评价工作内容而言，在描述危险物质、环境影响途径、环境危害后果、风险防范措施等方面给出定性的说明。见附录A。</w:t>
                  </w:r>
                </w:p>
              </w:tc>
            </w:tr>
          </w:tbl>
          <w:p w14:paraId="59EA6C2F">
            <w:pPr>
              <w:widowControl w:val="0"/>
              <w:snapToGrid w:val="0"/>
              <w:spacing w:line="460" w:lineRule="exact"/>
              <w:ind w:firstLine="520" w:firstLineChars="200"/>
              <w:jc w:val="both"/>
              <w:rPr>
                <w:rFonts w:ascii="Times New Roman" w:hAnsi="Times New Roman" w:eastAsia="宋体" w:cs="Times New Roman"/>
                <w:bCs/>
                <w:color w:val="auto"/>
                <w:kern w:val="2"/>
                <w:sz w:val="26"/>
                <w:szCs w:val="26"/>
                <w:lang w:val="en-US" w:eastAsia="zh-CN" w:bidi="ar-SA"/>
              </w:rPr>
            </w:pPr>
          </w:p>
          <w:p w14:paraId="5C40E7ED">
            <w:pPr>
              <w:widowControl w:val="0"/>
              <w:snapToGrid w:val="0"/>
              <w:spacing w:line="460" w:lineRule="exact"/>
              <w:ind w:firstLine="520" w:firstLineChars="200"/>
              <w:jc w:val="both"/>
              <w:rPr>
                <w:rFonts w:hint="eastAsia" w:ascii="Times New Roman" w:hAnsi="Times New Roman" w:eastAsia="宋体" w:cs="Times New Roman"/>
                <w:bCs/>
                <w:color w:val="auto"/>
                <w:kern w:val="2"/>
                <w:sz w:val="26"/>
                <w:szCs w:val="26"/>
                <w:highlight w:val="none"/>
                <w:lang w:val="en-US" w:eastAsia="zh-CN" w:bidi="ar-SA"/>
              </w:rPr>
            </w:pPr>
            <w:r>
              <w:rPr>
                <w:rFonts w:ascii="Times New Roman" w:hAnsi="Times New Roman" w:eastAsia="宋体" w:cs="Times New Roman"/>
                <w:bCs/>
                <w:color w:val="auto"/>
                <w:kern w:val="2"/>
                <w:sz w:val="26"/>
                <w:szCs w:val="26"/>
                <w:lang w:val="en-US" w:eastAsia="zh-CN" w:bidi="ar-SA"/>
              </w:rPr>
              <w:t>根据</w:t>
            </w:r>
            <w:r>
              <w:rPr>
                <w:rFonts w:hint="eastAsia" w:ascii="Times New Roman" w:hAnsi="Times New Roman" w:eastAsia="宋体" w:cs="Times New Roman"/>
                <w:bCs/>
                <w:color w:val="auto"/>
                <w:kern w:val="2"/>
                <w:sz w:val="26"/>
                <w:szCs w:val="26"/>
                <w:lang w:val="en-US" w:eastAsia="zh-CN" w:bidi="ar-SA"/>
              </w:rPr>
              <w:t>上表</w:t>
            </w:r>
            <w:r>
              <w:rPr>
                <w:rFonts w:ascii="Times New Roman" w:hAnsi="Times New Roman" w:eastAsia="宋体" w:cs="Times New Roman"/>
                <w:bCs/>
                <w:color w:val="auto"/>
                <w:kern w:val="2"/>
                <w:sz w:val="26"/>
                <w:szCs w:val="26"/>
                <w:lang w:val="en-US" w:eastAsia="zh-CN" w:bidi="ar-SA"/>
              </w:rPr>
              <w:t>所示，</w:t>
            </w:r>
            <w:r>
              <w:rPr>
                <w:rFonts w:hint="eastAsia" w:ascii="Times New Roman" w:hAnsi="Times New Roman" w:eastAsia="宋体" w:cs="Times New Roman"/>
                <w:bCs/>
                <w:color w:val="auto"/>
                <w:kern w:val="2"/>
                <w:sz w:val="26"/>
                <w:szCs w:val="26"/>
                <w:lang w:val="en-US" w:eastAsia="zh-CN" w:bidi="ar-SA"/>
              </w:rPr>
              <w:t>本</w:t>
            </w:r>
            <w:r>
              <w:rPr>
                <w:rFonts w:ascii="Times New Roman" w:hAnsi="Times New Roman" w:eastAsia="宋体" w:cs="Times New Roman"/>
                <w:bCs/>
                <w:color w:val="auto"/>
                <w:kern w:val="2"/>
                <w:sz w:val="26"/>
                <w:szCs w:val="26"/>
                <w:lang w:val="en-US" w:eastAsia="zh-CN" w:bidi="ar-SA"/>
              </w:rPr>
              <w:t>项目的风险潜势为I，对照评价工作等级划分表，应进行简单分析。</w:t>
            </w:r>
          </w:p>
          <w:p w14:paraId="6E141C1C">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default" w:ascii="Times New Roman" w:hAnsi="Times New Roman" w:eastAsia="宋体" w:cs="Times New Roman"/>
                <w:b/>
                <w:bCs/>
                <w:color w:val="auto"/>
                <w:sz w:val="26"/>
                <w:szCs w:val="26"/>
                <w:lang w:val="en-US" w:eastAsia="zh-CN"/>
              </w:rPr>
              <w:t>4.2.6.</w:t>
            </w:r>
            <w:r>
              <w:rPr>
                <w:rFonts w:hint="eastAsia" w:ascii="Times New Roman" w:hAnsi="Times New Roman" w:eastAsia="宋体" w:cs="Times New Roman"/>
                <w:b/>
                <w:bCs/>
                <w:color w:val="auto"/>
                <w:sz w:val="26"/>
                <w:szCs w:val="26"/>
                <w:lang w:val="en-US" w:eastAsia="zh-CN"/>
              </w:rPr>
              <w:t>4</w:t>
            </w:r>
            <w:r>
              <w:rPr>
                <w:rFonts w:hint="default" w:ascii="Times New Roman" w:hAnsi="Times New Roman" w:eastAsia="宋体" w:cs="Times New Roman"/>
                <w:b/>
                <w:bCs/>
                <w:color w:val="auto"/>
                <w:sz w:val="26"/>
                <w:szCs w:val="26"/>
                <w:lang w:val="en-US" w:eastAsia="zh-CN"/>
              </w:rPr>
              <w:t>风险识别</w:t>
            </w:r>
          </w:p>
          <w:p w14:paraId="161BF2F9">
            <w:pPr>
              <w:widowControl w:val="0"/>
              <w:snapToGrid w:val="0"/>
              <w:spacing w:line="460" w:lineRule="exact"/>
              <w:ind w:firstLine="520" w:firstLineChars="200"/>
              <w:jc w:val="both"/>
              <w:rPr>
                <w:rFonts w:hint="eastAsia" w:ascii="Times New Roman" w:hAnsi="Times New Roman" w:eastAsia="宋体" w:cs="Times New Roman"/>
                <w:bCs/>
                <w:color w:val="auto"/>
                <w:kern w:val="2"/>
                <w:sz w:val="26"/>
                <w:szCs w:val="26"/>
                <w:lang w:val="en-US" w:eastAsia="zh-CN" w:bidi="ar-SA"/>
              </w:rPr>
            </w:pPr>
            <w:r>
              <w:rPr>
                <w:rFonts w:hint="eastAsia" w:ascii="Times New Roman" w:hAnsi="Times New Roman" w:eastAsia="宋体" w:cs="Times New Roman"/>
                <w:bCs/>
                <w:color w:val="auto"/>
                <w:kern w:val="2"/>
                <w:sz w:val="26"/>
                <w:szCs w:val="26"/>
                <w:lang w:val="en-US" w:eastAsia="zh-CN" w:bidi="ar-SA"/>
              </w:rPr>
              <w:t xml:space="preserve">本项目环境风险情况见下表。 </w:t>
            </w:r>
          </w:p>
          <w:p w14:paraId="17C4AD45">
            <w:pPr>
              <w:widowControl w:val="0"/>
              <w:adjustRightInd w:val="0"/>
              <w:snapToGrid w:val="0"/>
              <w:spacing w:before="50" w:beforeLines="0"/>
              <w:jc w:val="center"/>
              <w:rPr>
                <w:rFonts w:hint="eastAsia" w:ascii="Times New Roman" w:hAnsi="Times New Roman" w:eastAsia="宋体" w:cs="Times New Roman"/>
                <w:b/>
                <w:bCs w:val="0"/>
                <w:color w:val="auto"/>
                <w:kern w:val="2"/>
                <w:sz w:val="26"/>
                <w:szCs w:val="24"/>
                <w:lang w:val="en-US" w:eastAsia="zh-CN" w:bidi="ar-SA"/>
              </w:rPr>
            </w:pPr>
            <w:r>
              <w:rPr>
                <w:rFonts w:hint="eastAsia" w:ascii="Times New Roman" w:hAnsi="Times New Roman" w:eastAsia="宋体" w:cs="Times New Roman"/>
                <w:b/>
                <w:bCs w:val="0"/>
                <w:color w:val="auto"/>
                <w:kern w:val="2"/>
                <w:sz w:val="26"/>
                <w:szCs w:val="24"/>
                <w:lang w:val="en-US" w:eastAsia="zh-CN" w:bidi="ar-SA"/>
              </w:rPr>
              <w:t>表4.2-28  本项目环境风险识别表</w:t>
            </w:r>
          </w:p>
          <w:tbl>
            <w:tblPr>
              <w:tblStyle w:val="25"/>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281"/>
              <w:gridCol w:w="2060"/>
              <w:gridCol w:w="2046"/>
              <w:gridCol w:w="1776"/>
            </w:tblGrid>
            <w:tr w14:paraId="51349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noWrap w:val="0"/>
                  <w:vAlign w:val="center"/>
                </w:tcPr>
                <w:p w14:paraId="1B83B0A7">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序号</w:t>
                  </w:r>
                </w:p>
              </w:tc>
              <w:tc>
                <w:tcPr>
                  <w:tcW w:w="1306" w:type="dxa"/>
                  <w:noWrap w:val="0"/>
                  <w:vAlign w:val="center"/>
                </w:tcPr>
                <w:p w14:paraId="5E706A61">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危险单元</w:t>
                  </w:r>
                </w:p>
              </w:tc>
              <w:tc>
                <w:tcPr>
                  <w:tcW w:w="2104" w:type="dxa"/>
                  <w:noWrap w:val="0"/>
                  <w:vAlign w:val="center"/>
                </w:tcPr>
                <w:p w14:paraId="7C330A87">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危险物质</w:t>
                  </w:r>
                </w:p>
              </w:tc>
              <w:tc>
                <w:tcPr>
                  <w:tcW w:w="2090" w:type="dxa"/>
                  <w:noWrap w:val="0"/>
                  <w:vAlign w:val="center"/>
                </w:tcPr>
                <w:p w14:paraId="6FCD8361">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环境风险类型</w:t>
                  </w:r>
                </w:p>
              </w:tc>
              <w:tc>
                <w:tcPr>
                  <w:tcW w:w="1813" w:type="dxa"/>
                  <w:noWrap w:val="0"/>
                  <w:vAlign w:val="center"/>
                </w:tcPr>
                <w:p w14:paraId="0A1D6C06">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环境影响途径</w:t>
                  </w:r>
                </w:p>
              </w:tc>
            </w:tr>
            <w:tr w14:paraId="0476A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noWrap w:val="0"/>
                  <w:vAlign w:val="center"/>
                </w:tcPr>
                <w:p w14:paraId="2364FF8B">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1</w:t>
                  </w:r>
                </w:p>
              </w:tc>
              <w:tc>
                <w:tcPr>
                  <w:tcW w:w="1306" w:type="dxa"/>
                  <w:noWrap w:val="0"/>
                  <w:vAlign w:val="center"/>
                </w:tcPr>
                <w:p w14:paraId="50AE916C">
                  <w:pPr>
                    <w:adjustRightInd w:val="0"/>
                    <w:snapToGrid w:val="0"/>
                    <w:spacing w:line="240" w:lineRule="auto"/>
                    <w:ind w:firstLine="0" w:firstLineChars="0"/>
                    <w:jc w:val="center"/>
                    <w:rPr>
                      <w:rFonts w:hint="eastAsia"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危废贮存库</w:t>
                  </w:r>
                </w:p>
              </w:tc>
              <w:tc>
                <w:tcPr>
                  <w:tcW w:w="2104" w:type="dxa"/>
                  <w:noWrap w:val="0"/>
                  <w:vAlign w:val="center"/>
                </w:tcPr>
                <w:p w14:paraId="03867EB9">
                  <w:pPr>
                    <w:adjustRightInd w:val="0"/>
                    <w:snapToGrid w:val="0"/>
                    <w:spacing w:line="240" w:lineRule="auto"/>
                    <w:ind w:firstLine="0" w:firstLineChars="0"/>
                    <w:jc w:val="center"/>
                    <w:rPr>
                      <w:rFonts w:hint="eastAsia"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废液压油、空压机含油废液、铝灰渣（含氮化铝）等</w:t>
                  </w:r>
                </w:p>
              </w:tc>
              <w:tc>
                <w:tcPr>
                  <w:tcW w:w="2090" w:type="dxa"/>
                  <w:noWrap w:val="0"/>
                  <w:vAlign w:val="center"/>
                </w:tcPr>
                <w:p w14:paraId="582D746D">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泄漏，火灾爆炸伴生污染物</w:t>
                  </w:r>
                </w:p>
              </w:tc>
              <w:tc>
                <w:tcPr>
                  <w:tcW w:w="1813" w:type="dxa"/>
                  <w:noWrap w:val="0"/>
                  <w:vAlign w:val="center"/>
                </w:tcPr>
                <w:p w14:paraId="44DF695F">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大气、地下水、土壤</w:t>
                  </w:r>
                </w:p>
              </w:tc>
            </w:tr>
            <w:tr w14:paraId="4BA16E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noWrap w:val="0"/>
                  <w:vAlign w:val="center"/>
                </w:tcPr>
                <w:p w14:paraId="5B859C2E">
                  <w:pPr>
                    <w:adjustRightInd w:val="0"/>
                    <w:snapToGrid w:val="0"/>
                    <w:spacing w:line="240" w:lineRule="auto"/>
                    <w:ind w:firstLine="0" w:firstLineChars="0"/>
                    <w:jc w:val="center"/>
                    <w:rPr>
                      <w:rFonts w:hint="eastAsia"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2</w:t>
                  </w:r>
                </w:p>
              </w:tc>
              <w:tc>
                <w:tcPr>
                  <w:tcW w:w="1306" w:type="dxa"/>
                  <w:noWrap w:val="0"/>
                  <w:vAlign w:val="center"/>
                </w:tcPr>
                <w:p w14:paraId="41ECD048">
                  <w:pPr>
                    <w:adjustRightInd w:val="0"/>
                    <w:snapToGrid w:val="0"/>
                    <w:spacing w:line="240" w:lineRule="auto"/>
                    <w:ind w:firstLine="0" w:firstLineChars="0"/>
                    <w:jc w:val="center"/>
                    <w:rPr>
                      <w:rFonts w:hint="eastAsia"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油品库</w:t>
                  </w:r>
                </w:p>
              </w:tc>
              <w:tc>
                <w:tcPr>
                  <w:tcW w:w="2104" w:type="dxa"/>
                  <w:noWrap w:val="0"/>
                  <w:vAlign w:val="center"/>
                </w:tcPr>
                <w:p w14:paraId="17624337">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eastAsia" w:ascii="Times New Roman" w:hAnsi="Times New Roman" w:eastAsia="宋体" w:cs="Times New Roman"/>
                      <w:snapToGrid w:val="0"/>
                      <w:color w:val="auto"/>
                      <w:kern w:val="0"/>
                      <w:sz w:val="22"/>
                      <w:szCs w:val="22"/>
                      <w:highlight w:val="none"/>
                      <w:lang w:val="en-US" w:eastAsia="zh-CN" w:bidi="ar-SA"/>
                    </w:rPr>
                    <w:t>液压油、切削液、润滑油、柴油</w:t>
                  </w:r>
                </w:p>
              </w:tc>
              <w:tc>
                <w:tcPr>
                  <w:tcW w:w="2090" w:type="dxa"/>
                  <w:noWrap w:val="0"/>
                  <w:vAlign w:val="center"/>
                </w:tcPr>
                <w:p w14:paraId="57CC2FEA">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泄漏，火灾爆炸伴生污染物</w:t>
                  </w:r>
                </w:p>
              </w:tc>
              <w:tc>
                <w:tcPr>
                  <w:tcW w:w="1813" w:type="dxa"/>
                  <w:noWrap w:val="0"/>
                  <w:vAlign w:val="center"/>
                </w:tcPr>
                <w:p w14:paraId="1B18C9FA">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2"/>
                      <w:szCs w:val="22"/>
                      <w:highlight w:val="none"/>
                      <w:lang w:val="en-US" w:eastAsia="zh-CN" w:bidi="ar-SA"/>
                    </w:rPr>
                  </w:pPr>
                  <w:r>
                    <w:rPr>
                      <w:rFonts w:hint="default" w:ascii="Times New Roman" w:hAnsi="Times New Roman" w:eastAsia="宋体" w:cs="Times New Roman"/>
                      <w:snapToGrid w:val="0"/>
                      <w:color w:val="auto"/>
                      <w:kern w:val="0"/>
                      <w:sz w:val="22"/>
                      <w:szCs w:val="22"/>
                      <w:highlight w:val="none"/>
                      <w:lang w:val="en-US" w:eastAsia="zh-CN" w:bidi="ar-SA"/>
                    </w:rPr>
                    <w:t>大气、地下水、土壤</w:t>
                  </w:r>
                </w:p>
              </w:tc>
            </w:tr>
          </w:tbl>
          <w:p w14:paraId="6FE0B368">
            <w:pPr>
              <w:pageBreakBefore w:val="0"/>
              <w:widowControl w:val="0"/>
              <w:numPr>
                <w:ilvl w:val="0"/>
                <w:numId w:val="0"/>
              </w:numPr>
              <w:spacing w:after="0" w:afterLines="0" w:line="460" w:lineRule="exact"/>
              <w:ind w:left="0" w:firstLine="522" w:firstLineChars="200"/>
              <w:jc w:val="both"/>
              <w:outlineLvl w:val="1"/>
              <w:rPr>
                <w:rFonts w:hint="eastAsia" w:ascii="Times New Roman" w:hAnsi="Times New Roman" w:eastAsia="宋体" w:cs="Times New Roman"/>
                <w:b/>
                <w:bCs/>
                <w:color w:val="auto"/>
                <w:sz w:val="26"/>
                <w:szCs w:val="26"/>
                <w:lang w:val="en-US" w:eastAsia="zh-CN"/>
              </w:rPr>
            </w:pPr>
          </w:p>
          <w:p w14:paraId="1E958CE1">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4.2.6.5环境风险分析</w:t>
            </w:r>
          </w:p>
          <w:p w14:paraId="05FA2A73">
            <w:pPr>
              <w:pageBreakBefore w:val="0"/>
              <w:widowControl w:val="0"/>
              <w:numPr>
                <w:ilvl w:val="0"/>
                <w:numId w:val="0"/>
              </w:numPr>
              <w:spacing w:after="0" w:afterLines="0" w:line="460" w:lineRule="exact"/>
              <w:ind w:left="0" w:firstLine="520" w:firstLineChars="200"/>
              <w:jc w:val="both"/>
              <w:outlineLvl w:val="1"/>
              <w:rPr>
                <w:rFonts w:ascii="Times New Roman" w:hAnsi="Times New Roman" w:eastAsia="宋体" w:cs="Times New Roman"/>
                <w:b w:val="0"/>
                <w:bCs/>
                <w:color w:val="auto"/>
                <w:kern w:val="2"/>
                <w:sz w:val="26"/>
                <w:szCs w:val="26"/>
                <w:lang w:val="en-US" w:eastAsia="zh-CN" w:bidi="ar-SA"/>
              </w:rPr>
            </w:pPr>
            <w:r>
              <w:rPr>
                <w:rFonts w:hint="eastAsia" w:ascii="Times New Roman" w:hAnsi="Times New Roman" w:eastAsia="宋体" w:cs="Times New Roman"/>
                <w:b w:val="0"/>
                <w:bCs/>
                <w:color w:val="auto"/>
                <w:kern w:val="2"/>
                <w:sz w:val="26"/>
                <w:szCs w:val="26"/>
                <w:lang w:val="en-US" w:eastAsia="zh-CN" w:bidi="ar-SA"/>
              </w:rPr>
              <w:t>1）</w:t>
            </w:r>
            <w:r>
              <w:rPr>
                <w:rFonts w:ascii="Times New Roman" w:hAnsi="Times New Roman" w:eastAsia="宋体" w:cs="Times New Roman"/>
                <w:b w:val="0"/>
                <w:bCs/>
                <w:color w:val="auto"/>
                <w:kern w:val="2"/>
                <w:sz w:val="26"/>
                <w:szCs w:val="26"/>
                <w:lang w:val="en-US" w:eastAsia="zh-CN" w:bidi="ar-SA"/>
              </w:rPr>
              <w:t xml:space="preserve">停水、停电事故 </w:t>
            </w:r>
          </w:p>
          <w:p w14:paraId="2A30FBFA">
            <w:pPr>
              <w:pageBreakBefore w:val="0"/>
              <w:widowControl w:val="0"/>
              <w:numPr>
                <w:ilvl w:val="0"/>
                <w:numId w:val="0"/>
              </w:numPr>
              <w:spacing w:after="0" w:afterLines="0" w:line="460" w:lineRule="exact"/>
              <w:ind w:left="0" w:firstLine="520" w:firstLineChars="200"/>
              <w:jc w:val="both"/>
              <w:outlineLvl w:val="1"/>
              <w:rPr>
                <w:rFonts w:ascii="Times New Roman" w:hAnsi="Times New Roman" w:eastAsia="宋体" w:cs="Times New Roman"/>
                <w:b w:val="0"/>
                <w:bCs/>
                <w:color w:val="auto"/>
                <w:kern w:val="2"/>
                <w:sz w:val="26"/>
                <w:szCs w:val="26"/>
                <w:lang w:val="en-US" w:eastAsia="zh-CN" w:bidi="ar-SA"/>
              </w:rPr>
            </w:pPr>
            <w:r>
              <w:rPr>
                <w:rFonts w:ascii="Times New Roman" w:hAnsi="Times New Roman" w:eastAsia="宋体" w:cs="Times New Roman"/>
                <w:b w:val="0"/>
                <w:bCs/>
                <w:color w:val="auto"/>
                <w:kern w:val="2"/>
                <w:sz w:val="26"/>
                <w:szCs w:val="26"/>
                <w:lang w:val="en-US" w:eastAsia="zh-CN" w:bidi="ar-SA"/>
              </w:rPr>
              <w:t xml:space="preserve">本项目在生产过程中，如发生停水、停电，可自动停止生产。 </w:t>
            </w:r>
          </w:p>
          <w:p w14:paraId="4D00C343">
            <w:pPr>
              <w:pageBreakBefore w:val="0"/>
              <w:widowControl w:val="0"/>
              <w:numPr>
                <w:ilvl w:val="0"/>
                <w:numId w:val="0"/>
              </w:numPr>
              <w:spacing w:after="0" w:afterLines="0" w:line="460" w:lineRule="exact"/>
              <w:ind w:left="0" w:firstLine="520" w:firstLineChars="200"/>
              <w:jc w:val="both"/>
              <w:outlineLvl w:val="1"/>
              <w:rPr>
                <w:rFonts w:ascii="Times New Roman" w:hAnsi="Times New Roman" w:eastAsia="宋体" w:cs="Times New Roman"/>
                <w:b w:val="0"/>
                <w:bCs/>
                <w:color w:val="auto"/>
                <w:kern w:val="2"/>
                <w:sz w:val="26"/>
                <w:szCs w:val="26"/>
                <w:lang w:val="en-US" w:eastAsia="zh-CN" w:bidi="ar-SA"/>
              </w:rPr>
            </w:pPr>
            <w:r>
              <w:rPr>
                <w:rFonts w:hint="eastAsia" w:ascii="Times New Roman" w:hAnsi="Times New Roman" w:eastAsia="宋体" w:cs="Times New Roman"/>
                <w:b w:val="0"/>
                <w:bCs/>
                <w:color w:val="auto"/>
                <w:kern w:val="2"/>
                <w:sz w:val="26"/>
                <w:szCs w:val="26"/>
                <w:lang w:val="en-US" w:eastAsia="zh-CN" w:bidi="ar-SA"/>
              </w:rPr>
              <w:t>2）</w:t>
            </w:r>
            <w:r>
              <w:rPr>
                <w:rFonts w:ascii="Times New Roman" w:hAnsi="Times New Roman" w:eastAsia="宋体" w:cs="Times New Roman"/>
                <w:b w:val="0"/>
                <w:bCs/>
                <w:color w:val="auto"/>
                <w:kern w:val="2"/>
                <w:sz w:val="26"/>
                <w:szCs w:val="26"/>
                <w:lang w:val="en-US" w:eastAsia="zh-CN" w:bidi="ar-SA"/>
              </w:rPr>
              <w:t xml:space="preserve">泄漏事故 </w:t>
            </w:r>
          </w:p>
          <w:p w14:paraId="3ABFB23F">
            <w:pPr>
              <w:pageBreakBefore w:val="0"/>
              <w:widowControl w:val="0"/>
              <w:numPr>
                <w:ilvl w:val="0"/>
                <w:numId w:val="0"/>
              </w:numPr>
              <w:spacing w:after="0" w:afterLines="0" w:line="460" w:lineRule="exact"/>
              <w:ind w:left="0" w:firstLine="520" w:firstLineChars="200"/>
              <w:jc w:val="both"/>
              <w:outlineLvl w:val="1"/>
              <w:rPr>
                <w:rFonts w:ascii="Times New Roman" w:hAnsi="Times New Roman" w:eastAsia="宋体" w:cs="Times New Roman"/>
                <w:b w:val="0"/>
                <w:bCs/>
                <w:color w:val="auto"/>
                <w:kern w:val="2"/>
                <w:sz w:val="26"/>
                <w:szCs w:val="26"/>
                <w:lang w:val="en-US" w:eastAsia="zh-CN" w:bidi="ar-SA"/>
              </w:rPr>
            </w:pPr>
            <w:r>
              <w:rPr>
                <w:rFonts w:ascii="Times New Roman" w:hAnsi="Times New Roman" w:eastAsia="宋体" w:cs="Times New Roman"/>
                <w:b w:val="0"/>
                <w:bCs/>
                <w:color w:val="auto"/>
                <w:kern w:val="2"/>
                <w:sz w:val="26"/>
                <w:szCs w:val="26"/>
                <w:lang w:val="en-US" w:eastAsia="zh-CN" w:bidi="ar-SA"/>
              </w:rPr>
              <w:t>本项目液压油、润滑油、</w:t>
            </w:r>
            <w:r>
              <w:rPr>
                <w:rFonts w:hint="eastAsia" w:ascii="Times New Roman" w:hAnsi="Times New Roman" w:eastAsia="宋体" w:cs="Times New Roman"/>
                <w:b w:val="0"/>
                <w:bCs/>
                <w:color w:val="auto"/>
                <w:kern w:val="2"/>
                <w:sz w:val="26"/>
                <w:szCs w:val="26"/>
                <w:lang w:val="en-US" w:eastAsia="zh-CN" w:bidi="ar-SA"/>
              </w:rPr>
              <w:t>切削液、柴油</w:t>
            </w:r>
            <w:r>
              <w:rPr>
                <w:rFonts w:ascii="Times New Roman" w:hAnsi="Times New Roman" w:eastAsia="宋体" w:cs="Times New Roman"/>
                <w:b w:val="0"/>
                <w:bCs/>
                <w:color w:val="auto"/>
                <w:kern w:val="2"/>
                <w:sz w:val="26"/>
                <w:szCs w:val="26"/>
                <w:lang w:val="en-US" w:eastAsia="zh-CN" w:bidi="ar-SA"/>
              </w:rPr>
              <w:t xml:space="preserve">在储存过程中，存储装置破损发生泄漏事故，可能对地下水体和土壤造成污染。本项目液体原料为桶装，单桶物料存储量较小，且液体原料会存放在托盘中，发生泄漏能及时发现，车间及原料区地面均进行了防渗处理，基本不会对地下水、土壤产生影响。 </w:t>
            </w:r>
          </w:p>
          <w:p w14:paraId="141F170F">
            <w:pPr>
              <w:pageBreakBefore w:val="0"/>
              <w:widowControl w:val="0"/>
              <w:numPr>
                <w:ilvl w:val="0"/>
                <w:numId w:val="0"/>
              </w:numPr>
              <w:spacing w:after="0" w:afterLines="0" w:line="460" w:lineRule="exact"/>
              <w:ind w:left="0" w:firstLine="520" w:firstLineChars="200"/>
              <w:jc w:val="both"/>
              <w:outlineLvl w:val="1"/>
              <w:rPr>
                <w:rFonts w:hint="eastAsia" w:ascii="Times New Roman" w:hAnsi="Times New Roman" w:eastAsia="宋体" w:cs="Times New Roman"/>
                <w:b w:val="0"/>
                <w:bCs/>
                <w:color w:val="auto"/>
                <w:kern w:val="2"/>
                <w:sz w:val="26"/>
                <w:szCs w:val="26"/>
                <w:lang w:val="en-US" w:eastAsia="zh-CN" w:bidi="ar-SA"/>
              </w:rPr>
            </w:pPr>
            <w:r>
              <w:rPr>
                <w:rFonts w:ascii="Times New Roman" w:hAnsi="Times New Roman" w:eastAsia="宋体" w:cs="Times New Roman"/>
                <w:b w:val="0"/>
                <w:bCs/>
                <w:color w:val="auto"/>
                <w:kern w:val="2"/>
                <w:sz w:val="26"/>
                <w:szCs w:val="26"/>
                <w:lang w:val="en-US" w:eastAsia="zh-CN" w:bidi="ar-SA"/>
              </w:rPr>
              <w:t>本项目</w:t>
            </w:r>
            <w:r>
              <w:rPr>
                <w:rFonts w:hint="eastAsia" w:ascii="Times New Roman" w:hAnsi="Times New Roman" w:eastAsia="宋体" w:cs="Times New Roman"/>
                <w:b w:val="0"/>
                <w:bCs/>
                <w:color w:val="auto"/>
                <w:kern w:val="2"/>
                <w:sz w:val="26"/>
                <w:szCs w:val="26"/>
                <w:lang w:val="en-US" w:eastAsia="zh-CN" w:bidi="ar-SA"/>
              </w:rPr>
              <w:t>废液压油、空压机含油废液等</w:t>
            </w:r>
            <w:r>
              <w:rPr>
                <w:rFonts w:ascii="Times New Roman" w:hAnsi="Times New Roman" w:eastAsia="宋体" w:cs="Times New Roman"/>
                <w:b w:val="0"/>
                <w:bCs/>
                <w:color w:val="auto"/>
                <w:kern w:val="2"/>
                <w:sz w:val="26"/>
                <w:szCs w:val="26"/>
                <w:lang w:val="en-US" w:eastAsia="zh-CN" w:bidi="ar-SA"/>
              </w:rPr>
              <w:t>危险废物在暂存过程中，若危废包装破损，会发生泄漏事故，可能对地下水体和土壤造成污染。</w:t>
            </w:r>
            <w:r>
              <w:rPr>
                <w:rFonts w:hint="eastAsia" w:ascii="Times New Roman" w:hAnsi="Times New Roman" w:eastAsia="宋体" w:cs="Times New Roman"/>
                <w:b w:val="0"/>
                <w:bCs/>
                <w:color w:val="auto"/>
                <w:kern w:val="2"/>
                <w:sz w:val="26"/>
                <w:szCs w:val="26"/>
                <w:lang w:val="en-US" w:eastAsia="zh-CN" w:bidi="ar-SA"/>
              </w:rPr>
              <w:t>铝灰渣中含有氮化铝，氮化铝</w:t>
            </w:r>
            <w:r>
              <w:rPr>
                <w:rFonts w:hint="default" w:ascii="Times New Roman" w:hAnsi="Times New Roman" w:eastAsia="宋体" w:cs="Times New Roman"/>
                <w:b w:val="0"/>
                <w:bCs/>
                <w:color w:val="auto"/>
                <w:kern w:val="2"/>
                <w:sz w:val="26"/>
                <w:szCs w:val="26"/>
                <w:lang w:val="en-US" w:eastAsia="zh-CN" w:bidi="ar-SA"/>
              </w:rPr>
              <w:t>易与水反应生成氨气，氨气属于环境风险物</w:t>
            </w:r>
            <w:r>
              <w:rPr>
                <w:rFonts w:hint="eastAsia" w:ascii="Times New Roman" w:hAnsi="Times New Roman" w:eastAsia="宋体" w:cs="Times New Roman"/>
                <w:b w:val="0"/>
                <w:bCs/>
                <w:color w:val="auto"/>
                <w:kern w:val="2"/>
                <w:sz w:val="26"/>
                <w:szCs w:val="26"/>
                <w:lang w:val="en-US" w:eastAsia="zh-CN" w:bidi="ar-SA"/>
              </w:rPr>
              <w:t>、易燃，与空气混合可以形成爆炸性混合物。铝灰渣暂存过程属于长期不可控的过程，暂存时间过长容易对外环境造成极大的影响。</w:t>
            </w:r>
            <w:r>
              <w:rPr>
                <w:rFonts w:ascii="Times New Roman" w:hAnsi="Times New Roman" w:eastAsia="宋体" w:cs="Times New Roman"/>
                <w:b w:val="0"/>
                <w:bCs/>
                <w:color w:val="auto"/>
                <w:kern w:val="2"/>
                <w:sz w:val="26"/>
                <w:szCs w:val="26"/>
                <w:lang w:val="en-US" w:eastAsia="zh-CN" w:bidi="ar-SA"/>
              </w:rPr>
              <w:t>本项目</w:t>
            </w:r>
            <w:r>
              <w:rPr>
                <w:rFonts w:hint="eastAsia" w:ascii="Times New Roman" w:hAnsi="Times New Roman" w:eastAsia="宋体" w:cs="Times New Roman"/>
                <w:b w:val="0"/>
                <w:bCs/>
                <w:color w:val="auto"/>
                <w:kern w:val="2"/>
                <w:sz w:val="26"/>
                <w:szCs w:val="26"/>
                <w:lang w:val="en-US" w:eastAsia="zh-CN" w:bidi="ar-SA"/>
              </w:rPr>
              <w:t>危废贮存库</w:t>
            </w:r>
            <w:r>
              <w:rPr>
                <w:rFonts w:ascii="Times New Roman" w:hAnsi="Times New Roman" w:eastAsia="宋体" w:cs="Times New Roman"/>
                <w:b w:val="0"/>
                <w:bCs/>
                <w:color w:val="auto"/>
                <w:kern w:val="2"/>
                <w:sz w:val="26"/>
                <w:szCs w:val="26"/>
                <w:lang w:val="en-US" w:eastAsia="zh-CN" w:bidi="ar-SA"/>
              </w:rPr>
              <w:t>将</w:t>
            </w:r>
            <w:r>
              <w:rPr>
                <w:rFonts w:hint="eastAsia" w:ascii="Times New Roman" w:hAnsi="Times New Roman" w:eastAsia="宋体" w:cs="Times New Roman"/>
                <w:b w:val="0"/>
                <w:bCs/>
                <w:color w:val="auto"/>
                <w:kern w:val="2"/>
                <w:sz w:val="26"/>
                <w:szCs w:val="26"/>
                <w:lang w:val="en-US" w:eastAsia="zh-CN" w:bidi="ar-SA"/>
              </w:rPr>
              <w:t>按照《危险废物贮存污染控制标准》（GB18597-2023）</w:t>
            </w:r>
            <w:r>
              <w:rPr>
                <w:rFonts w:ascii="Times New Roman" w:hAnsi="Times New Roman" w:eastAsia="宋体" w:cs="Times New Roman"/>
                <w:b w:val="0"/>
                <w:bCs/>
                <w:color w:val="auto"/>
                <w:kern w:val="2"/>
                <w:sz w:val="26"/>
                <w:szCs w:val="26"/>
                <w:lang w:val="en-US" w:eastAsia="zh-CN" w:bidi="ar-SA"/>
              </w:rPr>
              <w:t>进行</w:t>
            </w:r>
            <w:r>
              <w:rPr>
                <w:rFonts w:hint="eastAsia" w:ascii="Times New Roman" w:hAnsi="Times New Roman" w:eastAsia="宋体" w:cs="Times New Roman"/>
                <w:b w:val="0"/>
                <w:bCs/>
                <w:color w:val="auto"/>
                <w:kern w:val="2"/>
                <w:sz w:val="26"/>
                <w:szCs w:val="26"/>
                <w:lang w:val="en-US" w:eastAsia="zh-CN" w:bidi="ar-SA"/>
              </w:rPr>
              <w:t>“防风、防雨、防晒、防渗、防漏、防腐”</w:t>
            </w:r>
            <w:r>
              <w:rPr>
                <w:rFonts w:ascii="Times New Roman" w:hAnsi="Times New Roman" w:eastAsia="宋体" w:cs="Times New Roman"/>
                <w:b w:val="0"/>
                <w:bCs/>
                <w:color w:val="auto"/>
                <w:kern w:val="2"/>
                <w:sz w:val="26"/>
                <w:szCs w:val="26"/>
                <w:lang w:val="en-US" w:eastAsia="zh-CN" w:bidi="ar-SA"/>
              </w:rPr>
              <w:t>处理</w:t>
            </w:r>
            <w:r>
              <w:rPr>
                <w:rFonts w:hint="eastAsia" w:ascii="Times New Roman" w:hAnsi="Times New Roman" w:eastAsia="宋体" w:cs="Times New Roman"/>
                <w:b w:val="0"/>
                <w:bCs/>
                <w:color w:val="auto"/>
                <w:kern w:val="2"/>
                <w:sz w:val="26"/>
                <w:szCs w:val="26"/>
                <w:lang w:val="en-US" w:eastAsia="zh-CN" w:bidi="ar-SA"/>
              </w:rPr>
              <w:t>。危废贮存库</w:t>
            </w:r>
            <w:r>
              <w:rPr>
                <w:rFonts w:ascii="Times New Roman" w:hAnsi="Times New Roman" w:eastAsia="宋体" w:cs="Times New Roman"/>
                <w:b w:val="0"/>
                <w:bCs/>
                <w:color w:val="auto"/>
                <w:kern w:val="2"/>
                <w:sz w:val="26"/>
                <w:szCs w:val="26"/>
                <w:lang w:val="en-US" w:eastAsia="zh-CN" w:bidi="ar-SA"/>
              </w:rPr>
              <w:t>内部按要求设置导流沟、收集井或托盘</w:t>
            </w:r>
            <w:r>
              <w:rPr>
                <w:rFonts w:hint="eastAsia" w:ascii="Times New Roman" w:hAnsi="Times New Roman" w:eastAsia="宋体" w:cs="Times New Roman"/>
                <w:b w:val="0"/>
                <w:bCs/>
                <w:color w:val="auto"/>
                <w:kern w:val="2"/>
                <w:sz w:val="26"/>
                <w:szCs w:val="26"/>
                <w:lang w:val="en-US" w:eastAsia="zh-CN" w:bidi="ar-SA"/>
              </w:rPr>
              <w:t>，保证液态危险废物泄漏后能被有效的收集。同时，危废贮存库应尽可能保持干燥的环境，防止铝灰渣遇水潮解形成氨气</w:t>
            </w:r>
            <w:r>
              <w:rPr>
                <w:rFonts w:ascii="Times New Roman" w:hAnsi="Times New Roman" w:eastAsia="宋体" w:cs="Times New Roman"/>
                <w:b w:val="0"/>
                <w:bCs/>
                <w:color w:val="auto"/>
                <w:kern w:val="2"/>
                <w:sz w:val="26"/>
                <w:szCs w:val="26"/>
                <w:lang w:val="en-US" w:eastAsia="zh-CN" w:bidi="ar-SA"/>
              </w:rPr>
              <w:t>。</w:t>
            </w:r>
            <w:r>
              <w:rPr>
                <w:rFonts w:hint="eastAsia" w:ascii="Times New Roman" w:hAnsi="Times New Roman" w:eastAsia="宋体" w:cs="Times New Roman"/>
                <w:b w:val="0"/>
                <w:bCs/>
                <w:color w:val="auto"/>
                <w:kern w:val="2"/>
                <w:sz w:val="26"/>
                <w:szCs w:val="26"/>
                <w:lang w:val="en-US" w:eastAsia="zh-CN" w:bidi="ar-SA"/>
              </w:rPr>
              <w:t>铝灰渣采用吨袋装袋，采用直接码垛方式进行堆叠存放，同时定期转运，避免长时间暂存，危废贮存库铝灰暂存区和铝回收装置区应位于室内，设置有毒气体（氨）报警装置和除湿机。</w:t>
            </w:r>
          </w:p>
          <w:p w14:paraId="1C9C5132">
            <w:pPr>
              <w:pageBreakBefore w:val="0"/>
              <w:widowControl w:val="0"/>
              <w:numPr>
                <w:ilvl w:val="0"/>
                <w:numId w:val="0"/>
              </w:numPr>
              <w:spacing w:after="0" w:afterLines="0" w:line="460" w:lineRule="exact"/>
              <w:ind w:left="0" w:firstLine="520" w:firstLineChars="200"/>
              <w:jc w:val="both"/>
              <w:outlineLvl w:val="1"/>
              <w:rPr>
                <w:rFonts w:ascii="Times New Roman" w:hAnsi="Times New Roman" w:eastAsia="宋体" w:cs="Times New Roman"/>
                <w:b w:val="0"/>
                <w:bCs/>
                <w:color w:val="auto"/>
                <w:kern w:val="2"/>
                <w:sz w:val="26"/>
                <w:szCs w:val="26"/>
                <w:lang w:val="en-US" w:eastAsia="zh-CN" w:bidi="ar-SA"/>
              </w:rPr>
            </w:pPr>
            <w:r>
              <w:rPr>
                <w:rFonts w:hint="eastAsia" w:ascii="Times New Roman" w:hAnsi="Times New Roman" w:eastAsia="宋体" w:cs="Times New Roman"/>
                <w:b w:val="0"/>
                <w:bCs/>
                <w:color w:val="auto"/>
                <w:kern w:val="2"/>
                <w:sz w:val="26"/>
                <w:szCs w:val="26"/>
                <w:lang w:val="en-US" w:eastAsia="zh-CN" w:bidi="ar-SA"/>
              </w:rPr>
              <w:t>3）</w:t>
            </w:r>
            <w:r>
              <w:rPr>
                <w:rFonts w:ascii="Times New Roman" w:hAnsi="Times New Roman" w:eastAsia="宋体" w:cs="Times New Roman"/>
                <w:b w:val="0"/>
                <w:bCs/>
                <w:color w:val="auto"/>
                <w:kern w:val="2"/>
                <w:sz w:val="26"/>
                <w:szCs w:val="26"/>
                <w:lang w:val="en-US" w:eastAsia="zh-CN" w:bidi="ar-SA"/>
              </w:rPr>
              <w:t xml:space="preserve">火灾和爆炸事故 </w:t>
            </w:r>
          </w:p>
          <w:p w14:paraId="2D7AF181">
            <w:pPr>
              <w:pageBreakBefore w:val="0"/>
              <w:widowControl w:val="0"/>
              <w:numPr>
                <w:ilvl w:val="0"/>
                <w:numId w:val="0"/>
              </w:numPr>
              <w:spacing w:after="0" w:afterLines="0" w:line="460" w:lineRule="exact"/>
              <w:ind w:left="0" w:firstLine="520" w:firstLineChars="200"/>
              <w:jc w:val="both"/>
              <w:outlineLvl w:val="1"/>
              <w:rPr>
                <w:rFonts w:ascii="Times New Roman" w:hAnsi="Times New Roman" w:eastAsia="宋体" w:cs="Times New Roman"/>
                <w:b w:val="0"/>
                <w:bCs/>
                <w:color w:val="auto"/>
                <w:kern w:val="2"/>
                <w:sz w:val="26"/>
                <w:szCs w:val="26"/>
                <w:lang w:val="en-US" w:eastAsia="zh-CN" w:bidi="ar-SA"/>
              </w:rPr>
            </w:pPr>
            <w:r>
              <w:rPr>
                <w:rFonts w:ascii="Times New Roman" w:hAnsi="Times New Roman" w:eastAsia="宋体" w:cs="Times New Roman"/>
                <w:b w:val="0"/>
                <w:bCs/>
                <w:color w:val="auto"/>
                <w:kern w:val="2"/>
                <w:sz w:val="26"/>
                <w:szCs w:val="26"/>
                <w:lang w:val="en-US" w:eastAsia="zh-CN" w:bidi="ar-SA"/>
              </w:rPr>
              <w:t>本项目</w:t>
            </w:r>
            <w:r>
              <w:rPr>
                <w:rFonts w:hint="eastAsia" w:ascii="Times New Roman" w:hAnsi="Times New Roman" w:eastAsia="宋体" w:cs="Times New Roman"/>
                <w:b w:val="0"/>
                <w:bCs/>
                <w:color w:val="auto"/>
                <w:kern w:val="2"/>
                <w:sz w:val="26"/>
                <w:szCs w:val="26"/>
                <w:lang w:val="en-US" w:eastAsia="zh-CN" w:bidi="ar-SA"/>
              </w:rPr>
              <w:t>油库暂存的</w:t>
            </w:r>
            <w:r>
              <w:rPr>
                <w:rFonts w:ascii="Times New Roman" w:hAnsi="Times New Roman" w:eastAsia="宋体" w:cs="Times New Roman"/>
                <w:b w:val="0"/>
                <w:bCs/>
                <w:color w:val="auto"/>
                <w:kern w:val="2"/>
                <w:sz w:val="26"/>
                <w:szCs w:val="26"/>
                <w:lang w:val="en-US" w:eastAsia="zh-CN" w:bidi="ar-SA"/>
              </w:rPr>
              <w:t>矿物油、切削液、</w:t>
            </w:r>
            <w:r>
              <w:rPr>
                <w:rFonts w:hint="eastAsia" w:ascii="Times New Roman" w:hAnsi="Times New Roman" w:eastAsia="宋体" w:cs="Times New Roman"/>
                <w:b w:val="0"/>
                <w:bCs/>
                <w:color w:val="auto"/>
                <w:kern w:val="2"/>
                <w:sz w:val="26"/>
                <w:szCs w:val="26"/>
                <w:lang w:val="en-US" w:eastAsia="zh-CN" w:bidi="ar-SA"/>
              </w:rPr>
              <w:t>润滑油、柴油等液态油品及危废贮存库暂存的</w:t>
            </w:r>
            <w:r>
              <w:rPr>
                <w:rFonts w:ascii="Times New Roman" w:hAnsi="Times New Roman" w:eastAsia="宋体" w:cs="Times New Roman"/>
                <w:b w:val="0"/>
                <w:bCs/>
                <w:color w:val="auto"/>
                <w:kern w:val="2"/>
                <w:sz w:val="26"/>
                <w:szCs w:val="26"/>
                <w:lang w:val="en-US" w:eastAsia="zh-CN" w:bidi="ar-SA"/>
              </w:rPr>
              <w:t>废</w:t>
            </w:r>
            <w:r>
              <w:rPr>
                <w:rFonts w:hint="eastAsia" w:ascii="Times New Roman" w:hAnsi="Times New Roman" w:eastAsia="宋体" w:cs="Times New Roman"/>
                <w:b w:val="0"/>
                <w:bCs/>
                <w:color w:val="auto"/>
                <w:kern w:val="2"/>
                <w:sz w:val="26"/>
                <w:szCs w:val="26"/>
                <w:lang w:val="en-US" w:eastAsia="zh-CN" w:bidi="ar-SA"/>
              </w:rPr>
              <w:t>液态危险废物、铝灰渣等</w:t>
            </w:r>
            <w:r>
              <w:rPr>
                <w:rFonts w:ascii="Times New Roman" w:hAnsi="Times New Roman" w:eastAsia="宋体" w:cs="Times New Roman"/>
                <w:b w:val="0"/>
                <w:bCs/>
                <w:color w:val="auto"/>
                <w:kern w:val="2"/>
                <w:sz w:val="26"/>
                <w:szCs w:val="26"/>
                <w:lang w:val="en-US" w:eastAsia="zh-CN" w:bidi="ar-SA"/>
              </w:rPr>
              <w:t>遇明火、高热可能发生火灾、爆炸的风险，</w:t>
            </w:r>
            <w:r>
              <w:rPr>
                <w:rFonts w:hint="eastAsia" w:ascii="Times New Roman" w:hAnsi="Times New Roman" w:eastAsia="宋体" w:cs="Times New Roman"/>
                <w:b w:val="0"/>
                <w:bCs/>
                <w:color w:val="auto"/>
                <w:kern w:val="2"/>
                <w:sz w:val="26"/>
                <w:szCs w:val="26"/>
                <w:lang w:val="en-US" w:eastAsia="zh-CN" w:bidi="ar-SA"/>
              </w:rPr>
              <w:t>铝灰渣潮解还易产生大量的氨气及</w:t>
            </w:r>
            <w:r>
              <w:rPr>
                <w:rFonts w:hint="default" w:ascii="Times New Roman" w:hAnsi="Times New Roman" w:eastAsia="宋体" w:cs="Times New Roman"/>
                <w:b w:val="0"/>
                <w:bCs/>
                <w:color w:val="auto"/>
                <w:kern w:val="2"/>
                <w:sz w:val="26"/>
                <w:szCs w:val="24"/>
                <w:lang w:val="en-US" w:eastAsia="zh-CN" w:bidi="ar-SA"/>
              </w:rPr>
              <w:t>少量的CH</w:t>
            </w:r>
            <w:r>
              <w:rPr>
                <w:rFonts w:hint="default" w:ascii="Times New Roman" w:hAnsi="Times New Roman" w:eastAsia="宋体" w:cs="Times New Roman"/>
                <w:b w:val="0"/>
                <w:bCs/>
                <w:color w:val="auto"/>
                <w:kern w:val="2"/>
                <w:sz w:val="26"/>
                <w:szCs w:val="24"/>
                <w:vertAlign w:val="subscript"/>
                <w:lang w:val="en-US" w:eastAsia="zh-CN" w:bidi="ar-SA"/>
              </w:rPr>
              <w:t>4</w:t>
            </w:r>
            <w:r>
              <w:rPr>
                <w:rFonts w:hint="eastAsia" w:ascii="Times New Roman" w:hAnsi="Times New Roman" w:eastAsia="宋体" w:cs="Times New Roman"/>
                <w:b w:val="0"/>
                <w:bCs/>
                <w:color w:val="auto"/>
                <w:kern w:val="2"/>
                <w:sz w:val="26"/>
                <w:szCs w:val="24"/>
                <w:lang w:val="en-US" w:eastAsia="zh-CN" w:bidi="ar-SA"/>
              </w:rPr>
              <w:t>、</w:t>
            </w:r>
            <w:r>
              <w:rPr>
                <w:rFonts w:hint="default" w:ascii="Times New Roman" w:hAnsi="Times New Roman" w:eastAsia="宋体" w:cs="Times New Roman"/>
                <w:b w:val="0"/>
                <w:bCs/>
                <w:color w:val="auto"/>
                <w:kern w:val="2"/>
                <w:sz w:val="26"/>
                <w:szCs w:val="24"/>
                <w:lang w:val="en-US" w:eastAsia="zh-CN" w:bidi="ar-SA"/>
              </w:rPr>
              <w:t>H</w:t>
            </w:r>
            <w:r>
              <w:rPr>
                <w:rFonts w:hint="default" w:ascii="Times New Roman" w:hAnsi="Times New Roman" w:eastAsia="宋体" w:cs="Times New Roman"/>
                <w:b w:val="0"/>
                <w:bCs/>
                <w:color w:val="auto"/>
                <w:kern w:val="2"/>
                <w:sz w:val="26"/>
                <w:szCs w:val="24"/>
                <w:vertAlign w:val="subscript"/>
                <w:lang w:val="en-US" w:eastAsia="zh-CN" w:bidi="ar-SA"/>
              </w:rPr>
              <w:t>2</w:t>
            </w:r>
            <w:r>
              <w:rPr>
                <w:rFonts w:hint="eastAsia" w:ascii="Times New Roman" w:hAnsi="Times New Roman" w:eastAsia="宋体" w:cs="Times New Roman"/>
                <w:b w:val="0"/>
                <w:bCs/>
                <w:color w:val="auto"/>
                <w:kern w:val="2"/>
                <w:sz w:val="26"/>
                <w:szCs w:val="26"/>
                <w:lang w:val="en-US" w:eastAsia="zh-CN" w:bidi="ar-SA"/>
              </w:rPr>
              <w:t>，与空气形成爆炸性混合物，</w:t>
            </w:r>
            <w:r>
              <w:rPr>
                <w:rFonts w:ascii="Times New Roman" w:hAnsi="Times New Roman" w:eastAsia="宋体" w:cs="Times New Roman"/>
                <w:b w:val="0"/>
                <w:bCs/>
                <w:color w:val="auto"/>
                <w:kern w:val="2"/>
                <w:sz w:val="26"/>
                <w:szCs w:val="26"/>
                <w:lang w:val="en-US" w:eastAsia="zh-CN" w:bidi="ar-SA"/>
              </w:rPr>
              <w:t xml:space="preserve">会对人员生命安全造成损失，对生产建筑和设备产生破坏，火灾和爆炸过程中油类物质燃烧后产生一氧化碳、二氧化碳废气，对下风向一定范围内的环境空气质量产生影响。消防救援过程中产生的消防废水如果控制不当，可能进入雨水管网或下渗，造成地表水和地下水污染。 </w:t>
            </w:r>
          </w:p>
          <w:p w14:paraId="0DC93F18">
            <w:pPr>
              <w:pageBreakBefore w:val="0"/>
              <w:widowControl w:val="0"/>
              <w:numPr>
                <w:ilvl w:val="0"/>
                <w:numId w:val="0"/>
              </w:numPr>
              <w:spacing w:after="0" w:afterLines="0" w:line="460" w:lineRule="exact"/>
              <w:ind w:left="0" w:firstLine="520" w:firstLineChars="200"/>
              <w:jc w:val="both"/>
              <w:outlineLvl w:val="1"/>
              <w:rPr>
                <w:rFonts w:hint="eastAsia" w:ascii="Times New Roman" w:hAnsi="Times New Roman" w:eastAsia="宋体" w:cs="Times New Roman"/>
                <w:b w:val="0"/>
                <w:bCs/>
                <w:color w:val="auto"/>
                <w:kern w:val="2"/>
                <w:sz w:val="26"/>
                <w:szCs w:val="26"/>
                <w:lang w:val="en-US" w:eastAsia="zh-CN" w:bidi="ar-SA"/>
              </w:rPr>
            </w:pPr>
            <w:r>
              <w:rPr>
                <w:rFonts w:hint="eastAsia" w:ascii="Times New Roman" w:hAnsi="Times New Roman" w:eastAsia="宋体" w:cs="Times New Roman"/>
                <w:b w:val="0"/>
                <w:bCs/>
                <w:color w:val="auto"/>
                <w:kern w:val="2"/>
                <w:sz w:val="26"/>
                <w:szCs w:val="26"/>
                <w:lang w:val="en-US" w:eastAsia="zh-CN" w:bidi="ar-SA"/>
              </w:rPr>
              <w:t>4）废气治理设施非正常运行事故</w:t>
            </w:r>
          </w:p>
          <w:p w14:paraId="51321ACA">
            <w:pPr>
              <w:pageBreakBefore w:val="0"/>
              <w:widowControl w:val="0"/>
              <w:numPr>
                <w:ilvl w:val="0"/>
                <w:numId w:val="0"/>
              </w:numPr>
              <w:spacing w:after="0" w:afterLines="0" w:line="460" w:lineRule="exact"/>
              <w:ind w:left="0" w:firstLine="520" w:firstLineChars="200"/>
              <w:jc w:val="both"/>
              <w:outlineLvl w:val="1"/>
              <w:rPr>
                <w:rFonts w:hint="eastAsia" w:ascii="Times New Roman" w:hAnsi="Times New Roman" w:eastAsia="宋体" w:cs="Times New Roman"/>
                <w:b/>
                <w:color w:val="auto"/>
                <w:kern w:val="2"/>
                <w:sz w:val="26"/>
                <w:szCs w:val="26"/>
                <w:highlight w:val="none"/>
                <w:lang w:val="en-US" w:eastAsia="zh-CN" w:bidi="ar-SA"/>
              </w:rPr>
            </w:pPr>
            <w:r>
              <w:rPr>
                <w:rFonts w:hint="eastAsia" w:ascii="Times New Roman" w:hAnsi="Times New Roman" w:eastAsia="宋体" w:cs="Times New Roman"/>
                <w:b w:val="0"/>
                <w:bCs/>
                <w:color w:val="auto"/>
                <w:kern w:val="2"/>
                <w:sz w:val="26"/>
                <w:szCs w:val="26"/>
                <w:lang w:val="en-US" w:eastAsia="zh-CN" w:bidi="ar-SA"/>
              </w:rPr>
              <w:t>项目设置的废气治理设施主要为“旋风+布袋除尘”，“重力沉降+布袋除尘”等，当废气治理设施发生故障后，将造成短时间内颗粒物等废气污染因子的不达标排放，对外环境空气存在一定影响。</w:t>
            </w:r>
          </w:p>
          <w:p w14:paraId="1050754C">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b/>
                <w:bCs/>
                <w:color w:val="auto"/>
                <w:sz w:val="26"/>
                <w:szCs w:val="26"/>
                <w:lang w:val="en-US" w:eastAsia="zh-CN"/>
              </w:rPr>
            </w:pPr>
            <w:r>
              <w:rPr>
                <w:rFonts w:hint="eastAsia" w:ascii="Times New Roman" w:hAnsi="Times New Roman" w:eastAsia="宋体" w:cs="Times New Roman"/>
                <w:b/>
                <w:bCs/>
                <w:color w:val="auto"/>
                <w:sz w:val="26"/>
                <w:szCs w:val="26"/>
                <w:lang w:val="en-US" w:eastAsia="zh-CN"/>
              </w:rPr>
              <w:t>4.2.6.6环境风险防范措施</w:t>
            </w:r>
          </w:p>
          <w:p w14:paraId="77283D24">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（1）厂区已有环境风险防范措施：</w:t>
            </w:r>
          </w:p>
          <w:p w14:paraId="5326FABC">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color w:val="auto"/>
                <w:sz w:val="26"/>
                <w:szCs w:val="26"/>
                <w:highlight w:val="none"/>
                <w:lang w:eastAsia="zh-CN"/>
              </w:rPr>
            </w:pPr>
            <w:r>
              <w:rPr>
                <w:rFonts w:hint="default" w:ascii="Times New Roman" w:hAnsi="Times New Roman" w:eastAsia="宋体" w:cs="Times New Roman"/>
                <w:color w:val="auto"/>
                <w:sz w:val="26"/>
                <w:szCs w:val="26"/>
                <w:highlight w:val="none"/>
              </w:rPr>
              <w:t>①</w:t>
            </w:r>
            <w:r>
              <w:rPr>
                <w:rFonts w:hint="eastAsia" w:ascii="Times New Roman" w:hAnsi="Times New Roman" w:eastAsia="宋体" w:cs="Times New Roman"/>
                <w:color w:val="auto"/>
                <w:sz w:val="26"/>
                <w:szCs w:val="26"/>
                <w:highlight w:val="none"/>
                <w:lang w:val="en-US" w:eastAsia="zh-CN"/>
              </w:rPr>
              <w:t>经现场踏勘，现有天然气熔炼炉设置了气体报警仪</w:t>
            </w:r>
            <w:r>
              <w:rPr>
                <w:rFonts w:hint="eastAsia" w:ascii="Times New Roman" w:hAnsi="Times New Roman" w:eastAsia="宋体" w:cs="Times New Roman"/>
                <w:color w:val="auto"/>
                <w:sz w:val="26"/>
                <w:szCs w:val="26"/>
                <w:highlight w:val="none"/>
                <w:lang w:eastAsia="zh-CN"/>
              </w:rPr>
              <w:t>。</w:t>
            </w:r>
          </w:p>
          <w:p w14:paraId="74CE3DE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highlight w:val="none"/>
              </w:rPr>
            </w:pPr>
            <w:r>
              <w:rPr>
                <w:rFonts w:hint="default" w:ascii="Times New Roman" w:hAnsi="Times New Roman" w:eastAsia="宋体" w:cs="Times New Roman"/>
                <w:color w:val="auto"/>
                <w:sz w:val="26"/>
                <w:szCs w:val="26"/>
                <w:highlight w:val="none"/>
              </w:rPr>
              <w:t>②</w:t>
            </w:r>
            <w:r>
              <w:rPr>
                <w:rFonts w:hint="eastAsia" w:ascii="Times New Roman" w:hAnsi="Times New Roman" w:eastAsia="宋体" w:cs="Times New Roman"/>
                <w:color w:val="auto"/>
                <w:sz w:val="26"/>
                <w:szCs w:val="26"/>
                <w:highlight w:val="none"/>
                <w:lang w:val="en-US" w:eastAsia="zh-CN"/>
              </w:rPr>
              <w:t>经现场踏勘，现有危废暂存间采用钢板进行了防渗</w:t>
            </w:r>
            <w:r>
              <w:rPr>
                <w:rFonts w:hint="default" w:ascii="Times New Roman" w:hAnsi="Times New Roman" w:eastAsia="宋体" w:cs="Times New Roman"/>
                <w:color w:val="auto"/>
                <w:sz w:val="26"/>
                <w:szCs w:val="26"/>
                <w:highlight w:val="none"/>
              </w:rPr>
              <w:t>。</w:t>
            </w:r>
          </w:p>
          <w:p w14:paraId="224839DA">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color w:val="auto"/>
                <w:sz w:val="26"/>
                <w:szCs w:val="26"/>
                <w:highlight w:val="none"/>
                <w:lang w:eastAsia="zh-CN"/>
              </w:rPr>
            </w:pPr>
            <w:r>
              <w:rPr>
                <w:rFonts w:hint="eastAsia" w:ascii="Times New Roman" w:hAnsi="Times New Roman" w:eastAsia="宋体" w:cs="Times New Roman"/>
                <w:color w:val="auto"/>
                <w:sz w:val="26"/>
                <w:szCs w:val="26"/>
                <w:highlight w:val="none"/>
                <w:lang w:val="en-US" w:eastAsia="zh-CN"/>
              </w:rPr>
              <w:t>③油库采取了重点防渗措施，底部设置有托盘收集突发状况下泄漏的油品。</w:t>
            </w:r>
          </w:p>
          <w:p w14:paraId="46458F66">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（2）厂区还应补充的风险防范措施</w:t>
            </w:r>
          </w:p>
          <w:p w14:paraId="02A94E6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①危废贮存库按照</w:t>
            </w:r>
            <w:r>
              <w:rPr>
                <w:rFonts w:hint="eastAsia" w:ascii="Times New Roman" w:hAnsi="Times New Roman" w:eastAsia="宋体" w:cs="Times New Roman"/>
                <w:color w:val="auto"/>
                <w:sz w:val="26"/>
                <w:szCs w:val="26"/>
                <w:lang w:val="en-US" w:eastAsia="zh-CN"/>
              </w:rPr>
              <w:t>《危险废物贮存污染控制标准》（GB18597-2023）相关要求</w:t>
            </w:r>
            <w:r>
              <w:rPr>
                <w:rFonts w:hint="eastAsia" w:ascii="Times New Roman" w:hAnsi="Times New Roman" w:eastAsia="宋体" w:cs="Times New Roman"/>
                <w:color w:val="auto"/>
                <w:sz w:val="26"/>
                <w:szCs w:val="26"/>
                <w:highlight w:val="none"/>
                <w:lang w:val="en-US" w:eastAsia="zh-CN"/>
              </w:rPr>
              <w:t>加强防渗防腐措施。</w:t>
            </w:r>
          </w:p>
          <w:p w14:paraId="4DE58C08">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②危废贮存库暂存的废油桶下方应设置托盘或四周设置收集沟及收集井，托盘或收集井的有效容积应不低于单个废油桶的容积，保证废油桶发生破损后，废油可以有效的收集，不外泄。</w:t>
            </w:r>
          </w:p>
          <w:p w14:paraId="3E332D6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③危废贮存库暂存的废铝灰渣应保持干燥的环境，严格执行防风、防雨、防晒、防渗、防漏、防腐措施，防止铝灰渣遇水反应生成氨气。同时，建设单位应及时转运铝灰渣，防止铝灰渣大量的堆积，减少环境风险事故的发生。同时铝灰暂存区应位于室内，设置有毒气体（氨）报警装置和除湿机，保证周边环境地面干燥、周围无渗漏雨水点。</w:t>
            </w:r>
          </w:p>
          <w:p w14:paraId="50E0DDB2">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fldChar w:fldCharType="begin"/>
            </w:r>
            <w:r>
              <w:rPr>
                <w:rFonts w:hint="eastAsia" w:ascii="Times New Roman" w:hAnsi="Times New Roman" w:eastAsia="宋体" w:cs="Times New Roman"/>
                <w:color w:val="auto"/>
                <w:sz w:val="26"/>
                <w:szCs w:val="26"/>
                <w:highlight w:val="none"/>
                <w:lang w:val="en-US" w:eastAsia="zh-CN"/>
              </w:rPr>
              <w:instrText xml:space="preserve"> = 4 \* GB3 \* MERGEFORMAT </w:instrText>
            </w:r>
            <w:r>
              <w:rPr>
                <w:rFonts w:hint="eastAsia" w:ascii="Times New Roman" w:hAnsi="Times New Roman" w:eastAsia="宋体" w:cs="Times New Roman"/>
                <w:color w:val="auto"/>
                <w:sz w:val="26"/>
                <w:szCs w:val="26"/>
                <w:highlight w:val="none"/>
                <w:lang w:val="en-US" w:eastAsia="zh-CN"/>
              </w:rPr>
              <w:fldChar w:fldCharType="separate"/>
            </w:r>
            <w:r>
              <w:rPr>
                <w:color w:val="auto"/>
                <w:sz w:val="26"/>
                <w:szCs w:val="26"/>
              </w:rPr>
              <w:t>④</w:t>
            </w:r>
            <w:r>
              <w:rPr>
                <w:rFonts w:hint="eastAsia" w:ascii="Times New Roman" w:hAnsi="Times New Roman" w:eastAsia="宋体" w:cs="Times New Roman"/>
                <w:color w:val="auto"/>
                <w:sz w:val="26"/>
                <w:szCs w:val="26"/>
                <w:highlight w:val="none"/>
                <w:lang w:val="en-US" w:eastAsia="zh-CN"/>
              </w:rPr>
              <w:fldChar w:fldCharType="end"/>
            </w:r>
            <w:r>
              <w:rPr>
                <w:rFonts w:hint="eastAsia" w:ascii="Times New Roman" w:hAnsi="Times New Roman" w:eastAsia="宋体" w:cs="Times New Roman"/>
                <w:color w:val="auto"/>
                <w:sz w:val="26"/>
                <w:szCs w:val="26"/>
                <w:highlight w:val="none"/>
                <w:lang w:val="en-US" w:eastAsia="zh-CN"/>
              </w:rPr>
              <w:t>加强厂区环境管理制度，安排专员定期对危废贮存库、废气治理设施等进行巡检，发现问题及时上报进行整改。</w:t>
            </w:r>
          </w:p>
          <w:p w14:paraId="3A67414B">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上述环境风险措施实施，项目环境风险可防可控。</w:t>
            </w:r>
          </w:p>
          <w:p w14:paraId="20CF7B13">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eastAsia" w:ascii="Times New Roman" w:hAnsi="Times New Roman" w:eastAsia="宋体" w:cs="Times New Roman"/>
                <w:color w:val="auto"/>
                <w:sz w:val="26"/>
                <w:szCs w:val="26"/>
                <w:highlight w:val="none"/>
                <w:lang w:val="en-US" w:eastAsia="zh-CN"/>
              </w:rPr>
            </w:pPr>
            <w:r>
              <w:rPr>
                <w:rFonts w:hint="eastAsia" w:ascii="Times New Roman" w:hAnsi="Times New Roman" w:eastAsia="宋体" w:cs="Times New Roman"/>
                <w:color w:val="auto"/>
                <w:sz w:val="26"/>
                <w:szCs w:val="26"/>
                <w:highlight w:val="none"/>
                <w:lang w:val="en-US" w:eastAsia="zh-CN"/>
              </w:rPr>
              <w:t>本项目环境风险分析内容表，见下表。</w:t>
            </w:r>
          </w:p>
          <w:p w14:paraId="7B4E9829">
            <w:pPr>
              <w:pStyle w:val="163"/>
              <w:ind w:firstLine="442"/>
              <w:rPr>
                <w:rFonts w:ascii="Times New Roman" w:hAnsi="Times New Roman" w:eastAsia="宋体" w:cs="Times New Roman"/>
                <w:color w:val="auto"/>
                <w:sz w:val="26"/>
                <w:szCs w:val="26"/>
              </w:rPr>
            </w:pPr>
            <w:r>
              <w:rPr>
                <w:rFonts w:hint="eastAsia" w:ascii="Times New Roman" w:hAnsi="Times New Roman" w:eastAsia="宋体" w:cs="Times New Roman"/>
                <w:color w:val="auto"/>
                <w:sz w:val="26"/>
                <w:szCs w:val="26"/>
              </w:rPr>
              <w:t>表</w:t>
            </w:r>
            <w:r>
              <w:rPr>
                <w:rFonts w:ascii="Times New Roman" w:hAnsi="Times New Roman" w:eastAsia="宋体" w:cs="Times New Roman"/>
                <w:color w:val="auto"/>
                <w:sz w:val="26"/>
                <w:szCs w:val="26"/>
              </w:rPr>
              <w:t>4.2</w:t>
            </w:r>
            <w:r>
              <w:rPr>
                <w:rFonts w:hint="eastAsia" w:ascii="Times New Roman" w:hAnsi="Times New Roman" w:eastAsia="宋体" w:cs="Times New Roman"/>
                <w:color w:val="auto"/>
                <w:sz w:val="26"/>
                <w:szCs w:val="26"/>
                <w:lang w:val="en-US" w:eastAsia="zh-CN"/>
              </w:rPr>
              <w:t xml:space="preserve">-29 </w:t>
            </w:r>
            <w:r>
              <w:rPr>
                <w:rFonts w:hint="eastAsia" w:ascii="Times New Roman" w:hAnsi="Times New Roman" w:eastAsia="宋体" w:cs="Times New Roman"/>
                <w:color w:val="auto"/>
                <w:sz w:val="26"/>
                <w:szCs w:val="26"/>
              </w:rPr>
              <w:t xml:space="preserve"> </w:t>
            </w:r>
            <w:r>
              <w:rPr>
                <w:rFonts w:hint="eastAsia" w:ascii="Times New Roman" w:hAnsi="Times New Roman" w:eastAsia="宋体" w:cs="Times New Roman"/>
                <w:color w:val="auto"/>
                <w:sz w:val="26"/>
                <w:szCs w:val="26"/>
                <w:lang w:val="en-US" w:eastAsia="zh-CN"/>
              </w:rPr>
              <w:t>本</w:t>
            </w:r>
            <w:r>
              <w:rPr>
                <w:rFonts w:hint="eastAsia" w:ascii="Times New Roman" w:hAnsi="Times New Roman" w:eastAsia="宋体" w:cs="Times New Roman"/>
                <w:color w:val="auto"/>
                <w:sz w:val="26"/>
                <w:szCs w:val="26"/>
              </w:rPr>
              <w:t>项目环境风险简单分析内容表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9"/>
              <w:gridCol w:w="6539"/>
            </w:tblGrid>
            <w:tr w14:paraId="69B96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569" w:type="dxa"/>
                  <w:tcBorders>
                    <w:tl2br w:val="nil"/>
                    <w:tr2bl w:val="nil"/>
                  </w:tcBorders>
                  <w:noWrap w:val="0"/>
                  <w:vAlign w:val="center"/>
                </w:tcPr>
                <w:p w14:paraId="252D2308">
                  <w:pPr>
                    <w:bidi w:val="0"/>
                    <w:rPr>
                      <w:rFonts w:hint="default"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建设项目名称</w:t>
                  </w:r>
                </w:p>
              </w:tc>
              <w:tc>
                <w:tcPr>
                  <w:tcW w:w="6539" w:type="dxa"/>
                  <w:tcBorders>
                    <w:tl2br w:val="nil"/>
                    <w:tr2bl w:val="nil"/>
                  </w:tcBorders>
                  <w:noWrap w:val="0"/>
                  <w:vAlign w:val="center"/>
                </w:tcPr>
                <w:p w14:paraId="5ADA1FCC">
                  <w:pPr>
                    <w:bidi w:val="0"/>
                    <w:rPr>
                      <w:rFonts w:hint="default"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lang w:val="en-US" w:eastAsia="zh-CN"/>
                    </w:rPr>
                    <w:t>老一区熔炼中心熔铸生产线产能提升项目</w:t>
                  </w:r>
                </w:p>
              </w:tc>
            </w:tr>
            <w:tr w14:paraId="5F7C7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69" w:type="dxa"/>
                  <w:tcBorders>
                    <w:tl2br w:val="nil"/>
                    <w:tr2bl w:val="nil"/>
                  </w:tcBorders>
                  <w:noWrap w:val="0"/>
                  <w:vAlign w:val="center"/>
                </w:tcPr>
                <w:p w14:paraId="4056B6BE">
                  <w:pPr>
                    <w:bidi w:val="0"/>
                    <w:rPr>
                      <w:rFonts w:hint="default"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建设地点</w:t>
                  </w:r>
                </w:p>
              </w:tc>
              <w:tc>
                <w:tcPr>
                  <w:tcW w:w="6539" w:type="dxa"/>
                  <w:tcBorders>
                    <w:tl2br w:val="nil"/>
                    <w:tr2bl w:val="nil"/>
                  </w:tcBorders>
                  <w:noWrap w:val="0"/>
                  <w:vAlign w:val="center"/>
                </w:tcPr>
                <w:p w14:paraId="54F40845">
                  <w:pPr>
                    <w:bidi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重庆市</w:t>
                  </w:r>
                  <w:r>
                    <w:rPr>
                      <w:rFonts w:hint="eastAsia" w:ascii="Times New Roman" w:hAnsi="Times New Roman" w:eastAsia="宋体" w:cs="Times New Roman"/>
                      <w:color w:val="auto"/>
                      <w:sz w:val="22"/>
                      <w:szCs w:val="22"/>
                      <w:lang w:val="en-US" w:eastAsia="zh-CN"/>
                    </w:rPr>
                    <w:t>九龙坡</w:t>
                  </w:r>
                  <w:r>
                    <w:rPr>
                      <w:rFonts w:hint="default" w:ascii="Times New Roman" w:hAnsi="Times New Roman" w:eastAsia="宋体" w:cs="Times New Roman"/>
                      <w:color w:val="auto"/>
                      <w:sz w:val="22"/>
                      <w:szCs w:val="22"/>
                    </w:rPr>
                    <w:t>区</w:t>
                  </w:r>
                  <w:r>
                    <w:rPr>
                      <w:rFonts w:hint="eastAsia" w:ascii="Times New Roman" w:hAnsi="Times New Roman" w:eastAsia="宋体" w:cs="Times New Roman"/>
                      <w:color w:val="auto"/>
                      <w:sz w:val="22"/>
                      <w:szCs w:val="22"/>
                      <w:lang w:val="en-US" w:eastAsia="zh-CN"/>
                    </w:rPr>
                    <w:t>西彭镇西彭组团刘家湾23号</w:t>
                  </w:r>
                  <w:r>
                    <w:rPr>
                      <w:rFonts w:hint="default" w:ascii="Times New Roman" w:hAnsi="Times New Roman" w:eastAsia="宋体" w:cs="Times New Roman"/>
                      <w:color w:val="auto"/>
                      <w:sz w:val="22"/>
                      <w:szCs w:val="22"/>
                    </w:rPr>
                    <w:t xml:space="preserve"> </w:t>
                  </w:r>
                </w:p>
              </w:tc>
            </w:tr>
            <w:tr w14:paraId="1216A5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69" w:type="dxa"/>
                  <w:tcBorders>
                    <w:tl2br w:val="nil"/>
                    <w:tr2bl w:val="nil"/>
                  </w:tcBorders>
                  <w:noWrap w:val="0"/>
                  <w:vAlign w:val="center"/>
                </w:tcPr>
                <w:p w14:paraId="5DE72085">
                  <w:pPr>
                    <w:bidi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地理坐标</w:t>
                  </w:r>
                </w:p>
              </w:tc>
              <w:tc>
                <w:tcPr>
                  <w:tcW w:w="6539" w:type="dxa"/>
                  <w:tcBorders>
                    <w:tl2br w:val="nil"/>
                    <w:tr2bl w:val="nil"/>
                  </w:tcBorders>
                  <w:noWrap w:val="0"/>
                  <w:vAlign w:val="center"/>
                </w:tcPr>
                <w:p w14:paraId="2FCF6656">
                  <w:pPr>
                    <w:bidi w:val="0"/>
                    <w:rPr>
                      <w:rFonts w:hint="default"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lang w:val="en-US" w:eastAsia="zh-CN"/>
                    </w:rPr>
                    <w:t>经度：</w:t>
                  </w:r>
                  <w:r>
                    <w:rPr>
                      <w:rFonts w:hint="default" w:ascii="Times New Roman" w:hAnsi="Times New Roman" w:eastAsia="宋体" w:cs="Times New Roman"/>
                      <w:color w:val="auto"/>
                      <w:sz w:val="22"/>
                      <w:szCs w:val="22"/>
                      <w:lang w:val="en-US" w:eastAsia="zh-CN"/>
                    </w:rPr>
                    <w:t>10</w:t>
                  </w:r>
                  <w:r>
                    <w:rPr>
                      <w:rFonts w:hint="eastAsia" w:ascii="Times New Roman" w:hAnsi="Times New Roman" w:eastAsia="宋体" w:cs="Times New Roman"/>
                      <w:color w:val="auto"/>
                      <w:sz w:val="22"/>
                      <w:szCs w:val="22"/>
                      <w:lang w:val="en-US" w:eastAsia="zh-CN"/>
                    </w:rPr>
                    <w:t>6</w:t>
                  </w:r>
                  <w:r>
                    <w:rPr>
                      <w:rFonts w:hint="default" w:ascii="Times New Roman" w:hAnsi="Times New Roman" w:eastAsia="宋体" w:cs="Times New Roman"/>
                      <w:color w:val="auto"/>
                      <w:sz w:val="22"/>
                      <w:szCs w:val="22"/>
                    </w:rPr>
                    <w:t xml:space="preserve"> 度 </w:t>
                  </w:r>
                  <w:r>
                    <w:rPr>
                      <w:rFonts w:hint="eastAsia" w:ascii="Times New Roman" w:hAnsi="Times New Roman" w:eastAsia="宋体" w:cs="Times New Roman"/>
                      <w:color w:val="auto"/>
                      <w:sz w:val="22"/>
                      <w:szCs w:val="22"/>
                      <w:lang w:val="en-US" w:eastAsia="zh-CN"/>
                    </w:rPr>
                    <w:t>19</w:t>
                  </w:r>
                  <w:r>
                    <w:rPr>
                      <w:rFonts w:hint="default" w:ascii="Times New Roman" w:hAnsi="Times New Roman" w:eastAsia="宋体" w:cs="Times New Roman"/>
                      <w:color w:val="auto"/>
                      <w:sz w:val="22"/>
                      <w:szCs w:val="22"/>
                    </w:rPr>
                    <w:t xml:space="preserve"> 分 </w:t>
                  </w:r>
                  <w:r>
                    <w:rPr>
                      <w:rFonts w:hint="eastAsia" w:ascii="Times New Roman" w:hAnsi="Times New Roman" w:eastAsia="宋体" w:cs="Times New Roman"/>
                      <w:color w:val="auto"/>
                      <w:sz w:val="22"/>
                      <w:szCs w:val="22"/>
                      <w:lang w:val="en-US" w:eastAsia="zh-CN"/>
                    </w:rPr>
                    <w:t>15.058</w:t>
                  </w:r>
                  <w:r>
                    <w:rPr>
                      <w:rFonts w:hint="default" w:ascii="Times New Roman" w:hAnsi="Times New Roman" w:eastAsia="宋体" w:cs="Times New Roman"/>
                      <w:color w:val="auto"/>
                      <w:sz w:val="22"/>
                      <w:szCs w:val="22"/>
                    </w:rPr>
                    <w:t>秒，</w:t>
                  </w:r>
                  <w:r>
                    <w:rPr>
                      <w:rFonts w:hint="eastAsia" w:ascii="Times New Roman" w:hAnsi="Times New Roman" w:eastAsia="宋体" w:cs="Times New Roman"/>
                      <w:color w:val="auto"/>
                      <w:sz w:val="22"/>
                      <w:szCs w:val="22"/>
                      <w:lang w:val="en-US" w:eastAsia="zh-CN"/>
                    </w:rPr>
                    <w:t>纬度：29</w:t>
                  </w:r>
                  <w:r>
                    <w:rPr>
                      <w:rFonts w:hint="default" w:ascii="Times New Roman" w:hAnsi="Times New Roman" w:eastAsia="宋体" w:cs="Times New Roman"/>
                      <w:color w:val="auto"/>
                      <w:sz w:val="22"/>
                      <w:szCs w:val="22"/>
                    </w:rPr>
                    <w:t xml:space="preserve"> 度 </w:t>
                  </w:r>
                  <w:r>
                    <w:rPr>
                      <w:rFonts w:hint="eastAsia" w:ascii="Times New Roman" w:hAnsi="Times New Roman" w:eastAsia="宋体" w:cs="Times New Roman"/>
                      <w:color w:val="auto"/>
                      <w:sz w:val="22"/>
                      <w:szCs w:val="22"/>
                      <w:lang w:val="en-US" w:eastAsia="zh-CN"/>
                    </w:rPr>
                    <w:t>18</w:t>
                  </w:r>
                  <w:r>
                    <w:rPr>
                      <w:rFonts w:hint="default" w:ascii="Times New Roman" w:hAnsi="Times New Roman" w:eastAsia="宋体" w:cs="Times New Roman"/>
                      <w:color w:val="auto"/>
                      <w:sz w:val="22"/>
                      <w:szCs w:val="22"/>
                    </w:rPr>
                    <w:t xml:space="preserve"> 分</w:t>
                  </w:r>
                  <w:r>
                    <w:rPr>
                      <w:rFonts w:hint="eastAsia" w:ascii="Times New Roman" w:hAnsi="Times New Roman" w:eastAsia="宋体" w:cs="Times New Roman"/>
                      <w:color w:val="auto"/>
                      <w:sz w:val="22"/>
                      <w:szCs w:val="22"/>
                      <w:lang w:val="en-US" w:eastAsia="zh-CN"/>
                    </w:rPr>
                    <w:t>57.626</w:t>
                  </w:r>
                  <w:r>
                    <w:rPr>
                      <w:rFonts w:hint="default" w:ascii="Times New Roman" w:hAnsi="Times New Roman" w:eastAsia="宋体" w:cs="Times New Roman"/>
                      <w:color w:val="auto"/>
                      <w:sz w:val="22"/>
                      <w:szCs w:val="22"/>
                    </w:rPr>
                    <w:t>秒</w:t>
                  </w:r>
                </w:p>
              </w:tc>
            </w:tr>
            <w:tr w14:paraId="45609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69" w:type="dxa"/>
                  <w:tcBorders>
                    <w:tl2br w:val="nil"/>
                    <w:tr2bl w:val="nil"/>
                  </w:tcBorders>
                  <w:noWrap w:val="0"/>
                  <w:vAlign w:val="center"/>
                </w:tcPr>
                <w:p w14:paraId="556E3F6A">
                  <w:pPr>
                    <w:bidi w:val="0"/>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主要危险物质及分布</w:t>
                  </w:r>
                </w:p>
              </w:tc>
              <w:tc>
                <w:tcPr>
                  <w:tcW w:w="6539" w:type="dxa"/>
                  <w:tcBorders>
                    <w:tl2br w:val="nil"/>
                    <w:tr2bl w:val="nil"/>
                  </w:tcBorders>
                  <w:noWrap w:val="0"/>
                  <w:vAlign w:val="center"/>
                </w:tcPr>
                <w:p w14:paraId="165844DF">
                  <w:pPr>
                    <w:bidi w:val="0"/>
                    <w:rPr>
                      <w:rFonts w:hint="default"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lang w:val="en-US" w:eastAsia="zh-CN"/>
                    </w:rPr>
                    <w:t>油品库：</w:t>
                  </w:r>
                  <w:r>
                    <w:rPr>
                      <w:rFonts w:hint="eastAsia" w:ascii="Times New Roman" w:hAnsi="Times New Roman" w:eastAsia="宋体" w:cs="Times New Roman"/>
                      <w:color w:val="auto"/>
                      <w:sz w:val="22"/>
                      <w:szCs w:val="22"/>
                      <w:lang w:eastAsia="zh-CN"/>
                    </w:rPr>
                    <w:t>液压油、切削液、润滑油、</w:t>
                  </w:r>
                  <w:r>
                    <w:rPr>
                      <w:rFonts w:hint="eastAsia" w:ascii="Times New Roman" w:hAnsi="Times New Roman" w:eastAsia="宋体" w:cs="Times New Roman"/>
                      <w:color w:val="auto"/>
                      <w:sz w:val="22"/>
                      <w:szCs w:val="22"/>
                      <w:lang w:val="en-US" w:eastAsia="zh-CN"/>
                    </w:rPr>
                    <w:t>柴油；</w:t>
                  </w:r>
                  <w:r>
                    <w:rPr>
                      <w:rFonts w:hint="eastAsia" w:ascii="Times New Roman" w:hAnsi="Times New Roman" w:eastAsia="宋体" w:cs="Times New Roman"/>
                      <w:color w:val="auto"/>
                      <w:sz w:val="22"/>
                      <w:szCs w:val="22"/>
                      <w:lang w:eastAsia="zh-CN"/>
                    </w:rPr>
                    <w:t>危废贮存库</w:t>
                  </w:r>
                  <w:r>
                    <w:rPr>
                      <w:rFonts w:hint="eastAsia" w:ascii="Times New Roman" w:hAnsi="Times New Roman" w:eastAsia="宋体" w:cs="Times New Roman"/>
                      <w:color w:val="auto"/>
                      <w:sz w:val="22"/>
                      <w:szCs w:val="22"/>
                      <w:lang w:val="en-US" w:eastAsia="zh-CN"/>
                    </w:rPr>
                    <w:t>：废液压油、空压机含油废液、铝灰渣（含氮化铝）等</w:t>
                  </w:r>
                  <w:r>
                    <w:rPr>
                      <w:rFonts w:hint="default" w:ascii="Times New Roman" w:hAnsi="Times New Roman" w:eastAsia="宋体" w:cs="Times New Roman"/>
                      <w:color w:val="auto"/>
                      <w:sz w:val="22"/>
                      <w:szCs w:val="22"/>
                    </w:rPr>
                    <w:t>。</w:t>
                  </w:r>
                </w:p>
              </w:tc>
            </w:tr>
            <w:tr w14:paraId="21053D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69" w:type="dxa"/>
                  <w:tcBorders>
                    <w:tl2br w:val="nil"/>
                    <w:tr2bl w:val="nil"/>
                  </w:tcBorders>
                  <w:noWrap w:val="0"/>
                  <w:vAlign w:val="center"/>
                </w:tcPr>
                <w:p w14:paraId="0F04D2A6">
                  <w:pPr>
                    <w:bidi w:val="0"/>
                    <w:rPr>
                      <w:rFonts w:hint="default"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环境影响途径及危害后果</w:t>
                  </w:r>
                </w:p>
              </w:tc>
              <w:tc>
                <w:tcPr>
                  <w:tcW w:w="6539" w:type="dxa"/>
                  <w:tcBorders>
                    <w:tl2br w:val="nil"/>
                    <w:tr2bl w:val="nil"/>
                  </w:tcBorders>
                  <w:noWrap w:val="0"/>
                  <w:vAlign w:val="center"/>
                </w:tcPr>
                <w:p w14:paraId="57138464">
                  <w:pPr>
                    <w:bidi w:val="0"/>
                    <w:rPr>
                      <w:rFonts w:hint="default"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大气</w:t>
                  </w:r>
                  <w:r>
                    <w:rPr>
                      <w:rFonts w:hint="eastAsia" w:ascii="Times New Roman" w:hAnsi="Times New Roman" w:eastAsia="宋体" w:cs="Times New Roman"/>
                      <w:color w:val="auto"/>
                      <w:sz w:val="22"/>
                      <w:szCs w:val="22"/>
                      <w:lang w:eastAsia="zh-CN"/>
                    </w:rPr>
                    <w:t>、</w:t>
                  </w:r>
                  <w:r>
                    <w:rPr>
                      <w:rFonts w:hint="eastAsia" w:ascii="Times New Roman" w:hAnsi="Times New Roman" w:eastAsia="宋体" w:cs="Times New Roman"/>
                      <w:color w:val="auto"/>
                      <w:sz w:val="22"/>
                      <w:szCs w:val="22"/>
                    </w:rPr>
                    <w:t>地表水</w:t>
                  </w:r>
                  <w:r>
                    <w:rPr>
                      <w:rFonts w:hint="eastAsia" w:ascii="Times New Roman" w:hAnsi="Times New Roman" w:eastAsia="宋体" w:cs="Times New Roman"/>
                      <w:color w:val="auto"/>
                      <w:sz w:val="22"/>
                      <w:szCs w:val="22"/>
                      <w:lang w:eastAsia="zh-CN"/>
                    </w:rPr>
                    <w:t>、</w:t>
                  </w:r>
                  <w:r>
                    <w:rPr>
                      <w:rFonts w:hint="eastAsia" w:ascii="Times New Roman" w:hAnsi="Times New Roman" w:eastAsia="宋体" w:cs="Times New Roman"/>
                      <w:color w:val="auto"/>
                      <w:sz w:val="22"/>
                      <w:szCs w:val="22"/>
                      <w:lang w:val="en-US" w:eastAsia="zh-CN"/>
                    </w:rPr>
                    <w:t>土壤、地下水</w:t>
                  </w:r>
                  <w:r>
                    <w:rPr>
                      <w:rFonts w:hint="eastAsia" w:ascii="Times New Roman" w:hAnsi="Times New Roman" w:eastAsia="宋体" w:cs="Times New Roman"/>
                      <w:color w:val="auto"/>
                      <w:sz w:val="22"/>
                      <w:szCs w:val="22"/>
                    </w:rPr>
                    <w:t>。</w:t>
                  </w:r>
                </w:p>
                <w:p w14:paraId="316AB929">
                  <w:pPr>
                    <w:bidi w:val="0"/>
                    <w:rPr>
                      <w:rFonts w:hint="default"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有机物（油类物质）泄漏引发火灾</w:t>
                  </w:r>
                  <w:r>
                    <w:rPr>
                      <w:rFonts w:hint="eastAsia" w:ascii="Times New Roman" w:hAnsi="Times New Roman" w:eastAsia="宋体" w:cs="Times New Roman"/>
                      <w:color w:val="auto"/>
                      <w:sz w:val="22"/>
                      <w:szCs w:val="22"/>
                      <w:lang w:eastAsia="zh-CN"/>
                    </w:rPr>
                    <w:t>、</w:t>
                  </w:r>
                  <w:r>
                    <w:rPr>
                      <w:rFonts w:hint="eastAsia" w:ascii="Times New Roman" w:hAnsi="Times New Roman" w:eastAsia="宋体" w:cs="Times New Roman"/>
                      <w:color w:val="auto"/>
                      <w:sz w:val="22"/>
                      <w:szCs w:val="22"/>
                      <w:lang w:val="en-US" w:eastAsia="zh-CN"/>
                    </w:rPr>
                    <w:t>氮化铝潮解产生氨气</w:t>
                  </w:r>
                  <w:r>
                    <w:rPr>
                      <w:rFonts w:hint="eastAsia" w:ascii="Times New Roman" w:hAnsi="Times New Roman" w:eastAsia="宋体" w:cs="Times New Roman"/>
                      <w:color w:val="auto"/>
                      <w:sz w:val="22"/>
                      <w:szCs w:val="22"/>
                    </w:rPr>
                    <w:t>，伴生/次生污染物对大气环境、地表水</w:t>
                  </w:r>
                  <w:r>
                    <w:rPr>
                      <w:rFonts w:hint="eastAsia" w:ascii="Times New Roman" w:hAnsi="Times New Roman" w:eastAsia="宋体" w:cs="Times New Roman"/>
                      <w:color w:val="auto"/>
                      <w:sz w:val="22"/>
                      <w:szCs w:val="22"/>
                      <w:lang w:eastAsia="zh-CN"/>
                    </w:rPr>
                    <w:t>、</w:t>
                  </w:r>
                  <w:r>
                    <w:rPr>
                      <w:rFonts w:hint="eastAsia" w:ascii="Times New Roman" w:hAnsi="Times New Roman" w:eastAsia="宋体" w:cs="Times New Roman"/>
                      <w:color w:val="auto"/>
                      <w:sz w:val="22"/>
                      <w:szCs w:val="22"/>
                      <w:lang w:val="en-US" w:eastAsia="zh-CN"/>
                    </w:rPr>
                    <w:t>地下水、土壤</w:t>
                  </w:r>
                  <w:r>
                    <w:rPr>
                      <w:rFonts w:hint="eastAsia" w:ascii="Times New Roman" w:hAnsi="Times New Roman" w:eastAsia="宋体" w:cs="Times New Roman"/>
                      <w:color w:val="auto"/>
                      <w:sz w:val="22"/>
                      <w:szCs w:val="22"/>
                    </w:rPr>
                    <w:t>环境有一定的危害。</w:t>
                  </w:r>
                </w:p>
              </w:tc>
            </w:tr>
            <w:tr w14:paraId="4ACD95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69" w:type="dxa"/>
                  <w:tcBorders>
                    <w:tl2br w:val="nil"/>
                    <w:tr2bl w:val="nil"/>
                  </w:tcBorders>
                  <w:noWrap w:val="0"/>
                  <w:vAlign w:val="center"/>
                </w:tcPr>
                <w:p w14:paraId="017D4C7E">
                  <w:pPr>
                    <w:bidi w:val="0"/>
                    <w:rPr>
                      <w:rFonts w:hint="default"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风险防范措施要求</w:t>
                  </w:r>
                </w:p>
              </w:tc>
              <w:tc>
                <w:tcPr>
                  <w:tcW w:w="6539" w:type="dxa"/>
                  <w:tcBorders>
                    <w:tl2br w:val="nil"/>
                    <w:tr2bl w:val="nil"/>
                  </w:tcBorders>
                  <w:noWrap w:val="0"/>
                  <w:vAlign w:val="center"/>
                </w:tcPr>
                <w:p w14:paraId="07DBB2E7">
                  <w:pPr>
                    <w:bidi w:val="0"/>
                    <w:rPr>
                      <w:rFonts w:hint="default"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危废贮存库按《危险废物贮存污染控制标准》（GB 18597-2023）相关要求设置，采取必要的防风、防晒、防雨、防漏、防渗、防腐、防潮以及其他环境污染防治措施。</w:t>
                  </w:r>
                </w:p>
                <w:p w14:paraId="7FB16E99">
                  <w:pPr>
                    <w:bidi w:val="0"/>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及时转移铝灰渣，防止铝灰渣大量的堆积，减少环境风险事故的发生。同时铝灰暂存区应位于室内，设置有毒气体（氨）报警装置和除湿机，保证周边环境地面干燥、周围无渗漏雨水点。</w:t>
                  </w:r>
                </w:p>
                <w:p w14:paraId="4A27712F">
                  <w:pPr>
                    <w:bidi w:val="0"/>
                    <w:rPr>
                      <w:rFonts w:hint="default"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车间配备干粉灭火器、消防砂、灭火毯等消防和应急设施与物资，禁止采用消防水进行灭火；</w:t>
                  </w:r>
                </w:p>
                <w:p w14:paraId="66C04160">
                  <w:pPr>
                    <w:bidi w:val="0"/>
                    <w:rPr>
                      <w:rFonts w:hint="default"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及时清运铝灰渣等危险废物；</w:t>
                  </w:r>
                </w:p>
                <w:p w14:paraId="50ED12A8">
                  <w:pPr>
                    <w:bidi w:val="0"/>
                    <w:rPr>
                      <w:rFonts w:hint="default"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按要求编制突发环境事件风险评估和应急预案，并报区生态环境局备案。定期开展演练，当发生风险事故时立即启动</w:t>
                  </w:r>
                  <w:r>
                    <w:rPr>
                      <w:rFonts w:hint="eastAsia" w:ascii="Times New Roman" w:hAnsi="Times New Roman" w:eastAsia="宋体" w:cs="Times New Roman"/>
                      <w:color w:val="auto"/>
                      <w:sz w:val="22"/>
                      <w:szCs w:val="22"/>
                      <w:lang w:val="en-US" w:eastAsia="zh-CN"/>
                    </w:rPr>
                    <w:t>风险</w:t>
                  </w:r>
                  <w:r>
                    <w:rPr>
                      <w:rFonts w:hint="eastAsia" w:ascii="Times New Roman" w:hAnsi="Times New Roman" w:eastAsia="宋体" w:cs="Times New Roman"/>
                      <w:color w:val="auto"/>
                      <w:sz w:val="22"/>
                      <w:szCs w:val="22"/>
                    </w:rPr>
                    <w:t>事故应急预案。</w:t>
                  </w:r>
                </w:p>
              </w:tc>
            </w:tr>
            <w:tr w14:paraId="5498C4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69" w:type="dxa"/>
                  <w:tcBorders>
                    <w:tl2br w:val="nil"/>
                    <w:tr2bl w:val="nil"/>
                  </w:tcBorders>
                  <w:noWrap w:val="0"/>
                  <w:vAlign w:val="center"/>
                </w:tcPr>
                <w:p w14:paraId="70C02DD4">
                  <w:pPr>
                    <w:bidi w:val="0"/>
                    <w:rPr>
                      <w:rFonts w:hint="default"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填表说明</w:t>
                  </w:r>
                </w:p>
              </w:tc>
              <w:tc>
                <w:tcPr>
                  <w:tcW w:w="6539" w:type="dxa"/>
                  <w:tcBorders>
                    <w:tl2br w:val="nil"/>
                    <w:tr2bl w:val="nil"/>
                  </w:tcBorders>
                  <w:noWrap w:val="0"/>
                  <w:vAlign w:val="center"/>
                </w:tcPr>
                <w:p w14:paraId="1D12CB52">
                  <w:pPr>
                    <w:bidi w:val="0"/>
                    <w:rPr>
                      <w:rFonts w:hint="default" w:ascii="Times New Roman" w:hAnsi="Times New Roman" w:eastAsia="宋体" w:cs="Times New Roman"/>
                      <w:color w:val="auto"/>
                      <w:sz w:val="22"/>
                      <w:szCs w:val="22"/>
                    </w:rPr>
                  </w:pPr>
                  <w:r>
                    <w:rPr>
                      <w:rFonts w:hint="eastAsia" w:ascii="Times New Roman" w:hAnsi="Times New Roman" w:eastAsia="宋体" w:cs="Times New Roman"/>
                      <w:color w:val="auto"/>
                      <w:sz w:val="22"/>
                      <w:szCs w:val="22"/>
                    </w:rPr>
                    <w:t>Q＜1，项目环境风险潜势为</w:t>
                  </w:r>
                  <w:r>
                    <w:rPr>
                      <w:rFonts w:hint="eastAsia" w:ascii="Times New Roman" w:hAnsi="Times New Roman" w:eastAsia="宋体" w:cs="Times New Roman"/>
                      <w:color w:val="auto"/>
                      <w:sz w:val="22"/>
                      <w:szCs w:val="22"/>
                    </w:rPr>
                    <w:fldChar w:fldCharType="begin"/>
                  </w:r>
                  <w:r>
                    <w:rPr>
                      <w:rFonts w:hint="eastAsia" w:ascii="Times New Roman" w:hAnsi="Times New Roman" w:eastAsia="宋体" w:cs="Times New Roman"/>
                      <w:color w:val="auto"/>
                      <w:sz w:val="22"/>
                      <w:szCs w:val="22"/>
                    </w:rPr>
                    <w:instrText xml:space="preserve"> = 1 \* ROMAN </w:instrText>
                  </w:r>
                  <w:r>
                    <w:rPr>
                      <w:rFonts w:hint="eastAsia" w:ascii="Times New Roman" w:hAnsi="Times New Roman" w:eastAsia="宋体" w:cs="Times New Roman"/>
                      <w:color w:val="auto"/>
                      <w:sz w:val="22"/>
                      <w:szCs w:val="22"/>
                    </w:rPr>
                    <w:fldChar w:fldCharType="separate"/>
                  </w:r>
                  <w:r>
                    <w:rPr>
                      <w:rFonts w:hint="eastAsia" w:ascii="Times New Roman" w:hAnsi="Times New Roman" w:eastAsia="宋体" w:cs="Times New Roman"/>
                      <w:color w:val="auto"/>
                      <w:sz w:val="22"/>
                      <w:szCs w:val="22"/>
                    </w:rPr>
                    <w:t>I</w:t>
                  </w:r>
                  <w:r>
                    <w:rPr>
                      <w:rFonts w:hint="eastAsia" w:ascii="Times New Roman" w:hAnsi="Times New Roman" w:eastAsia="宋体" w:cs="Times New Roman"/>
                      <w:color w:val="auto"/>
                      <w:sz w:val="22"/>
                      <w:szCs w:val="22"/>
                    </w:rPr>
                    <w:fldChar w:fldCharType="end"/>
                  </w:r>
                </w:p>
              </w:tc>
            </w:tr>
          </w:tbl>
          <w:p w14:paraId="43103A39">
            <w:pPr>
              <w:pStyle w:val="23"/>
              <w:spacing w:after="0" w:line="100" w:lineRule="exact"/>
              <w:ind w:left="0" w:leftChars="0"/>
              <w:rPr>
                <w:rFonts w:hint="default" w:ascii="Times New Roman" w:hAnsi="Times New Roman" w:eastAsia="宋体" w:cs="Times New Roman"/>
                <w:color w:val="auto"/>
                <w:lang w:val="en-US" w:eastAsia="zh-CN"/>
              </w:rPr>
            </w:pPr>
          </w:p>
          <w:p w14:paraId="0D38F033">
            <w:pPr>
              <w:keepNext w:val="0"/>
              <w:keepLines w:val="0"/>
              <w:pageBreakBefore w:val="0"/>
              <w:widowControl w:val="0"/>
              <w:kinsoku/>
              <w:wordWrap/>
              <w:overflowPunct/>
              <w:topLinePunct w:val="0"/>
              <w:autoSpaceDE/>
              <w:autoSpaceDN/>
              <w:bidi w:val="0"/>
              <w:adjustRightInd/>
              <w:snapToGrid/>
              <w:spacing w:line="460" w:lineRule="exact"/>
              <w:ind w:firstLine="522" w:firstLineChars="200"/>
              <w:textAlignment w:val="auto"/>
              <w:rPr>
                <w:rFonts w:hint="default" w:ascii="Times New Roman" w:hAnsi="Times New Roman" w:eastAsia="宋体" w:cs="Times New Roman"/>
                <w:b/>
                <w:color w:val="auto"/>
                <w:sz w:val="26"/>
                <w:szCs w:val="26"/>
                <w:highlight w:val="none"/>
              </w:rPr>
            </w:pPr>
          </w:p>
          <w:p w14:paraId="4AD10778">
            <w:pPr>
              <w:adjustRightInd w:val="0"/>
              <w:snapToGrid w:val="0"/>
              <w:spacing w:line="460" w:lineRule="exact"/>
              <w:rPr>
                <w:rFonts w:hint="default" w:ascii="Times New Roman" w:hAnsi="Times New Roman" w:eastAsia="宋体" w:cs="Times New Roman"/>
                <w:bCs/>
                <w:color w:val="auto"/>
                <w:sz w:val="26"/>
                <w:szCs w:val="26"/>
                <w:highlight w:val="none"/>
                <w:lang w:val="en-US"/>
              </w:rPr>
            </w:pPr>
            <w:r>
              <w:rPr>
                <w:rFonts w:hint="default" w:ascii="Times New Roman" w:hAnsi="Times New Roman" w:eastAsia="宋体" w:cs="Times New Roman"/>
                <w:b/>
                <w:color w:val="auto"/>
                <w:sz w:val="26"/>
                <w:szCs w:val="26"/>
                <w:highlight w:val="none"/>
              </w:rPr>
              <w:t>4.</w:t>
            </w:r>
            <w:r>
              <w:rPr>
                <w:rFonts w:hint="eastAsia" w:ascii="Times New Roman" w:hAnsi="Times New Roman" w:eastAsia="宋体" w:cs="Times New Roman"/>
                <w:b/>
                <w:color w:val="auto"/>
                <w:sz w:val="26"/>
                <w:szCs w:val="26"/>
                <w:highlight w:val="none"/>
                <w:lang w:val="en-US" w:eastAsia="zh-CN"/>
              </w:rPr>
              <w:t>3三本账</w:t>
            </w:r>
          </w:p>
          <w:p w14:paraId="11F1B281">
            <w:pPr>
              <w:spacing w:line="460" w:lineRule="exact"/>
              <w:ind w:firstLine="520" w:firstLineChars="200"/>
              <w:rPr>
                <w:rFonts w:hint="eastAsia"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本项目三本账核算详见下表。</w:t>
            </w:r>
          </w:p>
          <w:p w14:paraId="4E9EC4D1">
            <w:pPr>
              <w:adjustRightInd w:val="0"/>
              <w:snapToGrid w:val="0"/>
              <w:spacing w:line="460" w:lineRule="exact"/>
              <w:jc w:val="center"/>
              <w:rPr>
                <w:rFonts w:hint="default" w:ascii="Times New Roman" w:hAnsi="Times New Roman" w:eastAsia="宋体" w:cs="Times New Roman"/>
                <w:b/>
                <w:bCs/>
                <w:color w:val="auto"/>
                <w:sz w:val="26"/>
                <w:szCs w:val="26"/>
                <w:highlight w:val="none"/>
                <w:lang w:val="en-US" w:eastAsia="zh-CN"/>
              </w:rPr>
            </w:pPr>
            <w:r>
              <w:rPr>
                <w:rFonts w:hint="default" w:ascii="Times New Roman" w:hAnsi="Times New Roman" w:eastAsia="宋体" w:cs="Times New Roman"/>
                <w:b/>
                <w:bCs/>
                <w:color w:val="auto"/>
                <w:sz w:val="26"/>
                <w:szCs w:val="26"/>
                <w:highlight w:val="none"/>
                <w:lang w:val="en-US" w:eastAsia="zh-CN"/>
              </w:rPr>
              <w:t>表</w:t>
            </w:r>
            <w:r>
              <w:rPr>
                <w:rFonts w:hint="eastAsia" w:ascii="Times New Roman" w:hAnsi="Times New Roman" w:eastAsia="宋体" w:cs="Times New Roman"/>
                <w:b/>
                <w:bCs/>
                <w:color w:val="auto"/>
                <w:sz w:val="26"/>
                <w:szCs w:val="26"/>
                <w:highlight w:val="none"/>
                <w:lang w:val="en-US" w:eastAsia="zh-CN"/>
              </w:rPr>
              <w:t>4.3-1</w:t>
            </w:r>
            <w:r>
              <w:rPr>
                <w:rFonts w:hint="default" w:ascii="Times New Roman" w:hAnsi="Times New Roman" w:eastAsia="宋体" w:cs="Times New Roman"/>
                <w:b/>
                <w:bCs/>
                <w:color w:val="auto"/>
                <w:sz w:val="26"/>
                <w:szCs w:val="26"/>
                <w:highlight w:val="none"/>
                <w:lang w:val="en-US" w:eastAsia="zh-CN"/>
              </w:rPr>
              <w:t xml:space="preserve">  </w:t>
            </w:r>
            <w:r>
              <w:rPr>
                <w:rFonts w:hint="eastAsia" w:ascii="Times New Roman" w:hAnsi="Times New Roman" w:eastAsia="宋体" w:cs="Times New Roman"/>
                <w:b/>
                <w:bCs/>
                <w:color w:val="auto"/>
                <w:sz w:val="26"/>
                <w:szCs w:val="26"/>
                <w:highlight w:val="none"/>
                <w:lang w:val="en-US" w:eastAsia="zh-CN"/>
              </w:rPr>
              <w:t>本</w:t>
            </w:r>
            <w:r>
              <w:rPr>
                <w:rFonts w:hint="default" w:ascii="Times New Roman" w:hAnsi="Times New Roman" w:eastAsia="宋体" w:cs="Times New Roman"/>
                <w:b/>
                <w:bCs/>
                <w:color w:val="auto"/>
                <w:sz w:val="26"/>
                <w:szCs w:val="26"/>
                <w:highlight w:val="none"/>
                <w:lang w:val="en-US" w:eastAsia="zh-CN"/>
              </w:rPr>
              <w:t>项目建</w:t>
            </w:r>
            <w:r>
              <w:rPr>
                <w:rFonts w:hint="eastAsia" w:ascii="Times New Roman" w:hAnsi="Times New Roman" w:eastAsia="宋体" w:cs="Times New Roman"/>
                <w:b/>
                <w:bCs/>
                <w:color w:val="auto"/>
                <w:sz w:val="26"/>
                <w:szCs w:val="26"/>
                <w:highlight w:val="none"/>
                <w:lang w:val="en-US" w:eastAsia="zh-CN"/>
              </w:rPr>
              <w:t>成</w:t>
            </w:r>
            <w:r>
              <w:rPr>
                <w:rFonts w:hint="default" w:ascii="Times New Roman" w:hAnsi="Times New Roman" w:eastAsia="宋体" w:cs="Times New Roman"/>
                <w:b/>
                <w:bCs/>
                <w:color w:val="auto"/>
                <w:sz w:val="26"/>
                <w:szCs w:val="26"/>
                <w:highlight w:val="none"/>
                <w:lang w:val="en-US" w:eastAsia="zh-CN"/>
              </w:rPr>
              <w:t>后污染物排放“三本账”</w:t>
            </w:r>
          </w:p>
          <w:tbl>
            <w:tblPr>
              <w:tblStyle w:val="26"/>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715"/>
              <w:gridCol w:w="715"/>
              <w:gridCol w:w="717"/>
              <w:gridCol w:w="717"/>
              <w:gridCol w:w="717"/>
              <w:gridCol w:w="717"/>
              <w:gridCol w:w="717"/>
              <w:gridCol w:w="718"/>
              <w:gridCol w:w="718"/>
              <w:gridCol w:w="718"/>
            </w:tblGrid>
            <w:tr w14:paraId="694FC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restart"/>
                  <w:noWrap w:val="0"/>
                  <w:vAlign w:val="center"/>
                </w:tcPr>
                <w:p w14:paraId="0E4903E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污染源</w:t>
                  </w:r>
                </w:p>
              </w:tc>
              <w:tc>
                <w:tcPr>
                  <w:tcW w:w="715" w:type="dxa"/>
                  <w:vMerge w:val="restart"/>
                  <w:noWrap w:val="0"/>
                  <w:vAlign w:val="center"/>
                </w:tcPr>
                <w:p w14:paraId="1E5F1E4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污染物</w:t>
                  </w:r>
                </w:p>
              </w:tc>
              <w:tc>
                <w:tcPr>
                  <w:tcW w:w="2149" w:type="dxa"/>
                  <w:gridSpan w:val="3"/>
                  <w:noWrap w:val="0"/>
                  <w:vAlign w:val="center"/>
                </w:tcPr>
                <w:p w14:paraId="7266400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pacing w:val="-6"/>
                      <w:sz w:val="22"/>
                      <w:szCs w:val="22"/>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现有工程排放量</w:t>
                  </w:r>
                </w:p>
              </w:tc>
              <w:tc>
                <w:tcPr>
                  <w:tcW w:w="717" w:type="dxa"/>
                  <w:vMerge w:val="restart"/>
                  <w:noWrap w:val="0"/>
                  <w:vAlign w:val="center"/>
                </w:tcPr>
                <w:p w14:paraId="2BE49A4B">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pacing w:val="-6"/>
                      <w:sz w:val="22"/>
                      <w:szCs w:val="22"/>
                      <w:lang w:val="en-US" w:eastAsia="zh-CN"/>
                    </w:rPr>
                    <w:t>“以新带老”削减量（t/a）</w:t>
                  </w:r>
                </w:p>
              </w:tc>
              <w:tc>
                <w:tcPr>
                  <w:tcW w:w="717" w:type="dxa"/>
                  <w:vMerge w:val="restart"/>
                  <w:noWrap w:val="0"/>
                  <w:vAlign w:val="center"/>
                </w:tcPr>
                <w:p w14:paraId="1B6C5A1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本项目排放量</w:t>
                  </w:r>
                </w:p>
              </w:tc>
              <w:tc>
                <w:tcPr>
                  <w:tcW w:w="2153" w:type="dxa"/>
                  <w:gridSpan w:val="3"/>
                  <w:noWrap w:val="0"/>
                  <w:vAlign w:val="center"/>
                </w:tcPr>
                <w:p w14:paraId="59CCAFF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扩建后全厂排放量</w:t>
                  </w:r>
                </w:p>
              </w:tc>
              <w:tc>
                <w:tcPr>
                  <w:tcW w:w="718" w:type="dxa"/>
                  <w:vMerge w:val="restart"/>
                  <w:noWrap w:val="0"/>
                  <w:vAlign w:val="center"/>
                </w:tcPr>
                <w:p w14:paraId="255EC99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增减量</w:t>
                  </w:r>
                </w:p>
              </w:tc>
            </w:tr>
            <w:tr w14:paraId="77E6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continue"/>
                  <w:noWrap w:val="0"/>
                  <w:vAlign w:val="center"/>
                </w:tcPr>
                <w:p w14:paraId="1EDB004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p>
              </w:tc>
              <w:tc>
                <w:tcPr>
                  <w:tcW w:w="715" w:type="dxa"/>
                  <w:vMerge w:val="continue"/>
                  <w:noWrap w:val="0"/>
                  <w:vAlign w:val="center"/>
                </w:tcPr>
                <w:p w14:paraId="6C481ED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p>
              </w:tc>
              <w:tc>
                <w:tcPr>
                  <w:tcW w:w="715" w:type="dxa"/>
                  <w:noWrap w:val="0"/>
                  <w:vAlign w:val="center"/>
                </w:tcPr>
                <w:p w14:paraId="5975202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老一区熔炼生产线</w:t>
                  </w:r>
                </w:p>
              </w:tc>
              <w:tc>
                <w:tcPr>
                  <w:tcW w:w="717" w:type="dxa"/>
                  <w:noWrap w:val="0"/>
                  <w:vAlign w:val="center"/>
                </w:tcPr>
                <w:p w14:paraId="536F4E3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智能化生产线</w:t>
                  </w:r>
                </w:p>
              </w:tc>
              <w:tc>
                <w:tcPr>
                  <w:tcW w:w="717" w:type="dxa"/>
                  <w:noWrap w:val="0"/>
                  <w:vAlign w:val="center"/>
                </w:tcPr>
                <w:p w14:paraId="5A4647E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pacing w:val="-6"/>
                      <w:sz w:val="22"/>
                      <w:szCs w:val="22"/>
                      <w:lang w:val="en-US" w:eastAsia="zh-CN"/>
                    </w:rPr>
                  </w:pPr>
                  <w:r>
                    <w:rPr>
                      <w:rFonts w:hint="default" w:ascii="Times New Roman" w:hAnsi="Times New Roman" w:eastAsia="宋体" w:cs="Times New Roman"/>
                      <w:b w:val="0"/>
                      <w:bCs w:val="0"/>
                      <w:color w:val="auto"/>
                      <w:spacing w:val="-6"/>
                      <w:sz w:val="22"/>
                      <w:szCs w:val="22"/>
                      <w:lang w:val="en-US" w:eastAsia="zh-CN"/>
                    </w:rPr>
                    <w:t>现有工程合计</w:t>
                  </w:r>
                </w:p>
              </w:tc>
              <w:tc>
                <w:tcPr>
                  <w:tcW w:w="717" w:type="dxa"/>
                  <w:vMerge w:val="continue"/>
                  <w:noWrap w:val="0"/>
                  <w:vAlign w:val="center"/>
                </w:tcPr>
                <w:p w14:paraId="31DDE3B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pacing w:val="-6"/>
                      <w:sz w:val="22"/>
                      <w:szCs w:val="22"/>
                      <w:lang w:val="en-US" w:eastAsia="zh-CN"/>
                    </w:rPr>
                  </w:pPr>
                </w:p>
              </w:tc>
              <w:tc>
                <w:tcPr>
                  <w:tcW w:w="717" w:type="dxa"/>
                  <w:vMerge w:val="continue"/>
                  <w:noWrap w:val="0"/>
                  <w:vAlign w:val="center"/>
                </w:tcPr>
                <w:p w14:paraId="153F12F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p>
              </w:tc>
              <w:tc>
                <w:tcPr>
                  <w:tcW w:w="717" w:type="dxa"/>
                  <w:noWrap w:val="0"/>
                  <w:vAlign w:val="center"/>
                </w:tcPr>
                <w:p w14:paraId="36BE454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老一区熔炼生产线</w:t>
                  </w:r>
                </w:p>
              </w:tc>
              <w:tc>
                <w:tcPr>
                  <w:tcW w:w="718" w:type="dxa"/>
                  <w:noWrap w:val="0"/>
                  <w:vAlign w:val="center"/>
                </w:tcPr>
                <w:p w14:paraId="218B703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智能化生产线</w:t>
                  </w:r>
                </w:p>
              </w:tc>
              <w:tc>
                <w:tcPr>
                  <w:tcW w:w="718" w:type="dxa"/>
                  <w:noWrap w:val="0"/>
                  <w:vAlign w:val="center"/>
                </w:tcPr>
                <w:p w14:paraId="57AA63D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全厂合计</w:t>
                  </w:r>
                </w:p>
              </w:tc>
              <w:tc>
                <w:tcPr>
                  <w:tcW w:w="718" w:type="dxa"/>
                  <w:vMerge w:val="continue"/>
                  <w:noWrap w:val="0"/>
                  <w:vAlign w:val="center"/>
                </w:tcPr>
                <w:p w14:paraId="23A95BC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p>
              </w:tc>
            </w:tr>
            <w:tr w14:paraId="4863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restart"/>
                  <w:noWrap w:val="0"/>
                  <w:vAlign w:val="center"/>
                </w:tcPr>
                <w:p w14:paraId="3BF2EE5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废水</w:t>
                  </w:r>
                </w:p>
              </w:tc>
              <w:tc>
                <w:tcPr>
                  <w:tcW w:w="715" w:type="dxa"/>
                  <w:noWrap w:val="0"/>
                  <w:vAlign w:val="center"/>
                </w:tcPr>
                <w:p w14:paraId="0698774B">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COD</w:t>
                  </w:r>
                </w:p>
              </w:tc>
              <w:tc>
                <w:tcPr>
                  <w:tcW w:w="715" w:type="dxa"/>
                  <w:noWrap w:val="0"/>
                  <w:vAlign w:val="center"/>
                </w:tcPr>
                <w:p w14:paraId="7112CF1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6"/>
                      <w:kern w:val="2"/>
                      <w:sz w:val="22"/>
                      <w:szCs w:val="22"/>
                      <w:highlight w:val="none"/>
                      <w:lang w:val="en-US" w:eastAsia="zh-CN" w:bidi="ar-SA"/>
                    </w:rPr>
                  </w:pPr>
                  <w:r>
                    <w:rPr>
                      <w:rFonts w:hint="default" w:ascii="Times New Roman" w:hAnsi="Times New Roman" w:eastAsia="宋体" w:cs="Times New Roman"/>
                      <w:b w:val="0"/>
                      <w:bCs w:val="0"/>
                      <w:color w:val="auto"/>
                      <w:spacing w:val="-6"/>
                      <w:kern w:val="2"/>
                      <w:sz w:val="22"/>
                      <w:szCs w:val="22"/>
                      <w:highlight w:val="none"/>
                      <w:lang w:val="en-US" w:eastAsia="zh-CN" w:bidi="ar-SA"/>
                    </w:rPr>
                    <w:t>0.061</w:t>
                  </w:r>
                </w:p>
              </w:tc>
              <w:tc>
                <w:tcPr>
                  <w:tcW w:w="717" w:type="dxa"/>
                  <w:noWrap w:val="0"/>
                  <w:vAlign w:val="center"/>
                </w:tcPr>
                <w:p w14:paraId="0F5D65C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6"/>
                      <w:kern w:val="2"/>
                      <w:sz w:val="22"/>
                      <w:szCs w:val="22"/>
                      <w:highlight w:val="none"/>
                      <w:lang w:val="en-US" w:eastAsia="zh-CN" w:bidi="ar-SA"/>
                    </w:rPr>
                  </w:pPr>
                  <w:r>
                    <w:rPr>
                      <w:rFonts w:hint="default" w:ascii="Times New Roman" w:hAnsi="Times New Roman" w:eastAsia="宋体" w:cs="Times New Roman"/>
                      <w:b w:val="0"/>
                      <w:bCs w:val="0"/>
                      <w:i w:val="0"/>
                      <w:iCs w:val="0"/>
                      <w:color w:val="auto"/>
                      <w:kern w:val="0"/>
                      <w:sz w:val="22"/>
                      <w:szCs w:val="22"/>
                      <w:u w:val="none"/>
                      <w:lang w:val="en-US" w:eastAsia="zh-CN" w:bidi="ar"/>
                    </w:rPr>
                    <w:t>0.019</w:t>
                  </w:r>
                </w:p>
              </w:tc>
              <w:tc>
                <w:tcPr>
                  <w:tcW w:w="717" w:type="dxa"/>
                  <w:noWrap w:val="0"/>
                  <w:vAlign w:val="center"/>
                </w:tcPr>
                <w:p w14:paraId="1C19DDF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6"/>
                      <w:kern w:val="2"/>
                      <w:sz w:val="22"/>
                      <w:szCs w:val="22"/>
                      <w:highlight w:val="none"/>
                      <w:lang w:val="en-US" w:eastAsia="zh-CN" w:bidi="ar-SA"/>
                    </w:rPr>
                  </w:pPr>
                  <w:r>
                    <w:rPr>
                      <w:rFonts w:hint="default" w:ascii="Times New Roman" w:hAnsi="Times New Roman" w:eastAsia="宋体" w:cs="Times New Roman"/>
                      <w:b w:val="0"/>
                      <w:bCs w:val="0"/>
                      <w:i w:val="0"/>
                      <w:iCs w:val="0"/>
                      <w:color w:val="auto"/>
                      <w:kern w:val="0"/>
                      <w:sz w:val="22"/>
                      <w:szCs w:val="22"/>
                      <w:u w:val="none"/>
                      <w:lang w:val="en-US" w:eastAsia="zh-CN" w:bidi="ar"/>
                    </w:rPr>
                    <w:t>0.080</w:t>
                  </w:r>
                </w:p>
              </w:tc>
              <w:tc>
                <w:tcPr>
                  <w:tcW w:w="717" w:type="dxa"/>
                  <w:noWrap w:val="0"/>
                  <w:vAlign w:val="center"/>
                </w:tcPr>
                <w:p w14:paraId="52F32D1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w:t>
                  </w:r>
                </w:p>
              </w:tc>
              <w:tc>
                <w:tcPr>
                  <w:tcW w:w="717" w:type="dxa"/>
                  <w:noWrap w:val="0"/>
                  <w:vAlign w:val="center"/>
                </w:tcPr>
                <w:p w14:paraId="7DF07754">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w:t>
                  </w:r>
                </w:p>
              </w:tc>
              <w:tc>
                <w:tcPr>
                  <w:tcW w:w="717" w:type="dxa"/>
                  <w:noWrap w:val="0"/>
                  <w:vAlign w:val="center"/>
                </w:tcPr>
                <w:p w14:paraId="5912116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6"/>
                      <w:kern w:val="2"/>
                      <w:sz w:val="22"/>
                      <w:szCs w:val="22"/>
                      <w:highlight w:val="none"/>
                      <w:lang w:val="en-US" w:eastAsia="zh-CN" w:bidi="ar-SA"/>
                    </w:rPr>
                  </w:pPr>
                  <w:r>
                    <w:rPr>
                      <w:rFonts w:hint="default" w:ascii="Times New Roman" w:hAnsi="Times New Roman" w:eastAsia="宋体" w:cs="Times New Roman"/>
                      <w:b w:val="0"/>
                      <w:bCs w:val="0"/>
                      <w:color w:val="auto"/>
                      <w:spacing w:val="-6"/>
                      <w:kern w:val="2"/>
                      <w:sz w:val="22"/>
                      <w:szCs w:val="22"/>
                      <w:highlight w:val="none"/>
                      <w:lang w:val="en-US" w:eastAsia="zh-CN" w:bidi="ar-SA"/>
                    </w:rPr>
                    <w:t>0.061</w:t>
                  </w:r>
                </w:p>
              </w:tc>
              <w:tc>
                <w:tcPr>
                  <w:tcW w:w="718" w:type="dxa"/>
                  <w:noWrap w:val="0"/>
                  <w:vAlign w:val="center"/>
                </w:tcPr>
                <w:p w14:paraId="5FC9DB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6"/>
                      <w:kern w:val="2"/>
                      <w:sz w:val="22"/>
                      <w:szCs w:val="22"/>
                      <w:highlight w:val="none"/>
                      <w:lang w:val="en-US" w:eastAsia="zh-CN" w:bidi="ar-SA"/>
                    </w:rPr>
                  </w:pPr>
                  <w:r>
                    <w:rPr>
                      <w:rFonts w:hint="default" w:ascii="Times New Roman" w:hAnsi="Times New Roman" w:eastAsia="宋体" w:cs="Times New Roman"/>
                      <w:b w:val="0"/>
                      <w:bCs w:val="0"/>
                      <w:i w:val="0"/>
                      <w:iCs w:val="0"/>
                      <w:color w:val="auto"/>
                      <w:kern w:val="0"/>
                      <w:sz w:val="22"/>
                      <w:szCs w:val="22"/>
                      <w:u w:val="none"/>
                      <w:lang w:val="en-US" w:eastAsia="zh-CN" w:bidi="ar"/>
                    </w:rPr>
                    <w:t>0.019</w:t>
                  </w:r>
                </w:p>
              </w:tc>
              <w:tc>
                <w:tcPr>
                  <w:tcW w:w="718" w:type="dxa"/>
                  <w:noWrap w:val="0"/>
                  <w:vAlign w:val="center"/>
                </w:tcPr>
                <w:p w14:paraId="7C0F861C">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0.08</w:t>
                  </w:r>
                </w:p>
              </w:tc>
              <w:tc>
                <w:tcPr>
                  <w:tcW w:w="718" w:type="dxa"/>
                  <w:noWrap w:val="0"/>
                  <w:vAlign w:val="center"/>
                </w:tcPr>
                <w:p w14:paraId="4C7185C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0</w:t>
                  </w:r>
                </w:p>
              </w:tc>
            </w:tr>
            <w:tr w14:paraId="6429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continue"/>
                  <w:noWrap w:val="0"/>
                  <w:vAlign w:val="center"/>
                </w:tcPr>
                <w:p w14:paraId="549F547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p>
              </w:tc>
              <w:tc>
                <w:tcPr>
                  <w:tcW w:w="715" w:type="dxa"/>
                  <w:noWrap w:val="0"/>
                  <w:vAlign w:val="center"/>
                </w:tcPr>
                <w:p w14:paraId="7C57753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氨氮</w:t>
                  </w:r>
                </w:p>
              </w:tc>
              <w:tc>
                <w:tcPr>
                  <w:tcW w:w="715" w:type="dxa"/>
                  <w:noWrap w:val="0"/>
                  <w:vAlign w:val="center"/>
                </w:tcPr>
                <w:p w14:paraId="44D6D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6"/>
                      <w:kern w:val="2"/>
                      <w:sz w:val="22"/>
                      <w:szCs w:val="22"/>
                      <w:highlight w:val="none"/>
                      <w:lang w:val="en-US" w:eastAsia="zh-CN" w:bidi="ar-SA"/>
                    </w:rPr>
                  </w:pPr>
                  <w:r>
                    <w:rPr>
                      <w:rFonts w:hint="default" w:ascii="Times New Roman" w:hAnsi="Times New Roman" w:eastAsia="宋体" w:cs="Times New Roman"/>
                      <w:b w:val="0"/>
                      <w:bCs w:val="0"/>
                      <w:color w:val="auto"/>
                      <w:spacing w:val="-6"/>
                      <w:kern w:val="2"/>
                      <w:sz w:val="22"/>
                      <w:szCs w:val="22"/>
                      <w:highlight w:val="none"/>
                      <w:lang w:val="en-US" w:eastAsia="zh-CN" w:bidi="ar-SA"/>
                    </w:rPr>
                    <w:t>0.006</w:t>
                  </w:r>
                </w:p>
              </w:tc>
              <w:tc>
                <w:tcPr>
                  <w:tcW w:w="717" w:type="dxa"/>
                  <w:noWrap w:val="0"/>
                  <w:vAlign w:val="center"/>
                </w:tcPr>
                <w:p w14:paraId="007C45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6"/>
                      <w:kern w:val="2"/>
                      <w:sz w:val="22"/>
                      <w:szCs w:val="22"/>
                      <w:highlight w:val="none"/>
                      <w:lang w:val="en-US" w:eastAsia="zh-CN" w:bidi="ar-SA"/>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0.002 </w:t>
                  </w:r>
                </w:p>
              </w:tc>
              <w:tc>
                <w:tcPr>
                  <w:tcW w:w="717" w:type="dxa"/>
                  <w:noWrap w:val="0"/>
                  <w:vAlign w:val="center"/>
                </w:tcPr>
                <w:p w14:paraId="31093EB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6"/>
                      <w:kern w:val="2"/>
                      <w:sz w:val="22"/>
                      <w:szCs w:val="22"/>
                      <w:highlight w:val="none"/>
                      <w:lang w:val="en-US" w:eastAsia="zh-CN" w:bidi="ar-SA"/>
                    </w:rPr>
                  </w:pPr>
                  <w:r>
                    <w:rPr>
                      <w:rFonts w:hint="default" w:ascii="Times New Roman" w:hAnsi="Times New Roman" w:eastAsia="宋体" w:cs="Times New Roman"/>
                      <w:b w:val="0"/>
                      <w:bCs w:val="0"/>
                      <w:i w:val="0"/>
                      <w:iCs w:val="0"/>
                      <w:color w:val="auto"/>
                      <w:kern w:val="0"/>
                      <w:sz w:val="22"/>
                      <w:szCs w:val="22"/>
                      <w:u w:val="none"/>
                      <w:lang w:val="en-US" w:eastAsia="zh-CN" w:bidi="ar"/>
                    </w:rPr>
                    <w:t>0.008</w:t>
                  </w:r>
                </w:p>
              </w:tc>
              <w:tc>
                <w:tcPr>
                  <w:tcW w:w="717" w:type="dxa"/>
                  <w:noWrap w:val="0"/>
                  <w:vAlign w:val="center"/>
                </w:tcPr>
                <w:p w14:paraId="3C00889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w:t>
                  </w:r>
                </w:p>
              </w:tc>
              <w:tc>
                <w:tcPr>
                  <w:tcW w:w="717" w:type="dxa"/>
                  <w:noWrap w:val="0"/>
                  <w:vAlign w:val="center"/>
                </w:tcPr>
                <w:p w14:paraId="2B7FC6D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w:t>
                  </w:r>
                </w:p>
              </w:tc>
              <w:tc>
                <w:tcPr>
                  <w:tcW w:w="717" w:type="dxa"/>
                  <w:noWrap w:val="0"/>
                  <w:vAlign w:val="center"/>
                </w:tcPr>
                <w:p w14:paraId="69F4930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6"/>
                      <w:kern w:val="2"/>
                      <w:sz w:val="22"/>
                      <w:szCs w:val="22"/>
                      <w:highlight w:val="none"/>
                      <w:lang w:val="en-US" w:eastAsia="zh-CN" w:bidi="ar-SA"/>
                    </w:rPr>
                  </w:pPr>
                  <w:r>
                    <w:rPr>
                      <w:rFonts w:hint="default" w:ascii="Times New Roman" w:hAnsi="Times New Roman" w:eastAsia="宋体" w:cs="Times New Roman"/>
                      <w:b w:val="0"/>
                      <w:bCs w:val="0"/>
                      <w:color w:val="auto"/>
                      <w:spacing w:val="-6"/>
                      <w:kern w:val="2"/>
                      <w:sz w:val="22"/>
                      <w:szCs w:val="22"/>
                      <w:highlight w:val="none"/>
                      <w:lang w:val="en-US" w:eastAsia="zh-CN" w:bidi="ar-SA"/>
                    </w:rPr>
                    <w:t>0.006</w:t>
                  </w:r>
                </w:p>
              </w:tc>
              <w:tc>
                <w:tcPr>
                  <w:tcW w:w="718" w:type="dxa"/>
                  <w:noWrap w:val="0"/>
                  <w:vAlign w:val="center"/>
                </w:tcPr>
                <w:p w14:paraId="2EB660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6"/>
                      <w:kern w:val="2"/>
                      <w:sz w:val="22"/>
                      <w:szCs w:val="22"/>
                      <w:highlight w:val="none"/>
                      <w:lang w:val="en-US" w:eastAsia="zh-CN" w:bidi="ar-SA"/>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0.002 </w:t>
                  </w:r>
                </w:p>
              </w:tc>
              <w:tc>
                <w:tcPr>
                  <w:tcW w:w="718" w:type="dxa"/>
                  <w:noWrap w:val="0"/>
                  <w:vAlign w:val="center"/>
                </w:tcPr>
                <w:p w14:paraId="180A814C">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0.008</w:t>
                  </w:r>
                </w:p>
              </w:tc>
              <w:tc>
                <w:tcPr>
                  <w:tcW w:w="718" w:type="dxa"/>
                  <w:noWrap w:val="0"/>
                  <w:vAlign w:val="center"/>
                </w:tcPr>
                <w:p w14:paraId="5366A25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0</w:t>
                  </w:r>
                </w:p>
              </w:tc>
            </w:tr>
            <w:tr w14:paraId="2FA1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restart"/>
                  <w:noWrap w:val="0"/>
                  <w:vAlign w:val="center"/>
                </w:tcPr>
                <w:p w14:paraId="5C2D5B9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废气</w:t>
                  </w:r>
                </w:p>
              </w:tc>
              <w:tc>
                <w:tcPr>
                  <w:tcW w:w="715" w:type="dxa"/>
                  <w:noWrap w:val="0"/>
                  <w:vAlign w:val="center"/>
                </w:tcPr>
                <w:p w14:paraId="15FAC539">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spacing w:val="-6"/>
                      <w:kern w:val="2"/>
                      <w:sz w:val="22"/>
                      <w:szCs w:val="22"/>
                      <w:highlight w:val="none"/>
                      <w:lang w:val="en-US" w:eastAsia="zh-CN" w:bidi="ar-SA"/>
                    </w:rPr>
                  </w:pPr>
                  <w:r>
                    <w:rPr>
                      <w:rFonts w:hint="default" w:ascii="Times New Roman" w:hAnsi="Times New Roman" w:eastAsia="宋体" w:cs="Times New Roman"/>
                      <w:b w:val="0"/>
                      <w:bCs w:val="0"/>
                      <w:color w:val="auto"/>
                      <w:kern w:val="0"/>
                      <w:sz w:val="22"/>
                      <w:szCs w:val="22"/>
                      <w:lang w:eastAsia="zh-CN"/>
                    </w:rPr>
                    <w:t>颗粒物</w:t>
                  </w:r>
                </w:p>
              </w:tc>
              <w:tc>
                <w:tcPr>
                  <w:tcW w:w="715" w:type="dxa"/>
                  <w:noWrap w:val="0"/>
                  <w:vAlign w:val="center"/>
                </w:tcPr>
                <w:p w14:paraId="5EF34709">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spacing w:val="-6"/>
                      <w:kern w:val="2"/>
                      <w:sz w:val="22"/>
                      <w:szCs w:val="22"/>
                      <w:lang w:val="en-US" w:eastAsia="zh-CN" w:bidi="ar-SA"/>
                    </w:rPr>
                  </w:pPr>
                  <w:r>
                    <w:rPr>
                      <w:rFonts w:hint="default" w:ascii="Times New Roman" w:hAnsi="Times New Roman" w:eastAsia="宋体" w:cs="Times New Roman"/>
                      <w:b w:val="0"/>
                      <w:bCs w:val="0"/>
                      <w:i w:val="0"/>
                      <w:iCs w:val="0"/>
                      <w:color w:val="auto"/>
                      <w:kern w:val="0"/>
                      <w:sz w:val="22"/>
                      <w:szCs w:val="22"/>
                      <w:u w:val="none"/>
                      <w:lang w:val="en-US" w:eastAsia="zh-CN" w:bidi="ar"/>
                    </w:rPr>
                    <w:t>1.729</w:t>
                  </w:r>
                </w:p>
              </w:tc>
              <w:tc>
                <w:tcPr>
                  <w:tcW w:w="717" w:type="dxa"/>
                  <w:noWrap w:val="0"/>
                  <w:vAlign w:val="center"/>
                </w:tcPr>
                <w:p w14:paraId="02F6AA0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7.154 </w:t>
                  </w:r>
                </w:p>
              </w:tc>
              <w:tc>
                <w:tcPr>
                  <w:tcW w:w="717" w:type="dxa"/>
                  <w:noWrap w:val="0"/>
                  <w:vAlign w:val="center"/>
                </w:tcPr>
                <w:p w14:paraId="2041C2C3">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8.883</w:t>
                  </w:r>
                </w:p>
              </w:tc>
              <w:tc>
                <w:tcPr>
                  <w:tcW w:w="717" w:type="dxa"/>
                  <w:noWrap w:val="0"/>
                  <w:vAlign w:val="center"/>
                </w:tcPr>
                <w:p w14:paraId="47D5B1B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w:t>
                  </w:r>
                </w:p>
              </w:tc>
              <w:tc>
                <w:tcPr>
                  <w:tcW w:w="717" w:type="dxa"/>
                  <w:noWrap w:val="0"/>
                  <w:vAlign w:val="center"/>
                </w:tcPr>
                <w:p w14:paraId="38B779D5">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4.826</w:t>
                  </w:r>
                </w:p>
              </w:tc>
              <w:tc>
                <w:tcPr>
                  <w:tcW w:w="717" w:type="dxa"/>
                  <w:noWrap w:val="0"/>
                  <w:vAlign w:val="center"/>
                </w:tcPr>
                <w:p w14:paraId="5C18EA97">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i w:val="0"/>
                      <w:iCs w:val="0"/>
                      <w:color w:val="auto"/>
                      <w:kern w:val="0"/>
                      <w:sz w:val="22"/>
                      <w:szCs w:val="22"/>
                      <w:u w:val="none"/>
                      <w:lang w:val="en-US" w:eastAsia="zh-CN" w:bidi="ar"/>
                    </w:rPr>
                    <w:t>4.826</w:t>
                  </w:r>
                </w:p>
              </w:tc>
              <w:tc>
                <w:tcPr>
                  <w:tcW w:w="718" w:type="dxa"/>
                  <w:noWrap w:val="0"/>
                  <w:vAlign w:val="center"/>
                </w:tcPr>
                <w:p w14:paraId="7B5620D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7.154 </w:t>
                  </w:r>
                </w:p>
              </w:tc>
              <w:tc>
                <w:tcPr>
                  <w:tcW w:w="718" w:type="dxa"/>
                  <w:noWrap w:val="0"/>
                  <w:vAlign w:val="center"/>
                </w:tcPr>
                <w:p w14:paraId="50CA8F4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11.98</w:t>
                  </w:r>
                </w:p>
              </w:tc>
              <w:tc>
                <w:tcPr>
                  <w:tcW w:w="718" w:type="dxa"/>
                  <w:noWrap w:val="0"/>
                  <w:vAlign w:val="center"/>
                </w:tcPr>
                <w:p w14:paraId="20BF3ED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+3.097</w:t>
                  </w:r>
                </w:p>
              </w:tc>
            </w:tr>
            <w:tr w14:paraId="0000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continue"/>
                  <w:noWrap w:val="0"/>
                  <w:vAlign w:val="center"/>
                </w:tcPr>
                <w:p w14:paraId="406EA16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p>
              </w:tc>
              <w:tc>
                <w:tcPr>
                  <w:tcW w:w="715" w:type="dxa"/>
                  <w:noWrap w:val="0"/>
                  <w:vAlign w:val="center"/>
                </w:tcPr>
                <w:p w14:paraId="603B17BE">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spacing w:val="-6"/>
                      <w:kern w:val="2"/>
                      <w:sz w:val="22"/>
                      <w:szCs w:val="22"/>
                      <w:highlight w:val="none"/>
                      <w:lang w:val="en-US" w:eastAsia="zh-CN" w:bidi="ar-SA"/>
                    </w:rPr>
                  </w:pPr>
                  <w:r>
                    <w:rPr>
                      <w:rFonts w:hint="default" w:ascii="Times New Roman" w:hAnsi="Times New Roman" w:eastAsia="宋体" w:cs="Times New Roman"/>
                      <w:b w:val="0"/>
                      <w:bCs w:val="0"/>
                      <w:color w:val="auto"/>
                      <w:kern w:val="0"/>
                      <w:sz w:val="22"/>
                      <w:szCs w:val="22"/>
                    </w:rPr>
                    <w:t>NOx</w:t>
                  </w:r>
                </w:p>
              </w:tc>
              <w:tc>
                <w:tcPr>
                  <w:tcW w:w="715" w:type="dxa"/>
                  <w:noWrap w:val="0"/>
                  <w:vAlign w:val="center"/>
                </w:tcPr>
                <w:p w14:paraId="7509633C">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spacing w:val="-6"/>
                      <w:kern w:val="2"/>
                      <w:sz w:val="22"/>
                      <w:szCs w:val="22"/>
                      <w:lang w:val="en-US" w:eastAsia="zh-CN" w:bidi="ar-SA"/>
                    </w:rPr>
                  </w:pPr>
                  <w:r>
                    <w:rPr>
                      <w:rFonts w:hint="default" w:ascii="Times New Roman" w:hAnsi="Times New Roman" w:eastAsia="宋体" w:cs="Times New Roman"/>
                      <w:b w:val="0"/>
                      <w:bCs w:val="0"/>
                      <w:i w:val="0"/>
                      <w:iCs w:val="0"/>
                      <w:color w:val="auto"/>
                      <w:kern w:val="0"/>
                      <w:sz w:val="22"/>
                      <w:szCs w:val="22"/>
                      <w:u w:val="none"/>
                      <w:lang w:val="en-US" w:eastAsia="zh-CN" w:bidi="ar"/>
                    </w:rPr>
                    <w:t>2.096</w:t>
                  </w:r>
                </w:p>
              </w:tc>
              <w:tc>
                <w:tcPr>
                  <w:tcW w:w="717" w:type="dxa"/>
                  <w:noWrap w:val="0"/>
                  <w:vAlign w:val="center"/>
                </w:tcPr>
                <w:p w14:paraId="7CA5F0E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21.190 </w:t>
                  </w:r>
                </w:p>
              </w:tc>
              <w:tc>
                <w:tcPr>
                  <w:tcW w:w="717" w:type="dxa"/>
                  <w:noWrap w:val="0"/>
                  <w:vAlign w:val="center"/>
                </w:tcPr>
                <w:p w14:paraId="25A48D99">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23.286</w:t>
                  </w:r>
                </w:p>
              </w:tc>
              <w:tc>
                <w:tcPr>
                  <w:tcW w:w="717" w:type="dxa"/>
                  <w:noWrap w:val="0"/>
                  <w:vAlign w:val="center"/>
                </w:tcPr>
                <w:p w14:paraId="1043D49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w:t>
                  </w:r>
                </w:p>
              </w:tc>
              <w:tc>
                <w:tcPr>
                  <w:tcW w:w="717" w:type="dxa"/>
                  <w:noWrap w:val="0"/>
                  <w:vAlign w:val="center"/>
                </w:tcPr>
                <w:p w14:paraId="4F314480">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15.31</w:t>
                  </w:r>
                </w:p>
              </w:tc>
              <w:tc>
                <w:tcPr>
                  <w:tcW w:w="717" w:type="dxa"/>
                  <w:noWrap w:val="0"/>
                  <w:vAlign w:val="center"/>
                </w:tcPr>
                <w:p w14:paraId="227ADD75">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i w:val="0"/>
                      <w:iCs w:val="0"/>
                      <w:color w:val="auto"/>
                      <w:kern w:val="0"/>
                      <w:sz w:val="22"/>
                      <w:szCs w:val="22"/>
                      <w:u w:val="none"/>
                      <w:lang w:val="en-US" w:eastAsia="zh-CN" w:bidi="ar"/>
                    </w:rPr>
                    <w:t>15.31</w:t>
                  </w:r>
                </w:p>
              </w:tc>
              <w:tc>
                <w:tcPr>
                  <w:tcW w:w="718" w:type="dxa"/>
                  <w:noWrap w:val="0"/>
                  <w:vAlign w:val="center"/>
                </w:tcPr>
                <w:p w14:paraId="71F0315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21.190 </w:t>
                  </w:r>
                </w:p>
              </w:tc>
              <w:tc>
                <w:tcPr>
                  <w:tcW w:w="718" w:type="dxa"/>
                  <w:noWrap w:val="0"/>
                  <w:vAlign w:val="center"/>
                </w:tcPr>
                <w:p w14:paraId="2DA8F3C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36.5</w:t>
                  </w:r>
                </w:p>
              </w:tc>
              <w:tc>
                <w:tcPr>
                  <w:tcW w:w="718" w:type="dxa"/>
                  <w:noWrap w:val="0"/>
                  <w:vAlign w:val="center"/>
                </w:tcPr>
                <w:p w14:paraId="49B3349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+13.214</w:t>
                  </w:r>
                </w:p>
              </w:tc>
            </w:tr>
            <w:tr w14:paraId="4A99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continue"/>
                  <w:noWrap w:val="0"/>
                  <w:vAlign w:val="center"/>
                </w:tcPr>
                <w:p w14:paraId="4963B14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p>
              </w:tc>
              <w:tc>
                <w:tcPr>
                  <w:tcW w:w="715" w:type="dxa"/>
                  <w:noWrap w:val="0"/>
                  <w:vAlign w:val="center"/>
                </w:tcPr>
                <w:p w14:paraId="0E97FBD3">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spacing w:val="-6"/>
                      <w:kern w:val="2"/>
                      <w:sz w:val="22"/>
                      <w:szCs w:val="22"/>
                      <w:highlight w:val="none"/>
                      <w:lang w:val="en-US" w:eastAsia="zh-CN" w:bidi="ar-SA"/>
                    </w:rPr>
                  </w:pPr>
                  <w:r>
                    <w:rPr>
                      <w:rFonts w:hint="default" w:ascii="Times New Roman" w:hAnsi="Times New Roman" w:eastAsia="宋体" w:cs="Times New Roman"/>
                      <w:b w:val="0"/>
                      <w:bCs w:val="0"/>
                      <w:color w:val="auto"/>
                      <w:kern w:val="0"/>
                      <w:sz w:val="22"/>
                      <w:szCs w:val="22"/>
                    </w:rPr>
                    <w:t>SO</w:t>
                  </w:r>
                  <w:r>
                    <w:rPr>
                      <w:rFonts w:hint="default" w:ascii="Times New Roman" w:hAnsi="Times New Roman" w:eastAsia="宋体" w:cs="Times New Roman"/>
                      <w:b w:val="0"/>
                      <w:bCs w:val="0"/>
                      <w:color w:val="auto"/>
                      <w:kern w:val="0"/>
                      <w:sz w:val="22"/>
                      <w:szCs w:val="22"/>
                      <w:vertAlign w:val="subscript"/>
                    </w:rPr>
                    <w:t>2</w:t>
                  </w:r>
                </w:p>
              </w:tc>
              <w:tc>
                <w:tcPr>
                  <w:tcW w:w="715" w:type="dxa"/>
                  <w:noWrap w:val="0"/>
                  <w:vAlign w:val="center"/>
                </w:tcPr>
                <w:p w14:paraId="6BE7BDE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spacing w:val="-6"/>
                      <w:kern w:val="2"/>
                      <w:sz w:val="22"/>
                      <w:szCs w:val="22"/>
                      <w:lang w:val="en-US" w:eastAsia="zh-CN" w:bidi="ar-SA"/>
                    </w:rPr>
                  </w:pPr>
                  <w:r>
                    <w:rPr>
                      <w:rFonts w:hint="default" w:ascii="Times New Roman" w:hAnsi="Times New Roman" w:eastAsia="宋体" w:cs="Times New Roman"/>
                      <w:b w:val="0"/>
                      <w:bCs w:val="0"/>
                      <w:i w:val="0"/>
                      <w:iCs w:val="0"/>
                      <w:color w:val="auto"/>
                      <w:kern w:val="0"/>
                      <w:sz w:val="22"/>
                      <w:szCs w:val="22"/>
                      <w:u w:val="none"/>
                      <w:lang w:val="en-US" w:eastAsia="zh-CN" w:bidi="ar"/>
                    </w:rPr>
                    <w:t>0.338</w:t>
                  </w:r>
                </w:p>
              </w:tc>
              <w:tc>
                <w:tcPr>
                  <w:tcW w:w="717" w:type="dxa"/>
                  <w:noWrap w:val="0"/>
                  <w:vAlign w:val="center"/>
                </w:tcPr>
                <w:p w14:paraId="20801B5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1.704 </w:t>
                  </w:r>
                </w:p>
              </w:tc>
              <w:tc>
                <w:tcPr>
                  <w:tcW w:w="717" w:type="dxa"/>
                  <w:noWrap w:val="0"/>
                  <w:vAlign w:val="center"/>
                </w:tcPr>
                <w:p w14:paraId="1242D488">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2.042</w:t>
                  </w:r>
                </w:p>
              </w:tc>
              <w:tc>
                <w:tcPr>
                  <w:tcW w:w="717" w:type="dxa"/>
                  <w:noWrap w:val="0"/>
                  <w:vAlign w:val="center"/>
                </w:tcPr>
                <w:p w14:paraId="6BC8026B">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w:t>
                  </w:r>
                </w:p>
              </w:tc>
              <w:tc>
                <w:tcPr>
                  <w:tcW w:w="717" w:type="dxa"/>
                  <w:noWrap w:val="0"/>
                  <w:vAlign w:val="center"/>
                </w:tcPr>
                <w:p w14:paraId="436F7722">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1.126</w:t>
                  </w:r>
                </w:p>
              </w:tc>
              <w:tc>
                <w:tcPr>
                  <w:tcW w:w="717" w:type="dxa"/>
                  <w:noWrap w:val="0"/>
                  <w:vAlign w:val="center"/>
                </w:tcPr>
                <w:p w14:paraId="63DAFDDD">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i w:val="0"/>
                      <w:iCs w:val="0"/>
                      <w:color w:val="auto"/>
                      <w:kern w:val="0"/>
                      <w:sz w:val="22"/>
                      <w:szCs w:val="22"/>
                      <w:u w:val="none"/>
                      <w:lang w:val="en-US" w:eastAsia="zh-CN" w:bidi="ar"/>
                    </w:rPr>
                    <w:t>1.126</w:t>
                  </w:r>
                </w:p>
              </w:tc>
              <w:tc>
                <w:tcPr>
                  <w:tcW w:w="718" w:type="dxa"/>
                  <w:noWrap w:val="0"/>
                  <w:vAlign w:val="center"/>
                </w:tcPr>
                <w:p w14:paraId="7FE9D66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1.704 </w:t>
                  </w:r>
                </w:p>
              </w:tc>
              <w:tc>
                <w:tcPr>
                  <w:tcW w:w="718" w:type="dxa"/>
                  <w:noWrap w:val="0"/>
                  <w:vAlign w:val="center"/>
                </w:tcPr>
                <w:p w14:paraId="173DFC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2.83</w:t>
                  </w:r>
                </w:p>
              </w:tc>
              <w:tc>
                <w:tcPr>
                  <w:tcW w:w="718" w:type="dxa"/>
                  <w:noWrap w:val="0"/>
                  <w:vAlign w:val="center"/>
                </w:tcPr>
                <w:p w14:paraId="475D9CF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+0.788</w:t>
                  </w:r>
                </w:p>
              </w:tc>
            </w:tr>
            <w:tr w14:paraId="5BAA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continue"/>
                  <w:noWrap w:val="0"/>
                  <w:vAlign w:val="center"/>
                </w:tcPr>
                <w:p w14:paraId="2C7EC60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p>
              </w:tc>
              <w:tc>
                <w:tcPr>
                  <w:tcW w:w="715" w:type="dxa"/>
                  <w:noWrap w:val="0"/>
                  <w:vAlign w:val="center"/>
                </w:tcPr>
                <w:p w14:paraId="78DAD73F">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spacing w:val="-6"/>
                      <w:kern w:val="2"/>
                      <w:sz w:val="22"/>
                      <w:szCs w:val="22"/>
                      <w:highlight w:val="none"/>
                      <w:lang w:val="en-US" w:eastAsia="zh-CN" w:bidi="ar-SA"/>
                    </w:rPr>
                  </w:pPr>
                  <w:r>
                    <w:rPr>
                      <w:rFonts w:hint="default" w:ascii="Times New Roman" w:hAnsi="Times New Roman" w:eastAsia="宋体" w:cs="Times New Roman"/>
                      <w:b w:val="0"/>
                      <w:bCs w:val="0"/>
                      <w:color w:val="auto"/>
                      <w:kern w:val="0"/>
                      <w:sz w:val="22"/>
                      <w:szCs w:val="22"/>
                      <w:lang w:val="en-US" w:eastAsia="zh-CN"/>
                    </w:rPr>
                    <w:t>氯化氢</w:t>
                  </w:r>
                </w:p>
              </w:tc>
              <w:tc>
                <w:tcPr>
                  <w:tcW w:w="715" w:type="dxa"/>
                  <w:noWrap w:val="0"/>
                  <w:vAlign w:val="center"/>
                </w:tcPr>
                <w:p w14:paraId="0DED1B3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kern w:val="2"/>
                      <w:sz w:val="22"/>
                      <w:szCs w:val="22"/>
                      <w:highlight w:val="none"/>
                      <w:vertAlign w:val="baseline"/>
                      <w:lang w:val="en-US" w:eastAsia="zh-CN" w:bidi="ar-SA"/>
                    </w:rPr>
                  </w:pPr>
                  <w:r>
                    <w:rPr>
                      <w:rFonts w:hint="default" w:ascii="Times New Roman" w:hAnsi="Times New Roman" w:eastAsia="宋体" w:cs="Times New Roman"/>
                      <w:b w:val="0"/>
                      <w:bCs w:val="0"/>
                      <w:color w:val="auto"/>
                      <w:sz w:val="22"/>
                      <w:szCs w:val="22"/>
                      <w:highlight w:val="none"/>
                      <w:vertAlign w:val="baseline"/>
                      <w:lang w:val="en-US" w:eastAsia="zh-CN"/>
                    </w:rPr>
                    <w:t>/</w:t>
                  </w:r>
                </w:p>
              </w:tc>
              <w:tc>
                <w:tcPr>
                  <w:tcW w:w="717" w:type="dxa"/>
                  <w:noWrap w:val="0"/>
                  <w:vAlign w:val="center"/>
                </w:tcPr>
                <w:p w14:paraId="75ACE33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5.627 </w:t>
                  </w:r>
                </w:p>
              </w:tc>
              <w:tc>
                <w:tcPr>
                  <w:tcW w:w="717" w:type="dxa"/>
                  <w:noWrap w:val="0"/>
                  <w:vAlign w:val="center"/>
                </w:tcPr>
                <w:p w14:paraId="4450D89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kern w:val="2"/>
                      <w:sz w:val="22"/>
                      <w:szCs w:val="22"/>
                      <w:highlight w:val="none"/>
                      <w:vertAlign w:val="baseline"/>
                      <w:lang w:val="en-US" w:eastAsia="zh-CN" w:bidi="ar-SA"/>
                    </w:rPr>
                  </w:pPr>
                  <w:r>
                    <w:rPr>
                      <w:rFonts w:hint="default" w:ascii="Times New Roman" w:hAnsi="Times New Roman" w:eastAsia="宋体" w:cs="Times New Roman"/>
                      <w:b w:val="0"/>
                      <w:bCs w:val="0"/>
                      <w:i w:val="0"/>
                      <w:iCs w:val="0"/>
                      <w:color w:val="auto"/>
                      <w:kern w:val="0"/>
                      <w:sz w:val="22"/>
                      <w:szCs w:val="22"/>
                      <w:u w:val="none"/>
                      <w:lang w:val="en-US" w:eastAsia="zh-CN" w:bidi="ar"/>
                    </w:rPr>
                    <w:t>5.627</w:t>
                  </w:r>
                </w:p>
              </w:tc>
              <w:tc>
                <w:tcPr>
                  <w:tcW w:w="717" w:type="dxa"/>
                  <w:noWrap w:val="0"/>
                  <w:vAlign w:val="center"/>
                </w:tcPr>
                <w:p w14:paraId="55786DE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p>
              </w:tc>
              <w:tc>
                <w:tcPr>
                  <w:tcW w:w="717" w:type="dxa"/>
                  <w:noWrap w:val="0"/>
                  <w:vAlign w:val="center"/>
                </w:tcPr>
                <w:p w14:paraId="0B6C135A">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vertAlign w:val="baseline"/>
                      <w:lang w:val="en-US" w:eastAsia="zh-CN"/>
                    </w:rPr>
                    <w:t>1.82</w:t>
                  </w:r>
                </w:p>
              </w:tc>
              <w:tc>
                <w:tcPr>
                  <w:tcW w:w="717" w:type="dxa"/>
                  <w:noWrap w:val="0"/>
                  <w:vAlign w:val="center"/>
                </w:tcPr>
                <w:p w14:paraId="7A118952">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color w:val="auto"/>
                      <w:sz w:val="22"/>
                      <w:szCs w:val="22"/>
                      <w:vertAlign w:val="baseline"/>
                      <w:lang w:val="en-US" w:eastAsia="zh-CN"/>
                    </w:rPr>
                    <w:t>1.82</w:t>
                  </w:r>
                </w:p>
              </w:tc>
              <w:tc>
                <w:tcPr>
                  <w:tcW w:w="718" w:type="dxa"/>
                  <w:noWrap w:val="0"/>
                  <w:vAlign w:val="center"/>
                </w:tcPr>
                <w:p w14:paraId="522D6B4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5.627 </w:t>
                  </w:r>
                </w:p>
              </w:tc>
              <w:tc>
                <w:tcPr>
                  <w:tcW w:w="718" w:type="dxa"/>
                  <w:noWrap w:val="0"/>
                  <w:vAlign w:val="center"/>
                </w:tcPr>
                <w:p w14:paraId="7706D5A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7.447</w:t>
                  </w:r>
                </w:p>
              </w:tc>
              <w:tc>
                <w:tcPr>
                  <w:tcW w:w="718" w:type="dxa"/>
                  <w:noWrap w:val="0"/>
                  <w:vAlign w:val="center"/>
                </w:tcPr>
                <w:p w14:paraId="155765E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+1.82</w:t>
                  </w:r>
                </w:p>
              </w:tc>
            </w:tr>
            <w:tr w14:paraId="1B29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continue"/>
                  <w:noWrap w:val="0"/>
                  <w:vAlign w:val="center"/>
                </w:tcPr>
                <w:p w14:paraId="72B8868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p>
              </w:tc>
              <w:tc>
                <w:tcPr>
                  <w:tcW w:w="715" w:type="dxa"/>
                  <w:noWrap w:val="0"/>
                  <w:vAlign w:val="center"/>
                </w:tcPr>
                <w:p w14:paraId="439B1085">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spacing w:val="-6"/>
                      <w:kern w:val="2"/>
                      <w:sz w:val="22"/>
                      <w:szCs w:val="22"/>
                      <w:highlight w:val="none"/>
                      <w:lang w:val="en-US" w:eastAsia="zh-CN" w:bidi="ar-SA"/>
                    </w:rPr>
                  </w:pPr>
                  <w:r>
                    <w:rPr>
                      <w:rFonts w:hint="default" w:ascii="Times New Roman" w:hAnsi="Times New Roman" w:eastAsia="宋体" w:cs="Times New Roman"/>
                      <w:b w:val="0"/>
                      <w:bCs w:val="0"/>
                      <w:color w:val="auto"/>
                      <w:kern w:val="0"/>
                      <w:sz w:val="22"/>
                      <w:szCs w:val="22"/>
                    </w:rPr>
                    <w:t>氟化物</w:t>
                  </w:r>
                </w:p>
              </w:tc>
              <w:tc>
                <w:tcPr>
                  <w:tcW w:w="715" w:type="dxa"/>
                  <w:noWrap w:val="0"/>
                  <w:vAlign w:val="center"/>
                </w:tcPr>
                <w:p w14:paraId="6909D16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spacing w:val="-6"/>
                      <w:kern w:val="2"/>
                      <w:sz w:val="22"/>
                      <w:szCs w:val="22"/>
                      <w:lang w:val="en-US" w:eastAsia="zh-CN" w:bidi="ar-SA"/>
                    </w:rPr>
                  </w:pPr>
                  <w:r>
                    <w:rPr>
                      <w:rFonts w:hint="default" w:ascii="Times New Roman" w:hAnsi="Times New Roman" w:eastAsia="宋体" w:cs="Times New Roman"/>
                      <w:b w:val="0"/>
                      <w:bCs w:val="0"/>
                      <w:i w:val="0"/>
                      <w:iCs w:val="0"/>
                      <w:color w:val="auto"/>
                      <w:kern w:val="0"/>
                      <w:sz w:val="22"/>
                      <w:szCs w:val="22"/>
                      <w:u w:val="none"/>
                      <w:lang w:val="en-US" w:eastAsia="zh-CN" w:bidi="ar"/>
                    </w:rPr>
                    <w:t>0.57</w:t>
                  </w:r>
                </w:p>
              </w:tc>
              <w:tc>
                <w:tcPr>
                  <w:tcW w:w="717" w:type="dxa"/>
                  <w:noWrap w:val="0"/>
                  <w:vAlign w:val="center"/>
                </w:tcPr>
                <w:p w14:paraId="0A8DF85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1.058 </w:t>
                  </w:r>
                </w:p>
              </w:tc>
              <w:tc>
                <w:tcPr>
                  <w:tcW w:w="717" w:type="dxa"/>
                  <w:noWrap w:val="0"/>
                  <w:vAlign w:val="center"/>
                </w:tcPr>
                <w:p w14:paraId="5D25B12E">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i w:val="0"/>
                      <w:iCs w:val="0"/>
                      <w:color w:val="auto"/>
                      <w:kern w:val="0"/>
                      <w:sz w:val="22"/>
                      <w:szCs w:val="22"/>
                      <w:u w:val="none"/>
                      <w:lang w:val="en-US" w:eastAsia="zh-CN" w:bidi="ar"/>
                    </w:rPr>
                    <w:t>1.628</w:t>
                  </w:r>
                </w:p>
              </w:tc>
              <w:tc>
                <w:tcPr>
                  <w:tcW w:w="717" w:type="dxa"/>
                  <w:noWrap w:val="0"/>
                  <w:vAlign w:val="center"/>
                </w:tcPr>
                <w:p w14:paraId="192B998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w:t>
                  </w:r>
                </w:p>
              </w:tc>
              <w:tc>
                <w:tcPr>
                  <w:tcW w:w="717" w:type="dxa"/>
                  <w:noWrap w:val="0"/>
                  <w:vAlign w:val="center"/>
                </w:tcPr>
                <w:p w14:paraId="214A4440">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i w:val="0"/>
                      <w:iCs w:val="0"/>
                      <w:color w:val="auto"/>
                      <w:kern w:val="0"/>
                      <w:sz w:val="22"/>
                      <w:szCs w:val="22"/>
                      <w:u w:val="none"/>
                      <w:lang w:val="en-US" w:eastAsia="zh-CN" w:bidi="ar"/>
                    </w:rPr>
                    <w:t>0.4</w:t>
                  </w:r>
                </w:p>
              </w:tc>
              <w:tc>
                <w:tcPr>
                  <w:tcW w:w="717" w:type="dxa"/>
                  <w:noWrap w:val="0"/>
                  <w:vAlign w:val="center"/>
                </w:tcPr>
                <w:p w14:paraId="346F5A8E">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i w:val="0"/>
                      <w:iCs w:val="0"/>
                      <w:color w:val="auto"/>
                      <w:kern w:val="0"/>
                      <w:sz w:val="22"/>
                      <w:szCs w:val="22"/>
                      <w:u w:val="none"/>
                      <w:lang w:val="en-US" w:eastAsia="zh-CN" w:bidi="ar"/>
                    </w:rPr>
                    <w:t>0.4</w:t>
                  </w:r>
                </w:p>
              </w:tc>
              <w:tc>
                <w:tcPr>
                  <w:tcW w:w="718" w:type="dxa"/>
                  <w:noWrap w:val="0"/>
                  <w:vAlign w:val="center"/>
                </w:tcPr>
                <w:p w14:paraId="2E6F0CF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 xml:space="preserve">1.058 </w:t>
                  </w:r>
                </w:p>
              </w:tc>
              <w:tc>
                <w:tcPr>
                  <w:tcW w:w="718" w:type="dxa"/>
                  <w:noWrap w:val="0"/>
                  <w:vAlign w:val="center"/>
                </w:tcPr>
                <w:p w14:paraId="6D3E51B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1.458</w:t>
                  </w:r>
                </w:p>
              </w:tc>
              <w:tc>
                <w:tcPr>
                  <w:tcW w:w="718" w:type="dxa"/>
                  <w:noWrap w:val="0"/>
                  <w:vAlign w:val="center"/>
                </w:tcPr>
                <w:p w14:paraId="72E332B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-0.17</w:t>
                  </w:r>
                </w:p>
              </w:tc>
            </w:tr>
            <w:tr w14:paraId="7FB95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restart"/>
                  <w:noWrap w:val="0"/>
                  <w:vAlign w:val="center"/>
                </w:tcPr>
                <w:p w14:paraId="613FA44F">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固体废物</w:t>
                  </w:r>
                </w:p>
              </w:tc>
              <w:tc>
                <w:tcPr>
                  <w:tcW w:w="715" w:type="dxa"/>
                  <w:noWrap w:val="0"/>
                  <w:vAlign w:val="center"/>
                </w:tcPr>
                <w:p w14:paraId="03F01AC9">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0"/>
                      <w:sz w:val="22"/>
                      <w:szCs w:val="22"/>
                      <w:lang w:val="en-US" w:eastAsia="zh-CN"/>
                    </w:rPr>
                  </w:pPr>
                  <w:r>
                    <w:rPr>
                      <w:rFonts w:hint="default" w:ascii="Times New Roman" w:hAnsi="Times New Roman" w:eastAsia="宋体" w:cs="Times New Roman"/>
                      <w:b w:val="0"/>
                      <w:bCs w:val="0"/>
                      <w:color w:val="auto"/>
                      <w:kern w:val="0"/>
                      <w:sz w:val="22"/>
                      <w:szCs w:val="22"/>
                      <w:lang w:val="en-US" w:eastAsia="zh-CN"/>
                    </w:rPr>
                    <w:t>一般固废</w:t>
                  </w:r>
                </w:p>
              </w:tc>
              <w:tc>
                <w:tcPr>
                  <w:tcW w:w="715" w:type="dxa"/>
                  <w:noWrap w:val="0"/>
                  <w:vAlign w:val="center"/>
                </w:tcPr>
                <w:p w14:paraId="3DE2648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3.7</w:t>
                  </w:r>
                </w:p>
              </w:tc>
              <w:tc>
                <w:tcPr>
                  <w:tcW w:w="717" w:type="dxa"/>
                  <w:noWrap w:val="0"/>
                  <w:vAlign w:val="center"/>
                </w:tcPr>
                <w:p w14:paraId="4EF5614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2</w:t>
                  </w:r>
                </w:p>
              </w:tc>
              <w:tc>
                <w:tcPr>
                  <w:tcW w:w="717" w:type="dxa"/>
                  <w:noWrap w:val="0"/>
                  <w:vAlign w:val="center"/>
                </w:tcPr>
                <w:p w14:paraId="68D0FE50">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5.7</w:t>
                  </w:r>
                </w:p>
              </w:tc>
              <w:tc>
                <w:tcPr>
                  <w:tcW w:w="717" w:type="dxa"/>
                  <w:noWrap w:val="0"/>
                  <w:vAlign w:val="center"/>
                </w:tcPr>
                <w:p w14:paraId="343B262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w:t>
                  </w:r>
                </w:p>
              </w:tc>
              <w:tc>
                <w:tcPr>
                  <w:tcW w:w="717" w:type="dxa"/>
                  <w:noWrap w:val="0"/>
                  <w:vAlign w:val="center"/>
                </w:tcPr>
                <w:p w14:paraId="492C376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4</w:t>
                  </w:r>
                </w:p>
              </w:tc>
              <w:tc>
                <w:tcPr>
                  <w:tcW w:w="717" w:type="dxa"/>
                  <w:noWrap w:val="0"/>
                  <w:vAlign w:val="center"/>
                </w:tcPr>
                <w:p w14:paraId="13AD9C80">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4</w:t>
                  </w:r>
                </w:p>
              </w:tc>
              <w:tc>
                <w:tcPr>
                  <w:tcW w:w="718" w:type="dxa"/>
                  <w:noWrap w:val="0"/>
                  <w:vAlign w:val="center"/>
                </w:tcPr>
                <w:p w14:paraId="1EE3BFD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2</w:t>
                  </w:r>
                </w:p>
              </w:tc>
              <w:tc>
                <w:tcPr>
                  <w:tcW w:w="718" w:type="dxa"/>
                  <w:noWrap w:val="0"/>
                  <w:vAlign w:val="center"/>
                </w:tcPr>
                <w:p w14:paraId="74452D2C">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6</w:t>
                  </w:r>
                </w:p>
              </w:tc>
              <w:tc>
                <w:tcPr>
                  <w:tcW w:w="718" w:type="dxa"/>
                  <w:noWrap w:val="0"/>
                  <w:vAlign w:val="center"/>
                </w:tcPr>
                <w:p w14:paraId="2F01AA2B">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+0.3</w:t>
                  </w:r>
                </w:p>
              </w:tc>
            </w:tr>
            <w:tr w14:paraId="6319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continue"/>
                  <w:noWrap w:val="0"/>
                  <w:vAlign w:val="center"/>
                </w:tcPr>
                <w:p w14:paraId="4283F42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p>
              </w:tc>
              <w:tc>
                <w:tcPr>
                  <w:tcW w:w="715" w:type="dxa"/>
                  <w:noWrap w:val="0"/>
                  <w:vAlign w:val="center"/>
                </w:tcPr>
                <w:p w14:paraId="3F16353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0"/>
                      <w:sz w:val="22"/>
                      <w:szCs w:val="22"/>
                      <w:lang w:val="en-US" w:eastAsia="zh-CN"/>
                    </w:rPr>
                  </w:pPr>
                  <w:r>
                    <w:rPr>
                      <w:rFonts w:hint="default" w:ascii="Times New Roman" w:hAnsi="Times New Roman" w:eastAsia="宋体" w:cs="Times New Roman"/>
                      <w:b w:val="0"/>
                      <w:bCs w:val="0"/>
                      <w:color w:val="auto"/>
                      <w:kern w:val="0"/>
                      <w:sz w:val="22"/>
                      <w:szCs w:val="22"/>
                      <w:lang w:val="en-US" w:eastAsia="zh-CN"/>
                    </w:rPr>
                    <w:t>危险废物</w:t>
                  </w:r>
                </w:p>
              </w:tc>
              <w:tc>
                <w:tcPr>
                  <w:tcW w:w="715" w:type="dxa"/>
                  <w:noWrap w:val="0"/>
                  <w:vAlign w:val="center"/>
                </w:tcPr>
                <w:p w14:paraId="3C1883D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827.23</w:t>
                  </w:r>
                </w:p>
              </w:tc>
              <w:tc>
                <w:tcPr>
                  <w:tcW w:w="717" w:type="dxa"/>
                  <w:noWrap w:val="0"/>
                  <w:vAlign w:val="center"/>
                </w:tcPr>
                <w:p w14:paraId="2C94BB7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2563.902</w:t>
                  </w:r>
                </w:p>
              </w:tc>
              <w:tc>
                <w:tcPr>
                  <w:tcW w:w="717" w:type="dxa"/>
                  <w:noWrap w:val="0"/>
                  <w:vAlign w:val="center"/>
                </w:tcPr>
                <w:p w14:paraId="0A696B0D">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3391.132</w:t>
                  </w:r>
                </w:p>
              </w:tc>
              <w:tc>
                <w:tcPr>
                  <w:tcW w:w="717" w:type="dxa"/>
                  <w:noWrap w:val="0"/>
                  <w:vAlign w:val="center"/>
                </w:tcPr>
                <w:p w14:paraId="2540E6A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w:t>
                  </w:r>
                </w:p>
              </w:tc>
              <w:tc>
                <w:tcPr>
                  <w:tcW w:w="717" w:type="dxa"/>
                  <w:noWrap w:val="0"/>
                  <w:vAlign w:val="center"/>
                </w:tcPr>
                <w:p w14:paraId="49893A6F">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3459.018</w:t>
                  </w:r>
                </w:p>
              </w:tc>
              <w:tc>
                <w:tcPr>
                  <w:tcW w:w="717" w:type="dxa"/>
                  <w:noWrap w:val="0"/>
                  <w:vAlign w:val="center"/>
                </w:tcPr>
                <w:p w14:paraId="6BC801B3">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3459.018</w:t>
                  </w:r>
                </w:p>
              </w:tc>
              <w:tc>
                <w:tcPr>
                  <w:tcW w:w="718" w:type="dxa"/>
                  <w:noWrap w:val="0"/>
                  <w:vAlign w:val="center"/>
                </w:tcPr>
                <w:p w14:paraId="681E585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2563.902</w:t>
                  </w:r>
                </w:p>
              </w:tc>
              <w:tc>
                <w:tcPr>
                  <w:tcW w:w="718" w:type="dxa"/>
                  <w:noWrap w:val="0"/>
                  <w:vAlign w:val="center"/>
                </w:tcPr>
                <w:p w14:paraId="301BC446">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6022.92</w:t>
                  </w:r>
                </w:p>
              </w:tc>
              <w:tc>
                <w:tcPr>
                  <w:tcW w:w="718" w:type="dxa"/>
                  <w:noWrap w:val="0"/>
                  <w:vAlign w:val="center"/>
                </w:tcPr>
                <w:p w14:paraId="13C2B34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+2631.788</w:t>
                  </w:r>
                </w:p>
              </w:tc>
            </w:tr>
            <w:tr w14:paraId="5C64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continue"/>
                  <w:noWrap w:val="0"/>
                  <w:vAlign w:val="center"/>
                </w:tcPr>
                <w:p w14:paraId="0EFC9A2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p>
              </w:tc>
              <w:tc>
                <w:tcPr>
                  <w:tcW w:w="715" w:type="dxa"/>
                  <w:noWrap w:val="0"/>
                  <w:vAlign w:val="center"/>
                </w:tcPr>
                <w:p w14:paraId="78DD0D9B">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val="0"/>
                      <w:bCs w:val="0"/>
                      <w:color w:val="auto"/>
                      <w:kern w:val="0"/>
                      <w:sz w:val="22"/>
                      <w:szCs w:val="22"/>
                      <w:lang w:val="en-US" w:eastAsia="zh-CN"/>
                    </w:rPr>
                  </w:pPr>
                  <w:r>
                    <w:rPr>
                      <w:rFonts w:hint="default" w:ascii="Times New Roman" w:hAnsi="Times New Roman" w:eastAsia="宋体" w:cs="Times New Roman"/>
                      <w:b w:val="0"/>
                      <w:bCs w:val="0"/>
                      <w:color w:val="auto"/>
                      <w:kern w:val="0"/>
                      <w:sz w:val="22"/>
                      <w:szCs w:val="22"/>
                      <w:lang w:val="en-US" w:eastAsia="zh-CN"/>
                    </w:rPr>
                    <w:t>生活垃圾</w:t>
                  </w:r>
                </w:p>
              </w:tc>
              <w:tc>
                <w:tcPr>
                  <w:tcW w:w="715" w:type="dxa"/>
                  <w:noWrap w:val="0"/>
                  <w:vAlign w:val="center"/>
                </w:tcPr>
                <w:p w14:paraId="48F98C1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6.85</w:t>
                  </w:r>
                </w:p>
              </w:tc>
              <w:tc>
                <w:tcPr>
                  <w:tcW w:w="717" w:type="dxa"/>
                  <w:noWrap w:val="0"/>
                  <w:vAlign w:val="center"/>
                </w:tcPr>
                <w:p w14:paraId="759C479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4.25</w:t>
                  </w:r>
                </w:p>
              </w:tc>
              <w:tc>
                <w:tcPr>
                  <w:tcW w:w="717" w:type="dxa"/>
                  <w:noWrap w:val="0"/>
                  <w:vAlign w:val="center"/>
                </w:tcPr>
                <w:p w14:paraId="17ACF0A4">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11.1</w:t>
                  </w:r>
                </w:p>
              </w:tc>
              <w:tc>
                <w:tcPr>
                  <w:tcW w:w="717" w:type="dxa"/>
                  <w:noWrap w:val="0"/>
                  <w:vAlign w:val="center"/>
                </w:tcPr>
                <w:p w14:paraId="48BDCE64">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w:t>
                  </w:r>
                </w:p>
              </w:tc>
              <w:tc>
                <w:tcPr>
                  <w:tcW w:w="717" w:type="dxa"/>
                  <w:noWrap w:val="0"/>
                  <w:vAlign w:val="center"/>
                </w:tcPr>
                <w:p w14:paraId="37E7AFA8">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w:t>
                  </w:r>
                </w:p>
              </w:tc>
              <w:tc>
                <w:tcPr>
                  <w:tcW w:w="717" w:type="dxa"/>
                  <w:noWrap w:val="0"/>
                  <w:vAlign w:val="center"/>
                </w:tcPr>
                <w:p w14:paraId="7A05B2A3">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6.85</w:t>
                  </w:r>
                </w:p>
              </w:tc>
              <w:tc>
                <w:tcPr>
                  <w:tcW w:w="718" w:type="dxa"/>
                  <w:noWrap w:val="0"/>
                  <w:vAlign w:val="center"/>
                </w:tcPr>
                <w:p w14:paraId="0063265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4.25</w:t>
                  </w:r>
                </w:p>
              </w:tc>
              <w:tc>
                <w:tcPr>
                  <w:tcW w:w="718" w:type="dxa"/>
                  <w:noWrap w:val="0"/>
                  <w:vAlign w:val="center"/>
                </w:tcPr>
                <w:p w14:paraId="5EBDD7BB">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b w:val="0"/>
                      <w:bCs w:val="0"/>
                      <w:i w:val="0"/>
                      <w:iCs w:val="0"/>
                      <w:color w:val="auto"/>
                      <w:kern w:val="0"/>
                      <w:sz w:val="22"/>
                      <w:szCs w:val="22"/>
                      <w:u w:val="none"/>
                      <w:lang w:val="en-US" w:eastAsia="zh-CN" w:bidi="ar"/>
                    </w:rPr>
                    <w:t>11.1</w:t>
                  </w:r>
                </w:p>
              </w:tc>
              <w:tc>
                <w:tcPr>
                  <w:tcW w:w="718" w:type="dxa"/>
                  <w:noWrap w:val="0"/>
                  <w:vAlign w:val="center"/>
                </w:tcPr>
                <w:p w14:paraId="4074A84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2"/>
                      <w:szCs w:val="22"/>
                      <w:highlight w:val="none"/>
                      <w:vertAlign w:val="baseline"/>
                      <w:lang w:val="en-US" w:eastAsia="zh-CN"/>
                    </w:rPr>
                  </w:pPr>
                  <w:r>
                    <w:rPr>
                      <w:rFonts w:hint="default" w:ascii="Times New Roman" w:hAnsi="Times New Roman" w:eastAsia="宋体" w:cs="Times New Roman"/>
                      <w:b w:val="0"/>
                      <w:bCs w:val="0"/>
                      <w:color w:val="auto"/>
                      <w:sz w:val="22"/>
                      <w:szCs w:val="22"/>
                      <w:highlight w:val="none"/>
                      <w:vertAlign w:val="baseline"/>
                      <w:lang w:val="en-US" w:eastAsia="zh-CN"/>
                    </w:rPr>
                    <w:t>0</w:t>
                  </w:r>
                </w:p>
              </w:tc>
            </w:tr>
          </w:tbl>
          <w:p w14:paraId="3B8F976F">
            <w:pPr>
              <w:adjustRightInd w:val="0"/>
              <w:snapToGrid w:val="0"/>
              <w:spacing w:line="460" w:lineRule="exact"/>
              <w:jc w:val="center"/>
              <w:rPr>
                <w:rFonts w:hint="default" w:ascii="Times New Roman" w:hAnsi="Times New Roman" w:eastAsia="宋体" w:cs="Times New Roman"/>
                <w:b/>
                <w:bCs/>
                <w:color w:val="auto"/>
                <w:sz w:val="26"/>
                <w:szCs w:val="26"/>
                <w:highlight w:val="none"/>
                <w:lang w:val="en-US" w:eastAsia="zh-CN"/>
              </w:rPr>
            </w:pPr>
          </w:p>
          <w:p w14:paraId="31D315C0">
            <w:pPr>
              <w:adjustRightInd w:val="0"/>
              <w:snapToGrid w:val="0"/>
              <w:spacing w:line="460" w:lineRule="exact"/>
              <w:jc w:val="center"/>
              <w:rPr>
                <w:rFonts w:hint="default" w:ascii="Times New Roman" w:hAnsi="Times New Roman" w:eastAsia="宋体" w:cs="Times New Roman"/>
                <w:b/>
                <w:bCs/>
                <w:color w:val="auto"/>
                <w:sz w:val="26"/>
                <w:szCs w:val="26"/>
                <w:highlight w:val="none"/>
                <w:lang w:val="en-US" w:eastAsia="zh-CN"/>
              </w:rPr>
            </w:pPr>
          </w:p>
          <w:p w14:paraId="516940E4">
            <w:pPr>
              <w:adjustRightInd w:val="0"/>
              <w:snapToGrid w:val="0"/>
              <w:spacing w:line="460" w:lineRule="exact"/>
              <w:jc w:val="center"/>
              <w:rPr>
                <w:rFonts w:hint="default" w:ascii="Times New Roman" w:hAnsi="Times New Roman" w:eastAsia="宋体" w:cs="Times New Roman"/>
                <w:b/>
                <w:bCs/>
                <w:color w:val="auto"/>
                <w:sz w:val="26"/>
                <w:szCs w:val="26"/>
                <w:highlight w:val="none"/>
                <w:lang w:val="en-US" w:eastAsia="zh-CN"/>
              </w:rPr>
            </w:pPr>
          </w:p>
          <w:p w14:paraId="07DB6A39">
            <w:pPr>
              <w:adjustRightInd w:val="0"/>
              <w:snapToGrid w:val="0"/>
              <w:spacing w:line="460" w:lineRule="exact"/>
              <w:jc w:val="center"/>
              <w:rPr>
                <w:rFonts w:hint="default" w:ascii="Times New Roman" w:hAnsi="Times New Roman" w:eastAsia="宋体" w:cs="Times New Roman"/>
                <w:b/>
                <w:bCs/>
                <w:color w:val="auto"/>
                <w:sz w:val="26"/>
                <w:szCs w:val="26"/>
                <w:highlight w:val="none"/>
                <w:lang w:val="en-US" w:eastAsia="zh-CN"/>
              </w:rPr>
            </w:pPr>
          </w:p>
          <w:p w14:paraId="35194922">
            <w:pPr>
              <w:adjustRightInd w:val="0"/>
              <w:snapToGrid w:val="0"/>
              <w:spacing w:line="460" w:lineRule="exact"/>
              <w:jc w:val="center"/>
              <w:rPr>
                <w:rFonts w:hint="default" w:ascii="Times New Roman" w:hAnsi="Times New Roman" w:eastAsia="宋体" w:cs="Times New Roman"/>
                <w:b/>
                <w:bCs/>
                <w:color w:val="auto"/>
                <w:sz w:val="26"/>
                <w:szCs w:val="26"/>
                <w:highlight w:val="none"/>
                <w:lang w:val="en-US" w:eastAsia="zh-CN"/>
              </w:rPr>
            </w:pPr>
          </w:p>
          <w:p w14:paraId="4DE1793E">
            <w:pPr>
              <w:adjustRightInd w:val="0"/>
              <w:snapToGrid w:val="0"/>
              <w:spacing w:line="460" w:lineRule="exact"/>
              <w:jc w:val="center"/>
              <w:rPr>
                <w:rFonts w:hint="default" w:ascii="Times New Roman" w:hAnsi="Times New Roman" w:eastAsia="宋体" w:cs="Times New Roman"/>
                <w:b/>
                <w:bCs/>
                <w:color w:val="auto"/>
                <w:sz w:val="26"/>
                <w:szCs w:val="26"/>
                <w:highlight w:val="none"/>
                <w:lang w:val="en-US" w:eastAsia="zh-CN"/>
              </w:rPr>
            </w:pPr>
          </w:p>
          <w:p w14:paraId="631FBBB9">
            <w:pPr>
              <w:adjustRightInd w:val="0"/>
              <w:snapToGrid w:val="0"/>
              <w:spacing w:line="460" w:lineRule="exact"/>
              <w:jc w:val="center"/>
              <w:rPr>
                <w:rFonts w:hint="default" w:ascii="Times New Roman" w:hAnsi="Times New Roman" w:eastAsia="宋体" w:cs="Times New Roman"/>
                <w:b/>
                <w:bCs/>
                <w:color w:val="auto"/>
                <w:sz w:val="26"/>
                <w:szCs w:val="26"/>
                <w:highlight w:val="none"/>
                <w:lang w:val="en-US" w:eastAsia="zh-CN"/>
              </w:rPr>
            </w:pPr>
          </w:p>
          <w:p w14:paraId="1F7DA158">
            <w:pPr>
              <w:adjustRightInd w:val="0"/>
              <w:snapToGrid w:val="0"/>
              <w:spacing w:line="460" w:lineRule="exact"/>
              <w:jc w:val="center"/>
              <w:rPr>
                <w:rFonts w:hint="default" w:ascii="Times New Roman" w:hAnsi="Times New Roman" w:eastAsia="宋体" w:cs="Times New Roman"/>
                <w:b/>
                <w:bCs/>
                <w:color w:val="auto"/>
                <w:sz w:val="26"/>
                <w:szCs w:val="26"/>
                <w:highlight w:val="none"/>
                <w:lang w:val="en-US" w:eastAsia="zh-CN"/>
              </w:rPr>
            </w:pPr>
          </w:p>
          <w:p w14:paraId="675E3FF0">
            <w:pPr>
              <w:adjustRightInd w:val="0"/>
              <w:snapToGrid w:val="0"/>
              <w:spacing w:line="460" w:lineRule="exact"/>
              <w:jc w:val="center"/>
              <w:rPr>
                <w:rFonts w:hint="default" w:ascii="Times New Roman" w:hAnsi="Times New Roman" w:eastAsia="宋体" w:cs="Times New Roman"/>
                <w:b/>
                <w:bCs/>
                <w:color w:val="auto"/>
                <w:sz w:val="26"/>
                <w:szCs w:val="26"/>
                <w:highlight w:val="none"/>
                <w:lang w:val="en-US" w:eastAsia="zh-CN"/>
              </w:rPr>
            </w:pPr>
          </w:p>
          <w:p w14:paraId="0C5A09C2">
            <w:pPr>
              <w:pStyle w:val="11"/>
              <w:numPr>
                <w:ilvl w:val="0"/>
                <w:numId w:val="0"/>
              </w:numPr>
              <w:rPr>
                <w:color w:val="auto"/>
                <w:vertAlign w:val="baseline"/>
              </w:rPr>
            </w:pPr>
          </w:p>
        </w:tc>
      </w:tr>
    </w:tbl>
    <w:p w14:paraId="4464C340">
      <w:pPr>
        <w:pStyle w:val="11"/>
        <w:numPr>
          <w:ilvl w:val="0"/>
          <w:numId w:val="0"/>
        </w:numPr>
        <w:rPr>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865AA11">
      <w:pPr>
        <w:pStyle w:val="42"/>
        <w:rPr>
          <w:color w:val="auto"/>
        </w:rPr>
      </w:pPr>
    </w:p>
    <w:p w14:paraId="3C817002">
      <w:pPr>
        <w:pStyle w:val="2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w:t>
      </w:r>
      <w:bookmarkStart w:id="12" w:name="_Hlk54167917"/>
      <w:r>
        <w:rPr>
          <w:rFonts w:hint="default" w:ascii="Times New Roman" w:hAnsi="Times New Roman" w:eastAsia="黑体" w:cs="Times New Roman"/>
          <w:snapToGrid w:val="0"/>
          <w:color w:val="auto"/>
          <w:sz w:val="30"/>
          <w:szCs w:val="30"/>
        </w:rPr>
        <w:t>环境保护措施监督检查清单</w:t>
      </w:r>
      <w:bookmarkEnd w:id="12"/>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745"/>
        <w:gridCol w:w="1329"/>
        <w:gridCol w:w="1888"/>
        <w:gridCol w:w="2541"/>
      </w:tblGrid>
      <w:tr w14:paraId="0D022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7" w:type="dxa"/>
            <w:tcBorders>
              <w:tl2br w:val="single" w:color="auto" w:sz="12" w:space="0"/>
            </w:tcBorders>
            <w:noWrap w:val="0"/>
            <w:vAlign w:val="center"/>
          </w:tcPr>
          <w:p w14:paraId="1D06CD6C">
            <w:pPr>
              <w:adjustRightInd w:val="0"/>
              <w:snapToGrid w:val="0"/>
              <w:ind w:firstLine="440" w:firstLineChars="20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内容</w:t>
            </w:r>
          </w:p>
          <w:p w14:paraId="1E276BDC">
            <w:pPr>
              <w:adjustRightInd w:val="0"/>
              <w:snapToGrid w:val="0"/>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要素</w:t>
            </w:r>
          </w:p>
        </w:tc>
        <w:tc>
          <w:tcPr>
            <w:tcW w:w="1745" w:type="dxa"/>
            <w:tcBorders>
              <w:tl2br w:val="nil"/>
              <w:tr2bl w:val="nil"/>
            </w:tcBorders>
            <w:noWrap w:val="0"/>
            <w:vAlign w:val="center"/>
          </w:tcPr>
          <w:p w14:paraId="4FCBCA88">
            <w:pPr>
              <w:adjustRightInd w:val="0"/>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排放口(编号、</w:t>
            </w:r>
          </w:p>
          <w:p w14:paraId="59186F68">
            <w:pPr>
              <w:adjustRightInd w:val="0"/>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名称)/污染源</w:t>
            </w:r>
          </w:p>
        </w:tc>
        <w:tc>
          <w:tcPr>
            <w:tcW w:w="1329" w:type="dxa"/>
            <w:tcBorders>
              <w:tl2br w:val="nil"/>
              <w:tr2bl w:val="nil"/>
            </w:tcBorders>
            <w:noWrap w:val="0"/>
            <w:vAlign w:val="center"/>
          </w:tcPr>
          <w:p w14:paraId="1C08CE72">
            <w:pPr>
              <w:adjustRightInd w:val="0"/>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污染物项目</w:t>
            </w:r>
          </w:p>
        </w:tc>
        <w:tc>
          <w:tcPr>
            <w:tcW w:w="1888" w:type="dxa"/>
            <w:tcBorders>
              <w:tl2br w:val="nil"/>
              <w:tr2bl w:val="nil"/>
            </w:tcBorders>
            <w:noWrap w:val="0"/>
            <w:vAlign w:val="center"/>
          </w:tcPr>
          <w:p w14:paraId="77814D7E">
            <w:pPr>
              <w:adjustRightInd w:val="0"/>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环境保护措施</w:t>
            </w:r>
          </w:p>
        </w:tc>
        <w:tc>
          <w:tcPr>
            <w:tcW w:w="2541" w:type="dxa"/>
            <w:tcBorders>
              <w:tl2br w:val="nil"/>
              <w:tr2bl w:val="nil"/>
            </w:tcBorders>
            <w:noWrap w:val="0"/>
            <w:vAlign w:val="center"/>
          </w:tcPr>
          <w:p w14:paraId="2A4F7CC0">
            <w:pPr>
              <w:adjustRightInd w:val="0"/>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执行标准</w:t>
            </w:r>
          </w:p>
        </w:tc>
      </w:tr>
      <w:tr w14:paraId="4F5CC3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7" w:type="dxa"/>
            <w:vMerge w:val="restart"/>
            <w:tcBorders>
              <w:tl2br w:val="nil"/>
              <w:tr2bl w:val="nil"/>
            </w:tcBorders>
            <w:noWrap w:val="0"/>
            <w:vAlign w:val="center"/>
          </w:tcPr>
          <w:p w14:paraId="6B8B371E">
            <w:pPr>
              <w:adjustRightInd w:val="0"/>
              <w:snapToGrid w:val="0"/>
              <w:jc w:val="center"/>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大气环境</w:t>
            </w:r>
          </w:p>
        </w:tc>
        <w:tc>
          <w:tcPr>
            <w:tcW w:w="1745" w:type="dxa"/>
            <w:tcBorders>
              <w:tl2br w:val="nil"/>
              <w:tr2bl w:val="nil"/>
            </w:tcBorders>
            <w:noWrap w:val="0"/>
            <w:vAlign w:val="center"/>
          </w:tcPr>
          <w:p w14:paraId="3D6FF5F6">
            <w:pPr>
              <w:adjustRightInd w:val="0"/>
              <w:snapToGrid w:val="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DA002排气筒（依托）</w:t>
            </w:r>
          </w:p>
        </w:tc>
        <w:tc>
          <w:tcPr>
            <w:tcW w:w="1329" w:type="dxa"/>
            <w:tcBorders>
              <w:tl2br w:val="nil"/>
              <w:tr2bl w:val="nil"/>
            </w:tcBorders>
            <w:noWrap w:val="0"/>
            <w:vAlign w:val="center"/>
          </w:tcPr>
          <w:p w14:paraId="3F3765D2">
            <w:pPr>
              <w:adjustRightInd w:val="0"/>
              <w:snapToGrid w:val="0"/>
              <w:jc w:val="both"/>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SO</w:t>
            </w:r>
            <w:r>
              <w:rPr>
                <w:rFonts w:hint="eastAsia" w:ascii="Times New Roman" w:hAnsi="Times New Roman" w:eastAsia="宋体" w:cs="Times New Roman"/>
                <w:color w:val="auto"/>
                <w:sz w:val="22"/>
                <w:szCs w:val="22"/>
                <w:vertAlign w:val="subscript"/>
                <w:lang w:val="en-US" w:eastAsia="zh-CN"/>
              </w:rPr>
              <w:t>2</w:t>
            </w:r>
            <w:r>
              <w:rPr>
                <w:rFonts w:hint="eastAsia" w:ascii="Times New Roman" w:hAnsi="Times New Roman" w:eastAsia="宋体" w:cs="Times New Roman"/>
                <w:color w:val="auto"/>
                <w:sz w:val="22"/>
                <w:szCs w:val="22"/>
                <w:lang w:val="en-US" w:eastAsia="zh-CN"/>
              </w:rPr>
              <w:t>、氮氧化物、颗粒物、氟化物、氯化氢</w:t>
            </w:r>
          </w:p>
        </w:tc>
        <w:tc>
          <w:tcPr>
            <w:tcW w:w="1888" w:type="dxa"/>
            <w:tcBorders>
              <w:tl2br w:val="nil"/>
              <w:tr2bl w:val="nil"/>
            </w:tcBorders>
            <w:noWrap w:val="0"/>
            <w:vAlign w:val="center"/>
          </w:tcPr>
          <w:p w14:paraId="6EA07671">
            <w:pPr>
              <w:adjustRightInd w:val="0"/>
              <w:snapToGrid w:val="0"/>
              <w:jc w:val="both"/>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经集气罩收集后一并引至TA001“旋风+布袋除尘器”处理后通过1根21m高排气筒排放</w:t>
            </w:r>
          </w:p>
        </w:tc>
        <w:tc>
          <w:tcPr>
            <w:tcW w:w="2541" w:type="dxa"/>
            <w:tcBorders>
              <w:tl2br w:val="nil"/>
              <w:tr2bl w:val="nil"/>
            </w:tcBorders>
            <w:noWrap w:val="0"/>
            <w:vAlign w:val="center"/>
          </w:tcPr>
          <w:p w14:paraId="2135D6CC">
            <w:pPr>
              <w:adjustRightInd w:val="0"/>
              <w:snapToGrid w:val="0"/>
              <w:jc w:val="both"/>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SO</w:t>
            </w:r>
            <w:r>
              <w:rPr>
                <w:rFonts w:hint="eastAsia" w:ascii="Times New Roman" w:hAnsi="Times New Roman" w:eastAsia="宋体" w:cs="Times New Roman"/>
                <w:color w:val="auto"/>
                <w:sz w:val="22"/>
                <w:szCs w:val="22"/>
                <w:vertAlign w:val="subscript"/>
                <w:lang w:val="en-US" w:eastAsia="zh-CN"/>
              </w:rPr>
              <w:t>2</w:t>
            </w:r>
            <w:r>
              <w:rPr>
                <w:rFonts w:hint="eastAsia" w:ascii="Times New Roman" w:hAnsi="Times New Roman" w:eastAsia="宋体" w:cs="Times New Roman"/>
                <w:color w:val="auto"/>
                <w:sz w:val="22"/>
                <w:szCs w:val="22"/>
                <w:lang w:val="en-US" w:eastAsia="zh-CN"/>
              </w:rPr>
              <w:t>、NO</w:t>
            </w:r>
            <w:r>
              <w:rPr>
                <w:rFonts w:hint="eastAsia" w:ascii="Times New Roman" w:hAnsi="Times New Roman" w:eastAsia="宋体" w:cs="Times New Roman"/>
                <w:color w:val="auto"/>
                <w:sz w:val="22"/>
                <w:szCs w:val="22"/>
                <w:vertAlign w:val="subscript"/>
                <w:lang w:val="en-US" w:eastAsia="zh-CN"/>
              </w:rPr>
              <w:t>X</w:t>
            </w:r>
            <w:r>
              <w:rPr>
                <w:rFonts w:hint="eastAsia" w:ascii="Times New Roman" w:hAnsi="Times New Roman" w:eastAsia="宋体" w:cs="Times New Roman"/>
                <w:color w:val="auto"/>
                <w:sz w:val="22"/>
                <w:szCs w:val="22"/>
                <w:lang w:val="en-US" w:eastAsia="zh-CN"/>
              </w:rPr>
              <w:t>、氟化物执行</w:t>
            </w:r>
            <w:r>
              <w:rPr>
                <w:rFonts w:hint="default" w:ascii="Times New Roman" w:hAnsi="Times New Roman" w:eastAsia="宋体" w:cs="Times New Roman"/>
                <w:color w:val="auto"/>
                <w:sz w:val="22"/>
                <w:szCs w:val="22"/>
                <w:lang w:val="en-US" w:eastAsia="zh-CN"/>
              </w:rPr>
              <w:t>《工业炉窑大气污染物排放标准》（DB 50/659-2016）；</w:t>
            </w:r>
            <w:r>
              <w:rPr>
                <w:rFonts w:hint="eastAsia" w:ascii="Times New Roman" w:hAnsi="Times New Roman" w:eastAsia="宋体" w:cs="Times New Roman"/>
                <w:color w:val="auto"/>
                <w:sz w:val="22"/>
                <w:szCs w:val="22"/>
                <w:lang w:val="en-US" w:eastAsia="zh-CN"/>
              </w:rPr>
              <w:t>颗粒物执行《铸造工业大气污染物排放标准》（GB 39726-2020）；</w:t>
            </w:r>
            <w:r>
              <w:rPr>
                <w:rFonts w:hint="default" w:ascii="Times New Roman" w:hAnsi="Times New Roman" w:eastAsia="宋体" w:cs="Times New Roman"/>
                <w:color w:val="auto"/>
                <w:sz w:val="22"/>
                <w:szCs w:val="22"/>
                <w:lang w:val="en-US" w:eastAsia="zh-CN"/>
              </w:rPr>
              <w:t>HCl 执行《大气污染物综合排放标准》（DB50/418-2016）</w:t>
            </w:r>
          </w:p>
        </w:tc>
      </w:tr>
      <w:tr w14:paraId="2892D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7" w:type="dxa"/>
            <w:vMerge w:val="continue"/>
            <w:tcBorders>
              <w:tl2br w:val="nil"/>
              <w:tr2bl w:val="nil"/>
            </w:tcBorders>
            <w:noWrap w:val="0"/>
            <w:vAlign w:val="center"/>
          </w:tcPr>
          <w:p w14:paraId="259B4058">
            <w:pPr>
              <w:adjustRightInd w:val="0"/>
              <w:snapToGrid w:val="0"/>
              <w:jc w:val="center"/>
              <w:rPr>
                <w:rFonts w:hint="default" w:ascii="Times New Roman" w:hAnsi="Times New Roman" w:eastAsia="宋体" w:cs="Times New Roman"/>
                <w:color w:val="auto"/>
                <w:sz w:val="22"/>
                <w:szCs w:val="22"/>
              </w:rPr>
            </w:pPr>
          </w:p>
        </w:tc>
        <w:tc>
          <w:tcPr>
            <w:tcW w:w="1745" w:type="dxa"/>
            <w:tcBorders>
              <w:tl2br w:val="nil"/>
              <w:tr2bl w:val="nil"/>
            </w:tcBorders>
            <w:noWrap w:val="0"/>
            <w:vAlign w:val="center"/>
          </w:tcPr>
          <w:p w14:paraId="36FE93D1">
            <w:pPr>
              <w:adjustRightInd w:val="0"/>
              <w:snapToGrid w:val="0"/>
              <w:jc w:val="center"/>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DA003排气筒</w:t>
            </w:r>
          </w:p>
          <w:p w14:paraId="3F0C1036">
            <w:pPr>
              <w:adjustRightInd w:val="0"/>
              <w:snapToGrid w:val="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（依托）</w:t>
            </w:r>
          </w:p>
        </w:tc>
        <w:tc>
          <w:tcPr>
            <w:tcW w:w="1329" w:type="dxa"/>
            <w:tcBorders>
              <w:tl2br w:val="nil"/>
              <w:tr2bl w:val="nil"/>
            </w:tcBorders>
            <w:noWrap w:val="0"/>
            <w:vAlign w:val="center"/>
          </w:tcPr>
          <w:p w14:paraId="3986C71C">
            <w:pPr>
              <w:adjustRightInd w:val="0"/>
              <w:snapToGrid w:val="0"/>
              <w:jc w:val="both"/>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SO</w:t>
            </w:r>
            <w:r>
              <w:rPr>
                <w:rFonts w:hint="eastAsia" w:ascii="Times New Roman" w:hAnsi="Times New Roman" w:eastAsia="宋体" w:cs="Times New Roman"/>
                <w:color w:val="auto"/>
                <w:sz w:val="22"/>
                <w:szCs w:val="22"/>
                <w:vertAlign w:val="subscript"/>
                <w:lang w:val="en-US" w:eastAsia="zh-CN"/>
              </w:rPr>
              <w:t>2</w:t>
            </w:r>
            <w:r>
              <w:rPr>
                <w:rFonts w:hint="eastAsia" w:ascii="Times New Roman" w:hAnsi="Times New Roman" w:eastAsia="宋体" w:cs="Times New Roman"/>
                <w:color w:val="auto"/>
                <w:sz w:val="22"/>
                <w:szCs w:val="22"/>
                <w:lang w:val="en-US" w:eastAsia="zh-CN"/>
              </w:rPr>
              <w:t>、氟化物、氯化氢</w:t>
            </w:r>
          </w:p>
        </w:tc>
        <w:tc>
          <w:tcPr>
            <w:tcW w:w="1888" w:type="dxa"/>
            <w:tcBorders>
              <w:tl2br w:val="nil"/>
              <w:tr2bl w:val="nil"/>
            </w:tcBorders>
            <w:noWrap w:val="0"/>
            <w:vAlign w:val="center"/>
          </w:tcPr>
          <w:p w14:paraId="27D4E9F2">
            <w:pPr>
              <w:adjustRightInd w:val="0"/>
              <w:snapToGrid w:val="0"/>
              <w:jc w:val="both"/>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一体式密闭设备，在设备顶部、进料和出料口等部位配置集尘（吸气罩）设施，经收集后一并引至TA003“重力沉降+低压脉冲袋式除尘器”处理后通过1根20m高排气筒排放</w:t>
            </w:r>
          </w:p>
        </w:tc>
        <w:tc>
          <w:tcPr>
            <w:tcW w:w="2541" w:type="dxa"/>
            <w:tcBorders>
              <w:tl2br w:val="nil"/>
              <w:tr2bl w:val="nil"/>
            </w:tcBorders>
            <w:noWrap w:val="0"/>
            <w:vAlign w:val="center"/>
          </w:tcPr>
          <w:p w14:paraId="30209556">
            <w:pPr>
              <w:adjustRightInd w:val="0"/>
              <w:snapToGrid w:val="0"/>
              <w:jc w:val="both"/>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有组织排放的颗粒物执行《铸造工业大气污染物排放标准》（GB 39726-2020）；有组织排放的HCl、氟化物执行《大气污染物综合排放标准》（DB50/418-2016）</w:t>
            </w:r>
          </w:p>
        </w:tc>
      </w:tr>
      <w:tr w14:paraId="10EDE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7" w:type="dxa"/>
            <w:vMerge w:val="continue"/>
            <w:tcBorders>
              <w:tl2br w:val="nil"/>
              <w:tr2bl w:val="nil"/>
            </w:tcBorders>
            <w:noWrap w:val="0"/>
            <w:vAlign w:val="center"/>
          </w:tcPr>
          <w:p w14:paraId="1E6DD639">
            <w:pPr>
              <w:adjustRightInd w:val="0"/>
              <w:snapToGrid w:val="0"/>
              <w:jc w:val="center"/>
              <w:rPr>
                <w:rFonts w:hint="default" w:ascii="Times New Roman" w:hAnsi="Times New Roman" w:eastAsia="宋体" w:cs="Times New Roman"/>
                <w:color w:val="auto"/>
                <w:sz w:val="22"/>
                <w:szCs w:val="22"/>
              </w:rPr>
            </w:pPr>
          </w:p>
        </w:tc>
        <w:tc>
          <w:tcPr>
            <w:tcW w:w="1745" w:type="dxa"/>
            <w:tcBorders>
              <w:tl2br w:val="nil"/>
              <w:tr2bl w:val="nil"/>
            </w:tcBorders>
            <w:noWrap w:val="0"/>
            <w:vAlign w:val="center"/>
          </w:tcPr>
          <w:p w14:paraId="3F19E9CD">
            <w:pPr>
              <w:adjustRightInd w:val="0"/>
              <w:snapToGrid w:val="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DA004排气筒（依托）</w:t>
            </w:r>
          </w:p>
        </w:tc>
        <w:tc>
          <w:tcPr>
            <w:tcW w:w="1329" w:type="dxa"/>
            <w:tcBorders>
              <w:tl2br w:val="nil"/>
              <w:tr2bl w:val="nil"/>
            </w:tcBorders>
            <w:noWrap w:val="0"/>
            <w:vAlign w:val="center"/>
          </w:tcPr>
          <w:p w14:paraId="30D816EE">
            <w:pPr>
              <w:adjustRightInd w:val="0"/>
              <w:snapToGrid w:val="0"/>
              <w:jc w:val="both"/>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SO</w:t>
            </w:r>
            <w:r>
              <w:rPr>
                <w:rFonts w:hint="eastAsia" w:ascii="Times New Roman" w:hAnsi="Times New Roman" w:eastAsia="宋体" w:cs="Times New Roman"/>
                <w:color w:val="auto"/>
                <w:sz w:val="22"/>
                <w:szCs w:val="22"/>
                <w:vertAlign w:val="subscript"/>
                <w:lang w:val="en-US" w:eastAsia="zh-CN"/>
              </w:rPr>
              <w:t>2</w:t>
            </w:r>
            <w:r>
              <w:rPr>
                <w:rFonts w:hint="eastAsia" w:ascii="Times New Roman" w:hAnsi="Times New Roman" w:eastAsia="宋体" w:cs="Times New Roman"/>
                <w:color w:val="auto"/>
                <w:sz w:val="22"/>
                <w:szCs w:val="22"/>
                <w:lang w:val="en-US" w:eastAsia="zh-CN"/>
              </w:rPr>
              <w:t>、氮氧化物、颗粒物</w:t>
            </w:r>
          </w:p>
        </w:tc>
        <w:tc>
          <w:tcPr>
            <w:tcW w:w="1888" w:type="dxa"/>
            <w:tcBorders>
              <w:tl2br w:val="nil"/>
              <w:tr2bl w:val="nil"/>
            </w:tcBorders>
            <w:noWrap w:val="0"/>
            <w:vAlign w:val="center"/>
          </w:tcPr>
          <w:p w14:paraId="761DD446">
            <w:pPr>
              <w:adjustRightInd w:val="0"/>
              <w:snapToGrid w:val="0"/>
              <w:jc w:val="both"/>
              <w:rPr>
                <w:rFonts w:hint="eastAsia" w:ascii="Times New Roman" w:hAnsi="Times New Roman" w:eastAsia="宋体" w:cs="Times New Roman"/>
                <w:color w:val="auto"/>
                <w:sz w:val="22"/>
                <w:szCs w:val="22"/>
                <w:lang w:val="en-US" w:eastAsia="zh-CN"/>
              </w:rPr>
            </w:pPr>
            <w:r>
              <w:rPr>
                <w:rFonts w:hint="eastAsia"/>
                <w:color w:val="auto"/>
                <w:sz w:val="22"/>
                <w:szCs w:val="22"/>
                <w:lang w:val="en-US" w:eastAsia="zh-CN"/>
              </w:rPr>
              <w:t>经1</w:t>
            </w:r>
            <w:r>
              <w:rPr>
                <w:rFonts w:hint="eastAsia"/>
                <w:color w:val="auto"/>
                <w:sz w:val="22"/>
                <w:szCs w:val="22"/>
              </w:rPr>
              <w:t>根</w:t>
            </w:r>
            <w:r>
              <w:rPr>
                <w:rFonts w:hint="eastAsia"/>
                <w:color w:val="auto"/>
                <w:sz w:val="22"/>
                <w:szCs w:val="22"/>
                <w:lang w:val="en-US" w:eastAsia="zh-CN"/>
              </w:rPr>
              <w:t>15m高排气筒排放</w:t>
            </w:r>
          </w:p>
        </w:tc>
        <w:tc>
          <w:tcPr>
            <w:tcW w:w="2541" w:type="dxa"/>
            <w:tcBorders>
              <w:tl2br w:val="nil"/>
              <w:tr2bl w:val="nil"/>
            </w:tcBorders>
            <w:noWrap w:val="0"/>
            <w:vAlign w:val="center"/>
          </w:tcPr>
          <w:p w14:paraId="2BDE6CAF">
            <w:pPr>
              <w:adjustRightInd w:val="0"/>
              <w:snapToGrid w:val="0"/>
              <w:jc w:val="both"/>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有组织排放的SO</w:t>
            </w:r>
            <w:r>
              <w:rPr>
                <w:rFonts w:hint="eastAsia" w:ascii="Times New Roman" w:hAnsi="Times New Roman" w:eastAsia="宋体" w:cs="Times New Roman"/>
                <w:color w:val="auto"/>
                <w:sz w:val="22"/>
                <w:szCs w:val="22"/>
                <w:vertAlign w:val="subscript"/>
                <w:lang w:val="en-US" w:eastAsia="zh-CN"/>
              </w:rPr>
              <w:t>2</w:t>
            </w:r>
            <w:r>
              <w:rPr>
                <w:rFonts w:hint="eastAsia" w:ascii="Times New Roman" w:hAnsi="Times New Roman" w:eastAsia="宋体" w:cs="Times New Roman"/>
                <w:color w:val="auto"/>
                <w:sz w:val="22"/>
                <w:szCs w:val="22"/>
                <w:lang w:val="en-US" w:eastAsia="zh-CN"/>
              </w:rPr>
              <w:t>、氮氧化物、颗粒物执行</w:t>
            </w:r>
            <w:r>
              <w:rPr>
                <w:rFonts w:hint="default" w:ascii="Times New Roman" w:hAnsi="Times New Roman" w:eastAsia="宋体" w:cs="Times New Roman"/>
                <w:color w:val="auto"/>
                <w:sz w:val="22"/>
                <w:szCs w:val="22"/>
                <w:lang w:val="en-US" w:eastAsia="zh-CN"/>
              </w:rPr>
              <w:t>《铸造工业大气污染物排放标准》（GB 39726-2020）</w:t>
            </w:r>
          </w:p>
        </w:tc>
      </w:tr>
      <w:tr w14:paraId="2FFA1F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7" w:type="dxa"/>
            <w:vMerge w:val="continue"/>
            <w:tcBorders>
              <w:tl2br w:val="nil"/>
              <w:tr2bl w:val="nil"/>
            </w:tcBorders>
            <w:noWrap w:val="0"/>
            <w:vAlign w:val="center"/>
          </w:tcPr>
          <w:p w14:paraId="3CA1469A">
            <w:pPr>
              <w:adjustRightInd w:val="0"/>
              <w:snapToGrid w:val="0"/>
              <w:jc w:val="center"/>
              <w:rPr>
                <w:rFonts w:hint="default" w:ascii="Times New Roman" w:hAnsi="Times New Roman" w:eastAsia="宋体" w:cs="Times New Roman"/>
                <w:color w:val="auto"/>
                <w:sz w:val="22"/>
                <w:szCs w:val="22"/>
              </w:rPr>
            </w:pPr>
          </w:p>
        </w:tc>
        <w:tc>
          <w:tcPr>
            <w:tcW w:w="1745" w:type="dxa"/>
            <w:tcBorders>
              <w:tl2br w:val="nil"/>
              <w:tr2bl w:val="nil"/>
            </w:tcBorders>
            <w:noWrap w:val="0"/>
            <w:vAlign w:val="center"/>
          </w:tcPr>
          <w:p w14:paraId="70AA8F45">
            <w:pPr>
              <w:adjustRightInd w:val="0"/>
              <w:snapToGrid w:val="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厂界</w:t>
            </w:r>
          </w:p>
        </w:tc>
        <w:tc>
          <w:tcPr>
            <w:tcW w:w="1329" w:type="dxa"/>
            <w:tcBorders>
              <w:tl2br w:val="nil"/>
              <w:tr2bl w:val="nil"/>
            </w:tcBorders>
            <w:noWrap w:val="0"/>
            <w:vAlign w:val="center"/>
          </w:tcPr>
          <w:p w14:paraId="7EF01B78">
            <w:pPr>
              <w:adjustRightInd w:val="0"/>
              <w:snapToGrid w:val="0"/>
              <w:jc w:val="both"/>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SO</w:t>
            </w:r>
            <w:r>
              <w:rPr>
                <w:rFonts w:hint="eastAsia" w:ascii="Times New Roman" w:hAnsi="Times New Roman" w:eastAsia="宋体" w:cs="Times New Roman"/>
                <w:color w:val="auto"/>
                <w:sz w:val="22"/>
                <w:szCs w:val="22"/>
                <w:vertAlign w:val="subscript"/>
                <w:lang w:val="en-US" w:eastAsia="zh-CN"/>
              </w:rPr>
              <w:t>2</w:t>
            </w:r>
            <w:r>
              <w:rPr>
                <w:rFonts w:hint="eastAsia" w:ascii="Times New Roman" w:hAnsi="Times New Roman" w:eastAsia="宋体" w:cs="Times New Roman"/>
                <w:color w:val="auto"/>
                <w:sz w:val="22"/>
                <w:szCs w:val="22"/>
                <w:lang w:val="en-US" w:eastAsia="zh-CN"/>
              </w:rPr>
              <w:t>、氮氧化物、颗粒物、氟化物、氯化氢、非甲烷总烃</w:t>
            </w:r>
          </w:p>
        </w:tc>
        <w:tc>
          <w:tcPr>
            <w:tcW w:w="1888" w:type="dxa"/>
            <w:tcBorders>
              <w:tl2br w:val="nil"/>
              <w:tr2bl w:val="nil"/>
            </w:tcBorders>
            <w:noWrap w:val="0"/>
            <w:vAlign w:val="center"/>
          </w:tcPr>
          <w:p w14:paraId="5E9359E8">
            <w:pPr>
              <w:adjustRightInd w:val="0"/>
              <w:snapToGrid w:val="0"/>
              <w:jc w:val="both"/>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加强环保设施的管理，降低无组织排放量</w:t>
            </w:r>
          </w:p>
        </w:tc>
        <w:tc>
          <w:tcPr>
            <w:tcW w:w="2541" w:type="dxa"/>
            <w:tcBorders>
              <w:tl2br w:val="nil"/>
              <w:tr2bl w:val="nil"/>
            </w:tcBorders>
            <w:noWrap w:val="0"/>
            <w:vAlign w:val="center"/>
          </w:tcPr>
          <w:p w14:paraId="49F0EAE4">
            <w:pPr>
              <w:adjustRightInd w:val="0"/>
              <w:snapToGrid w:val="0"/>
              <w:jc w:val="both"/>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厂区内厂房外无组织排放颗粒物执行《铸造工业大气污染物排放标准》（GB 39726-2020）。厂界外无组织排放的颗粒物、SO</w:t>
            </w:r>
            <w:r>
              <w:rPr>
                <w:rFonts w:hint="eastAsia" w:ascii="Times New Roman" w:hAnsi="Times New Roman" w:eastAsia="宋体" w:cs="Times New Roman"/>
                <w:color w:val="auto"/>
                <w:sz w:val="22"/>
                <w:szCs w:val="22"/>
                <w:vertAlign w:val="subscript"/>
                <w:lang w:val="en-US" w:eastAsia="zh-CN"/>
              </w:rPr>
              <w:t>2</w:t>
            </w:r>
            <w:r>
              <w:rPr>
                <w:rFonts w:hint="eastAsia" w:ascii="Times New Roman" w:hAnsi="Times New Roman" w:eastAsia="宋体" w:cs="Times New Roman"/>
                <w:color w:val="auto"/>
                <w:sz w:val="22"/>
                <w:szCs w:val="22"/>
                <w:lang w:val="en-US" w:eastAsia="zh-CN"/>
              </w:rPr>
              <w:t>、NOx、氟化物、HCl执行《大气污染物综合排放标准》（DB50/418-2016）表1相关标准。</w:t>
            </w:r>
            <w:r>
              <w:rPr>
                <w:rFonts w:hint="eastAsia"/>
                <w:color w:val="auto"/>
                <w:sz w:val="22"/>
                <w:szCs w:val="22"/>
                <w:lang w:val="en-US" w:eastAsia="zh-CN"/>
              </w:rPr>
              <w:t>厂区内厂房外 VOCs 无组织排放监控点浓度执行《挥发性有机物无组织排放控制标准》（GB 37822-2019）相关要求</w:t>
            </w:r>
          </w:p>
        </w:tc>
      </w:tr>
      <w:tr w14:paraId="788D00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1297" w:type="dxa"/>
            <w:tcBorders>
              <w:tl2br w:val="nil"/>
              <w:tr2bl w:val="nil"/>
            </w:tcBorders>
            <w:noWrap w:val="0"/>
            <w:vAlign w:val="center"/>
          </w:tcPr>
          <w:p w14:paraId="7BA45DA0">
            <w:pPr>
              <w:adjustRightInd w:val="0"/>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地表水环境</w:t>
            </w:r>
          </w:p>
        </w:tc>
        <w:tc>
          <w:tcPr>
            <w:tcW w:w="1745" w:type="dxa"/>
            <w:tcBorders>
              <w:tl2br w:val="nil"/>
              <w:tr2bl w:val="nil"/>
            </w:tcBorders>
            <w:noWrap w:val="0"/>
            <w:vAlign w:val="center"/>
          </w:tcPr>
          <w:p w14:paraId="5DFEB678">
            <w:pPr>
              <w:adjustRightInd w:val="0"/>
              <w:snapToGrid w:val="0"/>
              <w:jc w:val="center"/>
              <w:rPr>
                <w:rFonts w:hint="default" w:ascii="Times New Roman" w:hAnsi="Times New Roman" w:cs="Times New Roman"/>
                <w:color w:val="auto"/>
                <w:sz w:val="22"/>
                <w:szCs w:val="22"/>
                <w:lang w:val="en-US"/>
              </w:rPr>
            </w:pPr>
            <w:r>
              <w:rPr>
                <w:rFonts w:hint="default" w:ascii="Times New Roman" w:hAnsi="Times New Roman" w:cs="Times New Roman"/>
                <w:color w:val="auto"/>
                <w:sz w:val="22"/>
                <w:szCs w:val="22"/>
              </w:rPr>
              <w:t>生活污水</w:t>
            </w:r>
          </w:p>
        </w:tc>
        <w:tc>
          <w:tcPr>
            <w:tcW w:w="1329" w:type="dxa"/>
            <w:tcBorders>
              <w:tl2br w:val="nil"/>
              <w:tr2bl w:val="nil"/>
            </w:tcBorders>
            <w:noWrap w:val="0"/>
            <w:vAlign w:val="center"/>
          </w:tcPr>
          <w:p w14:paraId="7E3402FB">
            <w:pPr>
              <w:adjustRightInd w:val="0"/>
              <w:snapToGrid w:val="0"/>
              <w:jc w:val="both"/>
              <w:rPr>
                <w:rFonts w:hint="default" w:ascii="Times New Roman" w:hAnsi="Times New Roman" w:cs="Times New Roman"/>
                <w:color w:val="auto"/>
                <w:sz w:val="22"/>
                <w:szCs w:val="22"/>
                <w:lang w:val="en-US"/>
              </w:rPr>
            </w:pPr>
            <w:r>
              <w:rPr>
                <w:rFonts w:hint="default" w:ascii="Times New Roman" w:hAnsi="Times New Roman" w:eastAsia="宋体" w:cs="Times New Roman"/>
                <w:color w:val="auto"/>
                <w:kern w:val="2"/>
                <w:sz w:val="22"/>
                <w:szCs w:val="22"/>
                <w:highlight w:val="none"/>
                <w:lang w:val="en-US" w:eastAsia="zh-CN" w:bidi="ar-SA"/>
              </w:rPr>
              <w:t>COD、BOD</w:t>
            </w:r>
            <w:r>
              <w:rPr>
                <w:rFonts w:hint="default" w:ascii="Times New Roman" w:hAnsi="Times New Roman" w:eastAsia="宋体" w:cs="Times New Roman"/>
                <w:color w:val="auto"/>
                <w:kern w:val="2"/>
                <w:sz w:val="22"/>
                <w:szCs w:val="22"/>
                <w:highlight w:val="none"/>
                <w:vertAlign w:val="subscript"/>
                <w:lang w:val="en-US" w:eastAsia="zh-CN" w:bidi="ar-SA"/>
              </w:rPr>
              <w:t>5</w:t>
            </w:r>
            <w:r>
              <w:rPr>
                <w:rFonts w:hint="default" w:ascii="Times New Roman" w:hAnsi="Times New Roman" w:eastAsia="宋体" w:cs="Times New Roman"/>
                <w:color w:val="auto"/>
                <w:kern w:val="2"/>
                <w:sz w:val="22"/>
                <w:szCs w:val="22"/>
                <w:highlight w:val="none"/>
                <w:lang w:val="en-US" w:eastAsia="zh-CN" w:bidi="ar-SA"/>
              </w:rPr>
              <w:t>、SS、NH</w:t>
            </w:r>
            <w:r>
              <w:rPr>
                <w:rFonts w:hint="default" w:ascii="Times New Roman" w:hAnsi="Times New Roman" w:eastAsia="宋体" w:cs="Times New Roman"/>
                <w:color w:val="auto"/>
                <w:kern w:val="2"/>
                <w:sz w:val="22"/>
                <w:szCs w:val="22"/>
                <w:highlight w:val="none"/>
                <w:vertAlign w:val="subscript"/>
                <w:lang w:val="en-US" w:eastAsia="zh-CN" w:bidi="ar-SA"/>
              </w:rPr>
              <w:t>3</w:t>
            </w:r>
            <w:r>
              <w:rPr>
                <w:rFonts w:hint="default" w:ascii="Times New Roman" w:hAnsi="Times New Roman" w:eastAsia="宋体" w:cs="Times New Roman"/>
                <w:color w:val="auto"/>
                <w:kern w:val="2"/>
                <w:sz w:val="22"/>
                <w:szCs w:val="22"/>
                <w:highlight w:val="none"/>
                <w:lang w:val="en-US" w:eastAsia="zh-CN" w:bidi="ar-SA"/>
              </w:rPr>
              <w:t>-N</w:t>
            </w:r>
          </w:p>
        </w:tc>
        <w:tc>
          <w:tcPr>
            <w:tcW w:w="1888" w:type="dxa"/>
            <w:tcBorders>
              <w:tl2br w:val="nil"/>
              <w:tr2bl w:val="nil"/>
            </w:tcBorders>
            <w:noWrap w:val="0"/>
            <w:vAlign w:val="center"/>
          </w:tcPr>
          <w:p w14:paraId="0D15CA8F">
            <w:pPr>
              <w:adjustRightInd w:val="0"/>
              <w:snapToGrid w:val="0"/>
              <w:jc w:val="left"/>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本项目不新增生活污水，厂区生活污水经现有</w:t>
            </w:r>
            <w:r>
              <w:rPr>
                <w:rFonts w:hint="default" w:ascii="Times New Roman" w:hAnsi="Times New Roman" w:eastAsia="宋体" w:cs="Times New Roman"/>
                <w:color w:val="auto"/>
                <w:sz w:val="22"/>
                <w:szCs w:val="22"/>
                <w:highlight w:val="none"/>
                <w:lang w:val="en-US" w:eastAsia="zh-CN"/>
              </w:rPr>
              <w:t>生化池</w:t>
            </w:r>
            <w:r>
              <w:rPr>
                <w:rFonts w:hint="eastAsia" w:ascii="Times New Roman" w:hAnsi="Times New Roman" w:eastAsia="宋体" w:cs="Times New Roman"/>
                <w:color w:val="auto"/>
                <w:sz w:val="22"/>
                <w:szCs w:val="22"/>
                <w:highlight w:val="none"/>
                <w:lang w:val="en-US" w:eastAsia="zh-CN"/>
              </w:rPr>
              <w:t>（处理能力10m</w:t>
            </w:r>
            <w:r>
              <w:rPr>
                <w:rFonts w:hint="eastAsia" w:ascii="Times New Roman" w:hAnsi="Times New Roman" w:eastAsia="宋体" w:cs="Times New Roman"/>
                <w:color w:val="auto"/>
                <w:sz w:val="22"/>
                <w:szCs w:val="22"/>
                <w:highlight w:val="none"/>
                <w:vertAlign w:val="superscript"/>
                <w:lang w:val="en-US" w:eastAsia="zh-CN"/>
              </w:rPr>
              <w:t>3</w:t>
            </w:r>
            <w:r>
              <w:rPr>
                <w:rFonts w:hint="eastAsia" w:ascii="Times New Roman" w:hAnsi="Times New Roman" w:eastAsia="宋体" w:cs="Times New Roman"/>
                <w:color w:val="auto"/>
                <w:sz w:val="22"/>
                <w:szCs w:val="22"/>
                <w:highlight w:val="none"/>
                <w:lang w:val="en-US" w:eastAsia="zh-CN"/>
              </w:rPr>
              <w:t>/d）</w:t>
            </w:r>
            <w:r>
              <w:rPr>
                <w:rFonts w:hint="default" w:ascii="Times New Roman" w:hAnsi="Times New Roman" w:eastAsia="宋体" w:cs="Times New Roman"/>
                <w:color w:val="auto"/>
                <w:sz w:val="22"/>
                <w:szCs w:val="22"/>
                <w:highlight w:val="none"/>
                <w:lang w:val="en-US" w:eastAsia="zh-CN"/>
              </w:rPr>
              <w:t>处理</w:t>
            </w:r>
            <w:r>
              <w:rPr>
                <w:rFonts w:hint="eastAsia" w:ascii="Times New Roman" w:hAnsi="Times New Roman" w:eastAsia="宋体" w:cs="Times New Roman"/>
                <w:color w:val="auto"/>
                <w:sz w:val="22"/>
                <w:szCs w:val="22"/>
                <w:highlight w:val="none"/>
                <w:lang w:val="en-US" w:eastAsia="zh-CN"/>
              </w:rPr>
              <w:t>达标后</w:t>
            </w:r>
            <w:r>
              <w:rPr>
                <w:rFonts w:hint="default" w:ascii="Times New Roman" w:hAnsi="Times New Roman" w:eastAsia="宋体" w:cs="Times New Roman"/>
                <w:color w:val="auto"/>
                <w:sz w:val="22"/>
                <w:szCs w:val="22"/>
                <w:highlight w:val="none"/>
                <w:lang w:val="en-US" w:eastAsia="zh-CN"/>
              </w:rPr>
              <w:t>排入市政污水管网，进入</w:t>
            </w:r>
            <w:r>
              <w:rPr>
                <w:rFonts w:hint="eastAsia" w:ascii="Times New Roman" w:hAnsi="Times New Roman" w:eastAsia="宋体" w:cs="Times New Roman"/>
                <w:color w:val="auto"/>
                <w:sz w:val="22"/>
                <w:szCs w:val="22"/>
                <w:highlight w:val="none"/>
                <w:lang w:val="en-US" w:eastAsia="zh-CN"/>
              </w:rPr>
              <w:t>西彭城镇污水处理厂</w:t>
            </w:r>
            <w:r>
              <w:rPr>
                <w:rFonts w:hint="default" w:ascii="Times New Roman" w:hAnsi="Times New Roman" w:eastAsia="宋体" w:cs="Times New Roman"/>
                <w:color w:val="auto"/>
                <w:sz w:val="22"/>
                <w:szCs w:val="22"/>
                <w:highlight w:val="none"/>
                <w:lang w:val="en-US" w:eastAsia="zh-CN"/>
              </w:rPr>
              <w:t>深度处理</w:t>
            </w:r>
            <w:r>
              <w:rPr>
                <w:rFonts w:hint="eastAsia" w:ascii="Times New Roman" w:hAnsi="Times New Roman" w:eastAsia="宋体" w:cs="Times New Roman"/>
                <w:color w:val="auto"/>
                <w:sz w:val="22"/>
                <w:szCs w:val="22"/>
                <w:highlight w:val="none"/>
                <w:lang w:val="en-US" w:eastAsia="zh-CN"/>
              </w:rPr>
              <w:t>达标</w:t>
            </w:r>
            <w:r>
              <w:rPr>
                <w:rFonts w:hint="default" w:ascii="Times New Roman" w:hAnsi="Times New Roman" w:eastAsia="宋体" w:cs="Times New Roman"/>
                <w:color w:val="auto"/>
                <w:sz w:val="22"/>
                <w:szCs w:val="22"/>
                <w:highlight w:val="none"/>
                <w:lang w:val="en-US" w:eastAsia="zh-CN"/>
              </w:rPr>
              <w:t>后</w:t>
            </w:r>
            <w:r>
              <w:rPr>
                <w:rFonts w:hint="eastAsia" w:ascii="Times New Roman" w:hAnsi="Times New Roman" w:eastAsia="宋体" w:cs="Times New Roman"/>
                <w:color w:val="auto"/>
                <w:sz w:val="22"/>
                <w:szCs w:val="22"/>
                <w:highlight w:val="none"/>
                <w:lang w:val="en-US" w:eastAsia="zh-CN"/>
              </w:rPr>
              <w:t>排放至桥头河</w:t>
            </w:r>
          </w:p>
        </w:tc>
        <w:tc>
          <w:tcPr>
            <w:tcW w:w="2541" w:type="dxa"/>
            <w:tcBorders>
              <w:tl2br w:val="nil"/>
              <w:tr2bl w:val="nil"/>
            </w:tcBorders>
            <w:noWrap w:val="0"/>
            <w:vAlign w:val="center"/>
          </w:tcPr>
          <w:p w14:paraId="646E4F7D">
            <w:pPr>
              <w:adjustRightInd w:val="0"/>
              <w:snapToGrid w:val="0"/>
              <w:jc w:val="left"/>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《污水综合排放标准》（GB8978-1996）</w:t>
            </w:r>
            <w:bookmarkStart w:id="13" w:name="OLE_LINK15"/>
            <w:r>
              <w:rPr>
                <w:rFonts w:hint="eastAsia" w:ascii="Times New Roman" w:hAnsi="Times New Roman" w:eastAsia="宋体" w:cs="Times New Roman"/>
                <w:color w:val="auto"/>
                <w:sz w:val="22"/>
                <w:szCs w:val="22"/>
                <w:highlight w:val="none"/>
                <w:lang w:val="en-US" w:eastAsia="zh-CN"/>
              </w:rPr>
              <w:t>三级标准</w:t>
            </w:r>
            <w:bookmarkEnd w:id="13"/>
          </w:p>
        </w:tc>
      </w:tr>
      <w:tr w14:paraId="282468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7" w:type="dxa"/>
            <w:tcBorders>
              <w:tl2br w:val="nil"/>
              <w:tr2bl w:val="nil"/>
            </w:tcBorders>
            <w:noWrap w:val="0"/>
            <w:vAlign w:val="center"/>
          </w:tcPr>
          <w:p w14:paraId="433945E4">
            <w:pPr>
              <w:adjustRightInd w:val="0"/>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声环境</w:t>
            </w:r>
          </w:p>
        </w:tc>
        <w:tc>
          <w:tcPr>
            <w:tcW w:w="1745" w:type="dxa"/>
            <w:tcBorders>
              <w:tl2br w:val="nil"/>
              <w:tr2bl w:val="nil"/>
            </w:tcBorders>
            <w:noWrap w:val="0"/>
            <w:vAlign w:val="center"/>
          </w:tcPr>
          <w:p w14:paraId="280D09B6">
            <w:pPr>
              <w:adjustRightInd w:val="0"/>
              <w:snapToGrid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厂界噪声</w:t>
            </w:r>
          </w:p>
        </w:tc>
        <w:tc>
          <w:tcPr>
            <w:tcW w:w="1329" w:type="dxa"/>
            <w:tcBorders>
              <w:tl2br w:val="nil"/>
              <w:tr2bl w:val="nil"/>
            </w:tcBorders>
            <w:noWrap w:val="0"/>
            <w:vAlign w:val="center"/>
          </w:tcPr>
          <w:p w14:paraId="32F7DB78">
            <w:pPr>
              <w:adjustRightInd w:val="0"/>
              <w:snapToGrid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等效声级</w:t>
            </w:r>
          </w:p>
        </w:tc>
        <w:tc>
          <w:tcPr>
            <w:tcW w:w="1888" w:type="dxa"/>
            <w:tcBorders>
              <w:tl2br w:val="nil"/>
              <w:tr2bl w:val="nil"/>
            </w:tcBorders>
            <w:noWrap w:val="0"/>
            <w:vAlign w:val="center"/>
          </w:tcPr>
          <w:p w14:paraId="67C872BF">
            <w:pPr>
              <w:adjustRightInd w:val="0"/>
              <w:snapToGrid w:val="0"/>
              <w:jc w:val="center"/>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选用低噪环保设备，设备定期保养维护</w:t>
            </w:r>
          </w:p>
        </w:tc>
        <w:tc>
          <w:tcPr>
            <w:tcW w:w="2541" w:type="dxa"/>
            <w:tcBorders>
              <w:tl2br w:val="nil"/>
              <w:tr2bl w:val="nil"/>
            </w:tcBorders>
            <w:noWrap w:val="0"/>
            <w:vAlign w:val="center"/>
          </w:tcPr>
          <w:p w14:paraId="2FDDD30F">
            <w:pPr>
              <w:adjustRightInd w:val="0"/>
              <w:snapToGrid w:val="0"/>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《工业企业厂界环境噪声排放标准》（GB 12348-2008）3</w:t>
            </w:r>
            <w:r>
              <w:rPr>
                <w:rFonts w:hint="default" w:ascii="Times New Roman" w:hAnsi="Times New Roman" w:eastAsia="宋体" w:cs="Times New Roman"/>
                <w:color w:val="auto"/>
                <w:sz w:val="22"/>
                <w:szCs w:val="22"/>
                <w:lang w:val="en-US" w:eastAsia="zh-CN"/>
              </w:rPr>
              <w:t>类标准</w:t>
            </w:r>
          </w:p>
        </w:tc>
      </w:tr>
      <w:tr w14:paraId="31733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97" w:type="dxa"/>
            <w:tcBorders>
              <w:tl2br w:val="nil"/>
              <w:tr2bl w:val="nil"/>
            </w:tcBorders>
            <w:noWrap w:val="0"/>
            <w:vAlign w:val="center"/>
          </w:tcPr>
          <w:p w14:paraId="6A8C5E65">
            <w:pPr>
              <w:adjustRightInd w:val="0"/>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电磁辐射</w:t>
            </w:r>
          </w:p>
        </w:tc>
        <w:tc>
          <w:tcPr>
            <w:tcW w:w="1745" w:type="dxa"/>
            <w:tcBorders>
              <w:tl2br w:val="nil"/>
              <w:tr2bl w:val="nil"/>
            </w:tcBorders>
            <w:noWrap w:val="0"/>
            <w:vAlign w:val="center"/>
          </w:tcPr>
          <w:p w14:paraId="2E3910BA">
            <w:pPr>
              <w:adjustRightInd w:val="0"/>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lang w:val="en-US" w:eastAsia="zh-CN"/>
              </w:rPr>
              <w:t>/</w:t>
            </w:r>
          </w:p>
        </w:tc>
        <w:tc>
          <w:tcPr>
            <w:tcW w:w="1329" w:type="dxa"/>
            <w:tcBorders>
              <w:tl2br w:val="nil"/>
              <w:tr2bl w:val="nil"/>
            </w:tcBorders>
            <w:noWrap w:val="0"/>
            <w:vAlign w:val="center"/>
          </w:tcPr>
          <w:p w14:paraId="69BC614A">
            <w:pPr>
              <w:adjustRightInd w:val="0"/>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lang w:val="en-US" w:eastAsia="zh-CN"/>
              </w:rPr>
              <w:t>/</w:t>
            </w:r>
          </w:p>
        </w:tc>
        <w:tc>
          <w:tcPr>
            <w:tcW w:w="1888" w:type="dxa"/>
            <w:tcBorders>
              <w:tl2br w:val="nil"/>
              <w:tr2bl w:val="nil"/>
            </w:tcBorders>
            <w:noWrap w:val="0"/>
            <w:vAlign w:val="center"/>
          </w:tcPr>
          <w:p w14:paraId="462F4859">
            <w:pPr>
              <w:adjustRightInd w:val="0"/>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lang w:val="en-US" w:eastAsia="zh-CN"/>
              </w:rPr>
              <w:t>/</w:t>
            </w:r>
          </w:p>
        </w:tc>
        <w:tc>
          <w:tcPr>
            <w:tcW w:w="2541" w:type="dxa"/>
            <w:tcBorders>
              <w:tl2br w:val="nil"/>
              <w:tr2bl w:val="nil"/>
            </w:tcBorders>
            <w:noWrap w:val="0"/>
            <w:vAlign w:val="center"/>
          </w:tcPr>
          <w:p w14:paraId="6132DFED">
            <w:pPr>
              <w:adjustRightInd w:val="0"/>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lang w:val="en-US" w:eastAsia="zh-CN"/>
              </w:rPr>
              <w:t>/</w:t>
            </w:r>
          </w:p>
        </w:tc>
      </w:tr>
      <w:tr w14:paraId="2644C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97" w:type="dxa"/>
            <w:tcBorders>
              <w:tl2br w:val="nil"/>
              <w:tr2bl w:val="nil"/>
            </w:tcBorders>
            <w:noWrap w:val="0"/>
            <w:vAlign w:val="center"/>
          </w:tcPr>
          <w:p w14:paraId="3DAAA0D2">
            <w:pPr>
              <w:adjustRightInd w:val="0"/>
              <w:snapToGrid w:val="0"/>
              <w:jc w:val="both"/>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固体废物</w:t>
            </w:r>
          </w:p>
        </w:tc>
        <w:tc>
          <w:tcPr>
            <w:tcW w:w="7503" w:type="dxa"/>
            <w:gridSpan w:val="4"/>
            <w:tcBorders>
              <w:tl2br w:val="nil"/>
              <w:tr2bl w:val="nil"/>
            </w:tcBorders>
            <w:noWrap w:val="0"/>
            <w:vAlign w:val="center"/>
          </w:tcPr>
          <w:p w14:paraId="76620E89">
            <w:pPr>
              <w:adjustRightInd w:val="0"/>
              <w:snapToGrid w:val="0"/>
              <w:jc w:val="both"/>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kern w:val="0"/>
                <w:sz w:val="22"/>
                <w:szCs w:val="22"/>
                <w:vertAlign w:val="baseline"/>
                <w:lang w:val="en-US" w:eastAsia="zh-CN"/>
              </w:rPr>
              <w:t>① 一般固废：依托现有一般固废暂存间，</w:t>
            </w:r>
            <w:r>
              <w:rPr>
                <w:rFonts w:hint="eastAsia" w:ascii="Times New Roman" w:hAnsi="Times New Roman" w:eastAsia="宋体" w:cs="宋体"/>
                <w:bCs/>
                <w:color w:val="auto"/>
                <w:sz w:val="22"/>
                <w:szCs w:val="22"/>
                <w:lang w:val="en-US" w:eastAsia="zh-CN" w:bidi="ar"/>
              </w:rPr>
              <w:t>位于厂区北侧</w:t>
            </w:r>
            <w:r>
              <w:rPr>
                <w:rFonts w:hint="eastAsia" w:ascii="Times New Roman" w:hAnsi="Times New Roman" w:eastAsia="宋体" w:cs="宋体"/>
                <w:bCs/>
                <w:color w:val="auto"/>
                <w:sz w:val="22"/>
                <w:szCs w:val="22"/>
                <w:lang w:bidi="ar"/>
              </w:rPr>
              <w:t>，</w:t>
            </w:r>
            <w:r>
              <w:rPr>
                <w:rFonts w:hint="eastAsia" w:ascii="Times New Roman" w:hAnsi="Times New Roman" w:eastAsia="宋体" w:cs="宋体"/>
                <w:bCs/>
                <w:color w:val="auto"/>
                <w:sz w:val="22"/>
                <w:szCs w:val="22"/>
                <w:lang w:val="en-US" w:eastAsia="zh-CN" w:bidi="ar"/>
              </w:rPr>
              <w:t>占地</w:t>
            </w:r>
            <w:r>
              <w:rPr>
                <w:rFonts w:hint="eastAsia" w:ascii="Times New Roman" w:hAnsi="Times New Roman" w:eastAsia="宋体" w:cs="宋体"/>
                <w:bCs/>
                <w:color w:val="auto"/>
                <w:sz w:val="22"/>
                <w:szCs w:val="22"/>
                <w:lang w:bidi="ar"/>
              </w:rPr>
              <w:t>面积约</w:t>
            </w:r>
            <w:r>
              <w:rPr>
                <w:rFonts w:hint="eastAsia" w:ascii="Times New Roman" w:hAnsi="Times New Roman" w:eastAsia="宋体" w:cs="宋体"/>
                <w:bCs/>
                <w:color w:val="auto"/>
                <w:sz w:val="22"/>
                <w:szCs w:val="22"/>
                <w:lang w:val="en-US" w:eastAsia="zh-CN" w:bidi="ar"/>
              </w:rPr>
              <w:t>50</w:t>
            </w:r>
            <w:r>
              <w:rPr>
                <w:rFonts w:hint="eastAsia" w:ascii="Times New Roman" w:hAnsi="Times New Roman" w:eastAsia="宋体" w:cs="宋体"/>
                <w:bCs/>
                <w:color w:val="auto"/>
                <w:sz w:val="22"/>
                <w:szCs w:val="22"/>
                <w:lang w:bidi="ar"/>
              </w:rPr>
              <w:t>m</w:t>
            </w:r>
            <w:r>
              <w:rPr>
                <w:rFonts w:hint="eastAsia" w:ascii="Times New Roman" w:hAnsi="Times New Roman" w:eastAsia="宋体" w:cs="宋体"/>
                <w:bCs/>
                <w:color w:val="auto"/>
                <w:sz w:val="22"/>
                <w:szCs w:val="22"/>
                <w:vertAlign w:val="superscript"/>
                <w:lang w:bidi="ar"/>
              </w:rPr>
              <w:t>2</w:t>
            </w:r>
            <w:r>
              <w:rPr>
                <w:rFonts w:hint="eastAsia" w:ascii="Times New Roman" w:hAnsi="Times New Roman" w:eastAsia="宋体" w:cs="宋体"/>
                <w:bCs/>
                <w:color w:val="auto"/>
                <w:sz w:val="22"/>
                <w:szCs w:val="22"/>
                <w:lang w:bidi="ar"/>
              </w:rPr>
              <w:t>，用于暂存一般固体废物</w:t>
            </w:r>
            <w:r>
              <w:rPr>
                <w:rFonts w:hint="eastAsia" w:ascii="Times New Roman" w:hAnsi="Times New Roman" w:eastAsia="宋体" w:cs="Times New Roman"/>
                <w:color w:val="auto"/>
                <w:sz w:val="22"/>
                <w:szCs w:val="22"/>
                <w:lang w:val="en-US" w:eastAsia="zh-CN"/>
              </w:rPr>
              <w:t>；</w:t>
            </w:r>
          </w:p>
          <w:p w14:paraId="6963A5B3">
            <w:pPr>
              <w:adjustRightInd w:val="0"/>
              <w:snapToGrid w:val="0"/>
              <w:jc w:val="both"/>
              <w:rPr>
                <w:rFonts w:hint="eastAsia" w:ascii="Times New Roman" w:hAnsi="Times New Roman" w:eastAsia="宋体" w:cs="Times New Roman"/>
                <w:color w:val="auto"/>
                <w:sz w:val="22"/>
                <w:szCs w:val="22"/>
                <w:vertAlign w:val="superscript"/>
                <w:lang w:val="en-US" w:eastAsia="zh-CN"/>
              </w:rPr>
            </w:pPr>
            <w:r>
              <w:rPr>
                <w:rFonts w:hint="eastAsia" w:ascii="Times New Roman" w:hAnsi="Times New Roman" w:eastAsia="宋体" w:cs="Times New Roman"/>
                <w:color w:val="auto"/>
                <w:sz w:val="22"/>
                <w:szCs w:val="22"/>
                <w:lang w:val="en-US" w:eastAsia="zh-CN"/>
              </w:rPr>
              <w:t xml:space="preserve">② </w:t>
            </w:r>
            <w:r>
              <w:rPr>
                <w:rFonts w:hint="eastAsia" w:ascii="Times New Roman" w:hAnsi="Times New Roman" w:eastAsia="宋体" w:cs="Times New Roman"/>
                <w:color w:val="auto"/>
                <w:kern w:val="0"/>
                <w:sz w:val="22"/>
                <w:szCs w:val="22"/>
                <w:vertAlign w:val="baseline"/>
                <w:lang w:val="en-US" w:eastAsia="zh-CN"/>
              </w:rPr>
              <w:t>危险废物：依托现有危废贮存库，</w:t>
            </w:r>
            <w:r>
              <w:rPr>
                <w:rFonts w:hint="eastAsia" w:ascii="Times New Roman" w:hAnsi="Times New Roman" w:eastAsia="宋体" w:cs="宋体"/>
                <w:bCs/>
                <w:color w:val="auto"/>
                <w:sz w:val="22"/>
                <w:szCs w:val="22"/>
                <w:lang w:val="en-US" w:eastAsia="zh-CN" w:bidi="ar"/>
              </w:rPr>
              <w:t>位于厂区北侧，占地面积约200m</w:t>
            </w:r>
            <w:r>
              <w:rPr>
                <w:rFonts w:hint="eastAsia" w:ascii="Times New Roman" w:hAnsi="Times New Roman" w:eastAsia="宋体" w:cs="宋体"/>
                <w:bCs/>
                <w:color w:val="auto"/>
                <w:sz w:val="22"/>
                <w:szCs w:val="22"/>
                <w:vertAlign w:val="superscript"/>
                <w:lang w:bidi="ar"/>
              </w:rPr>
              <w:t>2</w:t>
            </w:r>
            <w:r>
              <w:rPr>
                <w:rFonts w:hint="eastAsia" w:ascii="Times New Roman" w:hAnsi="Times New Roman" w:eastAsia="宋体" w:cs="宋体"/>
                <w:bCs/>
                <w:color w:val="auto"/>
                <w:sz w:val="22"/>
                <w:szCs w:val="22"/>
                <w:lang w:bidi="ar"/>
              </w:rPr>
              <w:t>，</w:t>
            </w:r>
            <w:r>
              <w:rPr>
                <w:rFonts w:hint="eastAsia" w:ascii="Times New Roman" w:hAnsi="Times New Roman" w:eastAsia="宋体" w:cs="宋体"/>
                <w:bCs/>
                <w:color w:val="auto"/>
                <w:sz w:val="22"/>
                <w:szCs w:val="22"/>
                <w:lang w:val="en-US" w:eastAsia="zh-CN" w:bidi="ar"/>
              </w:rPr>
              <w:t>用于暂存危险废物。</w:t>
            </w:r>
            <w:r>
              <w:rPr>
                <w:rFonts w:hint="eastAsia" w:ascii="Times New Roman" w:hAnsi="Times New Roman" w:eastAsia="宋体" w:cs="Times New Roman"/>
                <w:color w:val="auto"/>
                <w:kern w:val="0"/>
                <w:sz w:val="22"/>
                <w:szCs w:val="22"/>
                <w:vertAlign w:val="baseline"/>
                <w:lang w:val="en-US" w:eastAsia="zh-CN"/>
              </w:rPr>
              <w:t>危废贮存库按照《危险废物贮存污染控制标准》（GB18597-2023）相关要求进行建设，进行防风、防雨、防晒、防渗、防漏、防腐处置，液态危险废物贮存设施下方设置托盘。</w:t>
            </w:r>
          </w:p>
          <w:p w14:paraId="2B370261">
            <w:pPr>
              <w:adjustRightInd w:val="0"/>
              <w:snapToGrid w:val="0"/>
              <w:jc w:val="both"/>
              <w:rPr>
                <w:rFonts w:hint="eastAsia" w:eastAsia="宋体"/>
                <w:color w:val="auto"/>
                <w:sz w:val="22"/>
                <w:szCs w:val="22"/>
                <w:lang w:val="en-US" w:eastAsia="zh-CN"/>
              </w:rPr>
            </w:pPr>
            <w:r>
              <w:rPr>
                <w:rFonts w:hint="eastAsia" w:ascii="Times New Roman" w:hAnsi="Times New Roman" w:eastAsia="宋体" w:cs="Times New Roman"/>
                <w:color w:val="auto"/>
                <w:sz w:val="22"/>
                <w:szCs w:val="22"/>
                <w:lang w:val="en-US" w:eastAsia="zh-CN"/>
              </w:rPr>
              <w:t xml:space="preserve">③ </w:t>
            </w:r>
            <w:r>
              <w:rPr>
                <w:rFonts w:hint="eastAsia" w:ascii="Times New Roman" w:hAnsi="Times New Roman" w:eastAsia="宋体" w:cs="Times New Roman"/>
                <w:color w:val="auto"/>
                <w:kern w:val="0"/>
                <w:sz w:val="22"/>
                <w:szCs w:val="22"/>
                <w:vertAlign w:val="baseline"/>
                <w:lang w:val="en-US" w:eastAsia="zh-CN"/>
              </w:rPr>
              <w:t>生活垃圾：</w:t>
            </w:r>
            <w:r>
              <w:rPr>
                <w:rFonts w:hint="eastAsia" w:ascii="Times New Roman" w:hAnsi="Times New Roman" w:eastAsia="宋体" w:cs="宋体"/>
                <w:bCs/>
                <w:color w:val="auto"/>
                <w:sz w:val="22"/>
                <w:szCs w:val="22"/>
                <w:lang w:bidi="ar"/>
              </w:rPr>
              <w:t>生活垃圾经集中收集后交由环卫部门统一处理</w:t>
            </w:r>
            <w:r>
              <w:rPr>
                <w:rFonts w:hint="eastAsia" w:ascii="Times New Roman" w:hAnsi="Times New Roman" w:eastAsia="宋体" w:cs="Times New Roman"/>
                <w:color w:val="auto"/>
                <w:sz w:val="22"/>
                <w:szCs w:val="22"/>
                <w:lang w:eastAsia="zh-CN"/>
              </w:rPr>
              <w:t>。</w:t>
            </w:r>
          </w:p>
        </w:tc>
      </w:tr>
      <w:tr w14:paraId="7E183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97" w:type="dxa"/>
            <w:tcBorders>
              <w:tl2br w:val="nil"/>
              <w:tr2bl w:val="nil"/>
            </w:tcBorders>
            <w:noWrap w:val="0"/>
            <w:vAlign w:val="center"/>
          </w:tcPr>
          <w:p w14:paraId="7BD12B38">
            <w:pPr>
              <w:adjustRightInd w:val="0"/>
              <w:snapToGrid w:val="0"/>
              <w:jc w:val="both"/>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土壤及地下水污染防治措施</w:t>
            </w:r>
          </w:p>
        </w:tc>
        <w:tc>
          <w:tcPr>
            <w:tcW w:w="7503" w:type="dxa"/>
            <w:gridSpan w:val="4"/>
            <w:tcBorders>
              <w:tl2br w:val="nil"/>
              <w:tr2bl w:val="nil"/>
            </w:tcBorders>
            <w:noWrap w:val="0"/>
            <w:vAlign w:val="center"/>
          </w:tcPr>
          <w:p w14:paraId="7E93461F">
            <w:pPr>
              <w:adjustRightInd w:val="0"/>
              <w:snapToGrid w:val="0"/>
              <w:jc w:val="both"/>
              <w:rPr>
                <w:rFonts w:hint="default"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lang w:val="en-US" w:eastAsia="zh-CN"/>
              </w:rPr>
              <w:t>厂区按照分区防渗原则，对</w:t>
            </w:r>
            <w:r>
              <w:rPr>
                <w:rFonts w:hint="eastAsia" w:ascii="Times New Roman" w:hAnsi="Times New Roman" w:eastAsia="宋体" w:cs="Times New Roman"/>
                <w:color w:val="auto"/>
                <w:sz w:val="22"/>
                <w:szCs w:val="22"/>
                <w:lang w:val="en-US" w:eastAsia="zh-CN"/>
              </w:rPr>
              <w:t>危废贮存库、油库</w:t>
            </w:r>
            <w:r>
              <w:rPr>
                <w:rFonts w:hint="default" w:ascii="Times New Roman" w:hAnsi="Times New Roman" w:eastAsia="宋体" w:cs="Times New Roman"/>
                <w:color w:val="auto"/>
                <w:sz w:val="22"/>
                <w:szCs w:val="22"/>
                <w:lang w:val="en-US" w:eastAsia="zh-CN"/>
              </w:rPr>
              <w:t>进行重点防渗，</w:t>
            </w:r>
            <w:r>
              <w:rPr>
                <w:rFonts w:hint="eastAsia" w:ascii="Times New Roman" w:hAnsi="Times New Roman" w:eastAsia="宋体" w:cs="Times New Roman"/>
                <w:color w:val="auto"/>
                <w:sz w:val="22"/>
                <w:szCs w:val="22"/>
                <w:lang w:val="en-US" w:eastAsia="zh-CN"/>
              </w:rPr>
              <w:t>重点防渗区域应满足等效黏土防渗层Mb≥6.0m，K≤1×10</w:t>
            </w:r>
            <w:r>
              <w:rPr>
                <w:rFonts w:hint="eastAsia" w:ascii="Times New Roman" w:hAnsi="Times New Roman" w:eastAsia="宋体" w:cs="Times New Roman"/>
                <w:color w:val="auto"/>
                <w:sz w:val="22"/>
                <w:szCs w:val="22"/>
                <w:vertAlign w:val="superscript"/>
                <w:lang w:val="en-US" w:eastAsia="zh-CN"/>
              </w:rPr>
              <w:t>-7</w:t>
            </w:r>
            <w:r>
              <w:rPr>
                <w:rFonts w:hint="eastAsia" w:ascii="Times New Roman" w:hAnsi="Times New Roman" w:eastAsia="宋体" w:cs="Times New Roman"/>
                <w:color w:val="auto"/>
                <w:sz w:val="22"/>
                <w:szCs w:val="22"/>
                <w:lang w:val="en-US" w:eastAsia="zh-CN"/>
              </w:rPr>
              <w:t>cm/s等要求。同时危废贮存库还应满足</w:t>
            </w:r>
            <w:r>
              <w:rPr>
                <w:rFonts w:hint="default" w:ascii="Times New Roman" w:hAnsi="Times New Roman" w:eastAsia="宋体" w:cs="Times New Roman"/>
                <w:color w:val="auto"/>
                <w:sz w:val="22"/>
                <w:szCs w:val="22"/>
                <w:lang w:val="en-US" w:eastAsia="zh-CN"/>
              </w:rPr>
              <w:t>《危险废物贮存污染控制标准》（</w:t>
            </w:r>
            <w:r>
              <w:rPr>
                <w:rFonts w:hint="eastAsia" w:ascii="Times New Roman" w:hAnsi="Times New Roman" w:eastAsia="宋体" w:cs="Times New Roman"/>
                <w:color w:val="auto"/>
                <w:sz w:val="22"/>
                <w:szCs w:val="22"/>
                <w:lang w:val="en-US" w:eastAsia="zh-CN"/>
              </w:rPr>
              <w:t>GB 18597-2023</w:t>
            </w:r>
            <w:r>
              <w:rPr>
                <w:rFonts w:hint="default" w:ascii="Times New Roman" w:hAnsi="Times New Roman" w:eastAsia="宋体" w:cs="Times New Roman"/>
                <w:color w:val="auto"/>
                <w:sz w:val="22"/>
                <w:szCs w:val="22"/>
                <w:lang w:val="en-US" w:eastAsia="zh-CN"/>
              </w:rPr>
              <w:t>）</w:t>
            </w:r>
            <w:r>
              <w:rPr>
                <w:rFonts w:hint="eastAsia" w:ascii="Times New Roman" w:hAnsi="Times New Roman" w:eastAsia="宋体" w:cs="Times New Roman"/>
                <w:color w:val="auto"/>
                <w:sz w:val="22"/>
                <w:szCs w:val="22"/>
                <w:lang w:val="en-US" w:eastAsia="zh-CN"/>
              </w:rPr>
              <w:t>相关要求</w:t>
            </w:r>
            <w:r>
              <w:rPr>
                <w:rFonts w:hint="default" w:ascii="Times New Roman" w:hAnsi="Times New Roman" w:eastAsia="宋体" w:cs="Times New Roman"/>
                <w:color w:val="auto"/>
                <w:sz w:val="22"/>
                <w:szCs w:val="22"/>
                <w:lang w:val="en-US" w:eastAsia="zh-CN"/>
              </w:rPr>
              <w:t>采取防风、防雨、防晒、防渗</w:t>
            </w:r>
            <w:r>
              <w:rPr>
                <w:rFonts w:hint="eastAsia" w:ascii="Times New Roman" w:hAnsi="Times New Roman" w:eastAsia="宋体" w:cs="Times New Roman"/>
                <w:color w:val="auto"/>
                <w:sz w:val="22"/>
                <w:szCs w:val="22"/>
                <w:lang w:val="en-US" w:eastAsia="zh-CN"/>
              </w:rPr>
              <w:t>、防</w:t>
            </w:r>
            <w:r>
              <w:rPr>
                <w:rFonts w:hint="default" w:ascii="Times New Roman" w:hAnsi="Times New Roman" w:eastAsia="宋体" w:cs="Times New Roman"/>
                <w:color w:val="auto"/>
                <w:sz w:val="22"/>
                <w:szCs w:val="22"/>
                <w:lang w:val="en-US" w:eastAsia="zh-CN"/>
              </w:rPr>
              <w:t>漏</w:t>
            </w:r>
            <w:r>
              <w:rPr>
                <w:rFonts w:hint="eastAsia" w:ascii="Times New Roman" w:hAnsi="Times New Roman" w:eastAsia="宋体" w:cs="Times New Roman"/>
                <w:color w:val="auto"/>
                <w:sz w:val="22"/>
                <w:szCs w:val="22"/>
                <w:lang w:val="en-US" w:eastAsia="zh-CN"/>
              </w:rPr>
              <w:t>、防腐</w:t>
            </w:r>
            <w:r>
              <w:rPr>
                <w:rFonts w:hint="default" w:ascii="Times New Roman" w:hAnsi="Times New Roman" w:eastAsia="宋体" w:cs="Times New Roman"/>
                <w:color w:val="auto"/>
                <w:sz w:val="22"/>
                <w:szCs w:val="22"/>
                <w:lang w:val="en-US" w:eastAsia="zh-CN"/>
              </w:rPr>
              <w:t>等措施，除了上述重点防渗区以外的其它生产区采取一般防渗</w:t>
            </w:r>
            <w:r>
              <w:rPr>
                <w:rFonts w:hint="eastAsia" w:ascii="Times New Roman" w:hAnsi="Times New Roman" w:eastAsia="宋体" w:cs="Times New Roman"/>
                <w:color w:val="auto"/>
                <w:sz w:val="22"/>
                <w:szCs w:val="22"/>
                <w:lang w:val="en-US" w:eastAsia="zh-CN"/>
              </w:rPr>
              <w:t>要求，其余区域采取简单防渗即可。</w:t>
            </w:r>
          </w:p>
        </w:tc>
      </w:tr>
      <w:tr w14:paraId="69F973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97" w:type="dxa"/>
            <w:tcBorders>
              <w:tl2br w:val="nil"/>
              <w:tr2bl w:val="nil"/>
            </w:tcBorders>
            <w:noWrap w:val="0"/>
            <w:vAlign w:val="center"/>
          </w:tcPr>
          <w:p w14:paraId="18579197">
            <w:pPr>
              <w:adjustRightInd w:val="0"/>
              <w:snapToGrid w:val="0"/>
              <w:jc w:val="both"/>
              <w:rPr>
                <w:rFonts w:hint="default" w:ascii="Times New Roman" w:hAnsi="Times New Roman" w:cs="Times New Roman"/>
                <w:color w:val="auto"/>
                <w:sz w:val="22"/>
                <w:szCs w:val="22"/>
              </w:rPr>
            </w:pPr>
            <w:r>
              <w:rPr>
                <w:rFonts w:hint="default" w:ascii="Times New Roman" w:hAnsi="Times New Roman" w:cs="Times New Roman"/>
                <w:color w:val="auto"/>
                <w:sz w:val="22"/>
                <w:szCs w:val="22"/>
              </w:rPr>
              <w:t>生态保护措施</w:t>
            </w:r>
          </w:p>
        </w:tc>
        <w:tc>
          <w:tcPr>
            <w:tcW w:w="7503" w:type="dxa"/>
            <w:gridSpan w:val="4"/>
            <w:tcBorders>
              <w:tl2br w:val="nil"/>
              <w:tr2bl w:val="nil"/>
            </w:tcBorders>
            <w:noWrap w:val="0"/>
            <w:vAlign w:val="center"/>
          </w:tcPr>
          <w:p w14:paraId="492127E9">
            <w:pPr>
              <w:adjustRightInd w:val="0"/>
              <w:snapToGrid w:val="0"/>
              <w:jc w:val="both"/>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r>
      <w:tr w14:paraId="65D4B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97" w:type="dxa"/>
            <w:tcBorders>
              <w:tl2br w:val="nil"/>
              <w:tr2bl w:val="nil"/>
            </w:tcBorders>
            <w:noWrap w:val="0"/>
            <w:vAlign w:val="center"/>
          </w:tcPr>
          <w:p w14:paraId="41741773">
            <w:pPr>
              <w:adjustRightInd w:val="0"/>
              <w:snapToGrid w:val="0"/>
              <w:jc w:val="both"/>
              <w:rPr>
                <w:rFonts w:hint="default" w:ascii="Times New Roman" w:hAnsi="Times New Roman" w:cs="Times New Roman"/>
                <w:color w:val="auto"/>
                <w:spacing w:val="-8"/>
                <w:sz w:val="22"/>
                <w:szCs w:val="22"/>
              </w:rPr>
            </w:pPr>
            <w:r>
              <w:rPr>
                <w:rFonts w:hint="default" w:ascii="Times New Roman" w:hAnsi="Times New Roman" w:cs="Times New Roman"/>
                <w:color w:val="auto"/>
                <w:spacing w:val="-8"/>
                <w:sz w:val="22"/>
                <w:szCs w:val="22"/>
              </w:rPr>
              <w:t>环境风险</w:t>
            </w:r>
          </w:p>
          <w:p w14:paraId="5562AD5F">
            <w:pPr>
              <w:adjustRightInd w:val="0"/>
              <w:snapToGrid w:val="0"/>
              <w:jc w:val="both"/>
              <w:rPr>
                <w:rFonts w:hint="default" w:ascii="Times New Roman" w:hAnsi="Times New Roman" w:cs="Times New Roman"/>
                <w:color w:val="auto"/>
                <w:spacing w:val="-8"/>
                <w:sz w:val="22"/>
                <w:szCs w:val="22"/>
              </w:rPr>
            </w:pPr>
            <w:r>
              <w:rPr>
                <w:rFonts w:hint="default" w:ascii="Times New Roman" w:hAnsi="Times New Roman" w:cs="Times New Roman"/>
                <w:color w:val="auto"/>
                <w:spacing w:val="-8"/>
                <w:sz w:val="22"/>
                <w:szCs w:val="22"/>
              </w:rPr>
              <w:t>防范措施</w:t>
            </w:r>
          </w:p>
        </w:tc>
        <w:tc>
          <w:tcPr>
            <w:tcW w:w="7503" w:type="dxa"/>
            <w:gridSpan w:val="4"/>
            <w:tcBorders>
              <w:tl2br w:val="nil"/>
              <w:tr2bl w:val="nil"/>
            </w:tcBorders>
            <w:noWrap w:val="0"/>
            <w:vAlign w:val="center"/>
          </w:tcPr>
          <w:p w14:paraId="49877D2B">
            <w:pPr>
              <w:numPr>
                <w:ilvl w:val="0"/>
                <w:numId w:val="0"/>
              </w:numPr>
              <w:adjustRightInd w:val="0"/>
              <w:snapToGrid w:val="0"/>
              <w:jc w:val="both"/>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① 项</w:t>
            </w:r>
            <w:r>
              <w:rPr>
                <w:rFonts w:hint="eastAsia" w:ascii="Times New Roman" w:hAnsi="Times New Roman" w:eastAsia="宋体" w:cs="Times New Roman"/>
                <w:color w:val="auto"/>
                <w:kern w:val="0"/>
                <w:sz w:val="22"/>
                <w:szCs w:val="22"/>
                <w:vertAlign w:val="baseline"/>
                <w:lang w:val="en-US" w:eastAsia="zh-CN"/>
              </w:rPr>
              <w:t>目</w:t>
            </w:r>
            <w:r>
              <w:rPr>
                <w:rFonts w:hint="eastAsia" w:ascii="Times New Roman" w:hAnsi="Times New Roman" w:eastAsia="宋体" w:cs="Times New Roman"/>
                <w:color w:val="auto"/>
                <w:sz w:val="22"/>
                <w:szCs w:val="22"/>
                <w:lang w:val="en-US" w:eastAsia="zh-CN"/>
              </w:rPr>
              <w:t>油库进行重点防渗处置，油桶下方设置托盘。</w:t>
            </w:r>
          </w:p>
          <w:p w14:paraId="4C1B6569">
            <w:pPr>
              <w:numPr>
                <w:ilvl w:val="0"/>
                <w:numId w:val="0"/>
              </w:numPr>
              <w:adjustRightInd w:val="0"/>
              <w:snapToGrid w:val="0"/>
              <w:jc w:val="both"/>
              <w:rPr>
                <w:rFonts w:hint="eastAsia"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sz w:val="22"/>
                <w:szCs w:val="22"/>
                <w:lang w:val="en-US" w:eastAsia="zh-CN"/>
              </w:rPr>
              <w:t xml:space="preserve">② </w:t>
            </w:r>
            <w:r>
              <w:rPr>
                <w:rFonts w:hint="eastAsia" w:ascii="Times New Roman" w:hAnsi="Times New Roman" w:eastAsia="宋体" w:cs="Times New Roman"/>
                <w:color w:val="auto"/>
                <w:kern w:val="0"/>
                <w:sz w:val="22"/>
                <w:szCs w:val="22"/>
                <w:vertAlign w:val="baseline"/>
                <w:lang w:val="en-US" w:eastAsia="zh-CN"/>
              </w:rPr>
              <w:t>危废贮存库按照《危险废物贮存污染控制标准》（GB18597-2023）相关要求进行建设，进行防风、防雨、防晒、防渗、防漏、防腐处置，液态危险废物贮存设施下方设置托盘。</w:t>
            </w:r>
          </w:p>
          <w:p w14:paraId="1D8F7D6E">
            <w:pPr>
              <w:numPr>
                <w:ilvl w:val="0"/>
                <w:numId w:val="0"/>
              </w:numPr>
              <w:adjustRightInd w:val="0"/>
              <w:snapToGrid w:val="0"/>
              <w:jc w:val="both"/>
              <w:rPr>
                <w:rFonts w:hint="eastAsia" w:ascii="Times New Roman" w:hAnsi="Times New Roman" w:eastAsia="宋体" w:cs="Times New Roman"/>
                <w:color w:val="auto"/>
                <w:kern w:val="0"/>
                <w:sz w:val="22"/>
                <w:szCs w:val="22"/>
                <w:vertAlign w:val="baseline"/>
                <w:lang w:val="en-US" w:eastAsia="zh-CN"/>
              </w:rPr>
            </w:pPr>
            <w:r>
              <w:rPr>
                <w:rFonts w:hint="eastAsia" w:ascii="Times New Roman" w:hAnsi="Times New Roman" w:eastAsia="宋体" w:cs="Times New Roman"/>
                <w:color w:val="auto"/>
                <w:kern w:val="0"/>
                <w:sz w:val="22"/>
                <w:szCs w:val="22"/>
                <w:vertAlign w:val="baseline"/>
                <w:lang w:val="en-US" w:eastAsia="zh-CN"/>
              </w:rPr>
              <w:t>③ 铝灰渣定期及时转运，防止铝灰渣大量的堆积，减少环境风险事故的发生。同时铝灰暂存区和铝回收装置区应位于室内，设置有毒气体（氨）报警装置和除湿机，保证周边环境地面干燥、周围无渗漏雨水点。</w:t>
            </w:r>
          </w:p>
          <w:p w14:paraId="35D9B78F">
            <w:pPr>
              <w:numPr>
                <w:ilvl w:val="0"/>
                <w:numId w:val="0"/>
              </w:numPr>
              <w:adjustRightInd w:val="0"/>
              <w:snapToGrid w:val="0"/>
              <w:jc w:val="both"/>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kern w:val="0"/>
                <w:sz w:val="22"/>
                <w:szCs w:val="22"/>
                <w:vertAlign w:val="baseline"/>
                <w:lang w:val="en-US" w:eastAsia="zh-CN"/>
              </w:rPr>
              <w:t xml:space="preserve">④ </w:t>
            </w:r>
            <w:r>
              <w:rPr>
                <w:rFonts w:hint="eastAsia" w:ascii="Times New Roman" w:hAnsi="Times New Roman" w:eastAsia="宋体" w:cs="宋体"/>
                <w:bCs/>
                <w:color w:val="auto"/>
                <w:sz w:val="22"/>
                <w:szCs w:val="22"/>
                <w:lang w:val="en-US" w:eastAsia="zh-CN" w:bidi="ar"/>
              </w:rPr>
              <w:t>天然气熔炼炉均设置有气体报警仪。</w:t>
            </w:r>
          </w:p>
        </w:tc>
      </w:tr>
      <w:tr w14:paraId="35E42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297" w:type="dxa"/>
            <w:tcBorders>
              <w:tl2br w:val="nil"/>
              <w:tr2bl w:val="nil"/>
            </w:tcBorders>
            <w:noWrap w:val="0"/>
            <w:vAlign w:val="center"/>
          </w:tcPr>
          <w:p w14:paraId="7CA182CB">
            <w:pPr>
              <w:adjustRightInd w:val="0"/>
              <w:snapToGrid w:val="0"/>
              <w:jc w:val="both"/>
              <w:rPr>
                <w:rFonts w:hint="default" w:ascii="Times New Roman" w:hAnsi="Times New Roman" w:cs="Times New Roman"/>
                <w:color w:val="auto"/>
                <w:spacing w:val="-8"/>
                <w:sz w:val="22"/>
                <w:szCs w:val="22"/>
              </w:rPr>
            </w:pPr>
            <w:r>
              <w:rPr>
                <w:rFonts w:hint="default" w:ascii="Times New Roman" w:hAnsi="Times New Roman" w:cs="Times New Roman"/>
                <w:color w:val="auto"/>
                <w:spacing w:val="-8"/>
                <w:sz w:val="22"/>
                <w:szCs w:val="22"/>
              </w:rPr>
              <w:t>其他环境</w:t>
            </w:r>
          </w:p>
          <w:p w14:paraId="63A89CC6">
            <w:pPr>
              <w:adjustRightInd w:val="0"/>
              <w:snapToGrid w:val="0"/>
              <w:jc w:val="both"/>
              <w:rPr>
                <w:rFonts w:hint="default" w:ascii="Times New Roman" w:hAnsi="Times New Roman" w:cs="Times New Roman"/>
                <w:color w:val="auto"/>
                <w:spacing w:val="-8"/>
                <w:sz w:val="22"/>
                <w:szCs w:val="22"/>
              </w:rPr>
            </w:pPr>
            <w:r>
              <w:rPr>
                <w:rFonts w:hint="default" w:ascii="Times New Roman" w:hAnsi="Times New Roman" w:cs="Times New Roman"/>
                <w:color w:val="auto"/>
                <w:spacing w:val="-8"/>
                <w:sz w:val="22"/>
                <w:szCs w:val="22"/>
              </w:rPr>
              <w:t>管理要求</w:t>
            </w:r>
          </w:p>
        </w:tc>
        <w:tc>
          <w:tcPr>
            <w:tcW w:w="7503" w:type="dxa"/>
            <w:gridSpan w:val="4"/>
            <w:tcBorders>
              <w:tl2br w:val="nil"/>
              <w:tr2bl w:val="nil"/>
            </w:tcBorders>
            <w:noWrap w:val="0"/>
            <w:vAlign w:val="center"/>
          </w:tcPr>
          <w:p w14:paraId="2DAFC018">
            <w:pPr>
              <w:adjustRightInd w:val="0"/>
              <w:snapToGrid w:val="0"/>
              <w:jc w:val="both"/>
              <w:rPr>
                <w:rFonts w:hint="default" w:ascii="Times New Roman" w:hAnsi="Times New Roman" w:eastAsia="宋体" w:cs="Times New Roman"/>
                <w:color w:val="auto"/>
                <w:sz w:val="22"/>
                <w:szCs w:val="22"/>
                <w:lang w:val="en-US" w:eastAsia="zh-CN"/>
              </w:rPr>
            </w:pPr>
            <w:r>
              <w:rPr>
                <w:rFonts w:hint="default" w:ascii="Times New Roman" w:hAnsi="Times New Roman" w:cs="Times New Roman"/>
                <w:color w:val="auto"/>
                <w:sz w:val="22"/>
                <w:szCs w:val="22"/>
                <w:lang w:val="en-US" w:eastAsia="zh-CN"/>
              </w:rPr>
              <w:t>/</w:t>
            </w:r>
          </w:p>
        </w:tc>
      </w:tr>
    </w:tbl>
    <w:p w14:paraId="677F8235">
      <w:pPr>
        <w:pStyle w:val="2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r>
        <w:rPr>
          <w:rFonts w:hint="default" w:ascii="Times New Roman" w:hAnsi="Times New Roman" w:eastAsia="黑体" w:cs="Times New Roman"/>
          <w:snapToGrid w:val="0"/>
          <w:color w:val="auto"/>
          <w:sz w:val="30"/>
          <w:szCs w:val="30"/>
        </w:rPr>
        <w:t>六、结论</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DCF8A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l2br w:val="nil"/>
              <w:tr2bl w:val="nil"/>
            </w:tcBorders>
            <w:noWrap w:val="0"/>
            <w:vAlign w:val="top"/>
          </w:tcPr>
          <w:p w14:paraId="4B820DDA">
            <w:pPr>
              <w:autoSpaceDE w:val="0"/>
              <w:autoSpaceDN w:val="0"/>
              <w:adjustRightInd w:val="0"/>
              <w:snapToGrid w:val="0"/>
              <w:spacing w:line="460" w:lineRule="exact"/>
              <w:ind w:firstLine="520" w:firstLineChars="200"/>
              <w:rPr>
                <w:rFonts w:hint="default" w:ascii="Times New Roman" w:hAnsi="Times New Roman" w:eastAsia="宋体" w:cs="Times New Roman"/>
                <w:color w:val="auto"/>
                <w:kern w:val="0"/>
                <w:sz w:val="26"/>
                <w:szCs w:val="26"/>
                <w:lang w:val="en-US" w:eastAsia="zh-CN"/>
              </w:rPr>
            </w:pPr>
            <w:r>
              <w:rPr>
                <w:rFonts w:hint="eastAsia" w:ascii="Times New Roman" w:hAnsi="Times New Roman" w:eastAsia="宋体" w:cs="Times New Roman"/>
                <w:color w:val="auto"/>
                <w:kern w:val="0"/>
                <w:sz w:val="26"/>
                <w:szCs w:val="26"/>
                <w:lang w:val="en-US" w:eastAsia="zh-CN"/>
              </w:rPr>
              <w:t>老一区熔炼中心熔铸生产线产能提升项目符合国家产业政策以及相关环保政策。项目选用的生产工艺技术成熟，具有较高的工艺装备水平。项目采用的污染控制措施可靠，污染防治措施技术经济可行，能确保各种污染物稳定达标排放，在实施相应的污染防范和减缓措施后，对环境不会造成明显影响，不会改变区域环境功能。因此，在严格落实各项污染防治措施和风险防范措施后，从环境保护的角度看，本项目的建设是可行的。</w:t>
            </w:r>
          </w:p>
          <w:p w14:paraId="5759BD74">
            <w:pPr>
              <w:spacing w:line="360" w:lineRule="auto"/>
              <w:ind w:firstLine="480" w:firstLineChars="200"/>
              <w:jc w:val="both"/>
              <w:rPr>
                <w:rFonts w:hint="default" w:ascii="Times New Roman" w:hAnsi="Times New Roman" w:cs="Times New Roman"/>
                <w:color w:val="auto"/>
                <w:sz w:val="24"/>
              </w:rPr>
            </w:pPr>
          </w:p>
        </w:tc>
      </w:tr>
    </w:tbl>
    <w:p w14:paraId="717D33FC">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D7FCBDA">
      <w:pPr>
        <w:jc w:val="center"/>
        <w:rPr>
          <w:rFonts w:hint="default" w:ascii="Times New Roman" w:hAnsi="Times New Roman" w:eastAsia="黑体" w:cs="Times New Roman"/>
          <w:color w:val="auto"/>
          <w:lang w:val="en-US" w:eastAsia="zh-CN"/>
        </w:rPr>
      </w:pPr>
      <w:r>
        <w:rPr>
          <w:rFonts w:hint="eastAsia" w:ascii="Times New Roman" w:hAnsi="Times New Roman" w:eastAsia="黑体" w:cs="Times New Roman"/>
          <w:snapToGrid w:val="0"/>
          <w:color w:val="auto"/>
          <w:sz w:val="30"/>
          <w:szCs w:val="30"/>
          <w:lang w:val="en-US" w:eastAsia="zh-CN"/>
        </w:rPr>
        <w:t>七</w:t>
      </w:r>
      <w:r>
        <w:rPr>
          <w:rFonts w:hint="default" w:ascii="Times New Roman" w:hAnsi="Times New Roman" w:eastAsia="黑体" w:cs="Times New Roman"/>
          <w:snapToGrid w:val="0"/>
          <w:color w:val="auto"/>
          <w:sz w:val="30"/>
          <w:szCs w:val="30"/>
        </w:rPr>
        <w:t>、</w:t>
      </w:r>
      <w:r>
        <w:rPr>
          <w:rFonts w:hint="eastAsia" w:ascii="Times New Roman" w:hAnsi="Times New Roman" w:eastAsia="黑体" w:cs="Times New Roman"/>
          <w:snapToGrid w:val="0"/>
          <w:color w:val="auto"/>
          <w:sz w:val="30"/>
          <w:szCs w:val="30"/>
          <w:lang w:val="en-US" w:eastAsia="zh-CN"/>
        </w:rPr>
        <w:t>附图附件</w:t>
      </w:r>
    </w:p>
    <w:p w14:paraId="3442B7F9">
      <w:pPr>
        <w:bidi w:val="0"/>
        <w:rPr>
          <w:rFonts w:hint="default" w:ascii="Times New Roman" w:hAnsi="Times New Roman" w:cs="Times New Roman"/>
          <w:color w:val="auto"/>
          <w:kern w:val="2"/>
          <w:sz w:val="21"/>
          <w:szCs w:val="24"/>
          <w:lang w:val="en-US" w:eastAsia="zh-CN" w:bidi="ar-SA"/>
        </w:rPr>
      </w:pPr>
    </w:p>
    <w:p w14:paraId="004AD741">
      <w:pPr>
        <w:keepNext w:val="0"/>
        <w:keepLines w:val="0"/>
        <w:pageBreakBefore w:val="0"/>
        <w:widowControl w:val="0"/>
        <w:tabs>
          <w:tab w:val="left" w:pos="352"/>
        </w:tabs>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附图1</w:t>
      </w:r>
      <w:r>
        <w:rPr>
          <w:rFonts w:hint="eastAsia" w:ascii="Times New Roman" w:hAnsi="Times New Roman" w:eastAsia="宋体" w:cs="Times New Roman"/>
          <w:color w:val="auto"/>
          <w:sz w:val="26"/>
          <w:szCs w:val="26"/>
          <w:lang w:val="en-US" w:eastAsia="zh-CN"/>
        </w:rPr>
        <w:t xml:space="preserve"> </w:t>
      </w:r>
      <w:r>
        <w:rPr>
          <w:rFonts w:hint="default" w:ascii="Times New Roman" w:hAnsi="Times New Roman" w:eastAsia="宋体" w:cs="Times New Roman"/>
          <w:color w:val="auto"/>
          <w:sz w:val="26"/>
          <w:szCs w:val="26"/>
          <w:lang w:val="en-US" w:eastAsia="zh-CN"/>
        </w:rPr>
        <w:t>项目地理位置图</w:t>
      </w:r>
      <w:r>
        <w:rPr>
          <w:rFonts w:hint="default" w:ascii="Times New Roman" w:hAnsi="Times New Roman" w:eastAsia="宋体" w:cs="Times New Roman"/>
          <w:color w:val="auto"/>
          <w:sz w:val="26"/>
          <w:szCs w:val="26"/>
          <w:lang w:val="en-US" w:eastAsia="zh-CN"/>
        </w:rPr>
        <w:br w:type="textWrapping"/>
      </w:r>
      <w:r>
        <w:rPr>
          <w:rFonts w:hint="default" w:ascii="Times New Roman" w:hAnsi="Times New Roman" w:eastAsia="宋体" w:cs="Times New Roman"/>
          <w:color w:val="auto"/>
          <w:sz w:val="26"/>
          <w:szCs w:val="26"/>
          <w:lang w:val="en-US" w:eastAsia="zh-CN"/>
        </w:rPr>
        <w:t>附图2</w:t>
      </w:r>
      <w:r>
        <w:rPr>
          <w:rFonts w:hint="eastAsia" w:ascii="Times New Roman" w:hAnsi="Times New Roman" w:eastAsia="宋体" w:cs="Times New Roman"/>
          <w:color w:val="auto"/>
          <w:sz w:val="26"/>
          <w:szCs w:val="26"/>
          <w:lang w:val="en-US" w:eastAsia="zh-CN"/>
        </w:rPr>
        <w:t xml:space="preserve"> </w:t>
      </w:r>
      <w:r>
        <w:rPr>
          <w:rFonts w:hint="default" w:ascii="Times New Roman" w:hAnsi="Times New Roman" w:eastAsia="宋体" w:cs="Times New Roman"/>
          <w:color w:val="auto"/>
          <w:sz w:val="26"/>
          <w:szCs w:val="26"/>
          <w:lang w:val="en-US" w:eastAsia="zh-CN"/>
        </w:rPr>
        <w:t>项目总平面布置图</w:t>
      </w:r>
      <w:r>
        <w:rPr>
          <w:rFonts w:hint="default" w:ascii="Times New Roman" w:hAnsi="Times New Roman" w:eastAsia="宋体" w:cs="Times New Roman"/>
          <w:color w:val="auto"/>
          <w:sz w:val="26"/>
          <w:szCs w:val="26"/>
          <w:lang w:val="en-US" w:eastAsia="zh-CN"/>
        </w:rPr>
        <w:br w:type="textWrapping"/>
      </w:r>
      <w:r>
        <w:rPr>
          <w:rFonts w:hint="default" w:ascii="Times New Roman" w:hAnsi="Times New Roman" w:eastAsia="宋体" w:cs="Times New Roman"/>
          <w:color w:val="auto"/>
          <w:sz w:val="26"/>
          <w:szCs w:val="26"/>
          <w:lang w:val="en-US" w:eastAsia="zh-CN"/>
        </w:rPr>
        <w:t>附图</w:t>
      </w:r>
      <w:r>
        <w:rPr>
          <w:rFonts w:hint="eastAsia" w:ascii="Times New Roman" w:hAnsi="Times New Roman" w:eastAsia="宋体" w:cs="Times New Roman"/>
          <w:color w:val="auto"/>
          <w:sz w:val="26"/>
          <w:szCs w:val="26"/>
          <w:lang w:val="en-US" w:eastAsia="zh-CN"/>
        </w:rPr>
        <w:t xml:space="preserve">3 </w:t>
      </w:r>
      <w:r>
        <w:rPr>
          <w:rFonts w:hint="default" w:ascii="Times New Roman" w:hAnsi="Times New Roman" w:eastAsia="宋体" w:cs="Times New Roman"/>
          <w:color w:val="auto"/>
          <w:sz w:val="26"/>
          <w:szCs w:val="26"/>
          <w:lang w:val="en-US" w:eastAsia="zh-CN"/>
        </w:rPr>
        <w:t>项目</w:t>
      </w:r>
      <w:r>
        <w:rPr>
          <w:rFonts w:hint="eastAsia" w:ascii="Times New Roman" w:hAnsi="Times New Roman" w:eastAsia="宋体" w:cs="Times New Roman"/>
          <w:color w:val="auto"/>
          <w:sz w:val="26"/>
          <w:szCs w:val="26"/>
          <w:lang w:val="en-US" w:eastAsia="zh-CN"/>
        </w:rPr>
        <w:t>环保设施</w:t>
      </w:r>
      <w:r>
        <w:rPr>
          <w:rFonts w:hint="default" w:ascii="Times New Roman" w:hAnsi="Times New Roman" w:eastAsia="宋体" w:cs="Times New Roman"/>
          <w:color w:val="auto"/>
          <w:sz w:val="26"/>
          <w:szCs w:val="26"/>
          <w:lang w:val="en-US" w:eastAsia="zh-CN"/>
        </w:rPr>
        <w:t>布置图</w:t>
      </w:r>
      <w:r>
        <w:rPr>
          <w:rFonts w:hint="default" w:ascii="Times New Roman" w:hAnsi="Times New Roman" w:eastAsia="宋体" w:cs="Times New Roman"/>
          <w:color w:val="auto"/>
          <w:sz w:val="26"/>
          <w:szCs w:val="26"/>
          <w:lang w:val="en-US" w:eastAsia="zh-CN"/>
        </w:rPr>
        <w:br w:type="textWrapping"/>
      </w:r>
      <w:r>
        <w:rPr>
          <w:rFonts w:hint="default" w:ascii="Times New Roman" w:hAnsi="Times New Roman" w:eastAsia="宋体" w:cs="Times New Roman"/>
          <w:color w:val="auto"/>
          <w:sz w:val="26"/>
          <w:szCs w:val="26"/>
          <w:lang w:val="en-US" w:eastAsia="zh-CN"/>
        </w:rPr>
        <w:t>附图</w:t>
      </w:r>
      <w:r>
        <w:rPr>
          <w:rFonts w:hint="eastAsia" w:ascii="Times New Roman" w:hAnsi="Times New Roman" w:eastAsia="宋体" w:cs="Times New Roman"/>
          <w:color w:val="auto"/>
          <w:sz w:val="26"/>
          <w:szCs w:val="26"/>
          <w:lang w:val="en-US" w:eastAsia="zh-CN"/>
        </w:rPr>
        <w:t>4</w:t>
      </w:r>
      <w:r>
        <w:rPr>
          <w:rFonts w:hint="default" w:ascii="Times New Roman" w:hAnsi="Times New Roman" w:eastAsia="宋体" w:cs="Times New Roman"/>
          <w:color w:val="auto"/>
          <w:sz w:val="26"/>
          <w:szCs w:val="26"/>
          <w:lang w:val="en-US" w:eastAsia="zh-CN"/>
        </w:rPr>
        <w:t xml:space="preserve"> 项目</w:t>
      </w:r>
      <w:r>
        <w:rPr>
          <w:rFonts w:hint="eastAsia" w:ascii="Times New Roman" w:hAnsi="Times New Roman" w:eastAsia="宋体" w:cs="Times New Roman"/>
          <w:color w:val="auto"/>
          <w:sz w:val="26"/>
          <w:szCs w:val="26"/>
          <w:lang w:val="en-US" w:eastAsia="zh-CN"/>
        </w:rPr>
        <w:t>管网敷设图</w:t>
      </w:r>
      <w:r>
        <w:rPr>
          <w:rFonts w:hint="default" w:ascii="Times New Roman" w:hAnsi="Times New Roman" w:eastAsia="宋体" w:cs="Times New Roman"/>
          <w:color w:val="auto"/>
          <w:sz w:val="26"/>
          <w:szCs w:val="26"/>
          <w:lang w:val="en-US" w:eastAsia="zh-CN"/>
        </w:rPr>
        <w:br w:type="textWrapping"/>
      </w:r>
      <w:r>
        <w:rPr>
          <w:rFonts w:hint="default" w:ascii="Times New Roman" w:hAnsi="Times New Roman" w:eastAsia="宋体" w:cs="Times New Roman"/>
          <w:color w:val="auto"/>
          <w:sz w:val="26"/>
          <w:szCs w:val="26"/>
          <w:lang w:val="en-US" w:eastAsia="zh-CN"/>
        </w:rPr>
        <w:t>附图</w:t>
      </w:r>
      <w:r>
        <w:rPr>
          <w:rFonts w:hint="eastAsia" w:ascii="Times New Roman" w:hAnsi="Times New Roman" w:eastAsia="宋体" w:cs="Times New Roman"/>
          <w:color w:val="auto"/>
          <w:sz w:val="26"/>
          <w:szCs w:val="26"/>
          <w:lang w:val="en-US" w:eastAsia="zh-CN"/>
        </w:rPr>
        <w:t>5</w:t>
      </w:r>
      <w:r>
        <w:rPr>
          <w:rFonts w:hint="default" w:ascii="Times New Roman" w:hAnsi="Times New Roman" w:eastAsia="宋体" w:cs="Times New Roman"/>
          <w:color w:val="auto"/>
          <w:sz w:val="26"/>
          <w:szCs w:val="26"/>
          <w:lang w:val="en-US" w:eastAsia="zh-CN"/>
        </w:rPr>
        <w:t xml:space="preserve"> 项目</w:t>
      </w:r>
      <w:r>
        <w:rPr>
          <w:rFonts w:hint="eastAsia" w:ascii="Times New Roman" w:hAnsi="Times New Roman" w:eastAsia="宋体" w:cs="Times New Roman"/>
          <w:color w:val="auto"/>
          <w:sz w:val="26"/>
          <w:szCs w:val="26"/>
          <w:lang w:val="en-US" w:eastAsia="zh-CN"/>
        </w:rPr>
        <w:t>分区防渗布置图</w:t>
      </w:r>
      <w:r>
        <w:rPr>
          <w:rFonts w:hint="default" w:ascii="Times New Roman" w:hAnsi="Times New Roman" w:eastAsia="宋体" w:cs="Times New Roman"/>
          <w:color w:val="auto"/>
          <w:sz w:val="26"/>
          <w:szCs w:val="26"/>
          <w:lang w:val="en-US" w:eastAsia="zh-CN"/>
        </w:rPr>
        <w:br w:type="textWrapping"/>
      </w:r>
      <w:r>
        <w:rPr>
          <w:rFonts w:hint="default" w:ascii="Times New Roman" w:hAnsi="Times New Roman" w:eastAsia="宋体" w:cs="Times New Roman"/>
          <w:color w:val="auto"/>
          <w:sz w:val="26"/>
          <w:szCs w:val="26"/>
          <w:lang w:val="en-US" w:eastAsia="zh-CN"/>
        </w:rPr>
        <w:t>附图</w:t>
      </w:r>
      <w:r>
        <w:rPr>
          <w:rFonts w:hint="eastAsia" w:ascii="Times New Roman" w:hAnsi="Times New Roman" w:eastAsia="宋体" w:cs="Times New Roman"/>
          <w:color w:val="auto"/>
          <w:sz w:val="26"/>
          <w:szCs w:val="26"/>
          <w:lang w:val="en-US" w:eastAsia="zh-CN"/>
        </w:rPr>
        <w:t>6</w:t>
      </w:r>
      <w:r>
        <w:rPr>
          <w:rFonts w:hint="default" w:ascii="Times New Roman" w:hAnsi="Times New Roman" w:eastAsia="宋体" w:cs="Times New Roman"/>
          <w:color w:val="auto"/>
          <w:sz w:val="26"/>
          <w:szCs w:val="26"/>
          <w:lang w:val="en-US" w:eastAsia="zh-CN"/>
        </w:rPr>
        <w:t xml:space="preserve"> </w:t>
      </w:r>
      <w:r>
        <w:rPr>
          <w:rFonts w:hint="eastAsia" w:ascii="Times New Roman" w:hAnsi="Times New Roman" w:eastAsia="宋体" w:cs="Times New Roman"/>
          <w:color w:val="auto"/>
          <w:sz w:val="26"/>
          <w:szCs w:val="26"/>
          <w:lang w:val="en-US" w:eastAsia="zh-CN"/>
        </w:rPr>
        <w:t>项目周边外环境关系图</w:t>
      </w:r>
    </w:p>
    <w:p w14:paraId="3AE914DB">
      <w:pPr>
        <w:keepNext w:val="0"/>
        <w:keepLines w:val="0"/>
        <w:pageBreakBefore w:val="0"/>
        <w:widowControl w:val="0"/>
        <w:tabs>
          <w:tab w:val="left" w:pos="352"/>
        </w:tabs>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附图</w:t>
      </w:r>
      <w:r>
        <w:rPr>
          <w:rFonts w:hint="eastAsia" w:ascii="Times New Roman" w:hAnsi="Times New Roman" w:eastAsia="宋体" w:cs="Times New Roman"/>
          <w:color w:val="auto"/>
          <w:sz w:val="26"/>
          <w:szCs w:val="26"/>
          <w:lang w:val="en-US" w:eastAsia="zh-CN"/>
        </w:rPr>
        <w:t xml:space="preserve">7 </w:t>
      </w:r>
      <w:r>
        <w:rPr>
          <w:rFonts w:hint="default" w:ascii="Times New Roman" w:hAnsi="Times New Roman" w:eastAsia="宋体" w:cs="Times New Roman"/>
          <w:color w:val="auto"/>
          <w:sz w:val="26"/>
          <w:szCs w:val="26"/>
          <w:lang w:val="en-US" w:eastAsia="zh-CN"/>
        </w:rPr>
        <w:t>项目</w:t>
      </w:r>
      <w:r>
        <w:rPr>
          <w:rFonts w:hint="eastAsia" w:ascii="Times New Roman" w:hAnsi="Times New Roman" w:eastAsia="宋体" w:cs="Times New Roman"/>
          <w:color w:val="auto"/>
          <w:sz w:val="26"/>
          <w:szCs w:val="26"/>
          <w:lang w:val="en-US" w:eastAsia="zh-CN"/>
        </w:rPr>
        <w:t>周边环境保护目标分布图</w:t>
      </w:r>
      <w:r>
        <w:rPr>
          <w:rFonts w:hint="default" w:ascii="Times New Roman" w:hAnsi="Times New Roman" w:eastAsia="宋体" w:cs="Times New Roman"/>
          <w:color w:val="auto"/>
          <w:sz w:val="26"/>
          <w:szCs w:val="26"/>
          <w:lang w:val="en-US" w:eastAsia="zh-CN"/>
        </w:rPr>
        <w:br w:type="textWrapping"/>
      </w:r>
      <w:r>
        <w:rPr>
          <w:rFonts w:hint="default" w:ascii="Times New Roman" w:hAnsi="Times New Roman" w:eastAsia="宋体" w:cs="Times New Roman"/>
          <w:color w:val="auto"/>
          <w:sz w:val="26"/>
          <w:szCs w:val="26"/>
          <w:lang w:val="en-US" w:eastAsia="zh-CN"/>
        </w:rPr>
        <w:t>附图</w:t>
      </w:r>
      <w:r>
        <w:rPr>
          <w:rFonts w:hint="eastAsia" w:ascii="Times New Roman" w:hAnsi="Times New Roman" w:eastAsia="宋体" w:cs="Times New Roman"/>
          <w:color w:val="auto"/>
          <w:sz w:val="26"/>
          <w:szCs w:val="26"/>
          <w:lang w:val="en-US" w:eastAsia="zh-CN"/>
        </w:rPr>
        <w:t xml:space="preserve">8 </w:t>
      </w:r>
      <w:r>
        <w:rPr>
          <w:rFonts w:hint="default" w:ascii="Times New Roman" w:hAnsi="Times New Roman" w:eastAsia="宋体" w:cs="Times New Roman"/>
          <w:color w:val="auto"/>
          <w:sz w:val="26"/>
          <w:szCs w:val="26"/>
          <w:lang w:val="en-US" w:eastAsia="zh-CN"/>
        </w:rPr>
        <w:t>项目</w:t>
      </w:r>
      <w:r>
        <w:rPr>
          <w:rFonts w:hint="eastAsia" w:ascii="Times New Roman" w:hAnsi="Times New Roman" w:eastAsia="宋体" w:cs="Times New Roman"/>
          <w:color w:val="auto"/>
          <w:sz w:val="26"/>
          <w:szCs w:val="26"/>
          <w:lang w:val="en-US" w:eastAsia="zh-CN"/>
        </w:rPr>
        <w:t>土地利用规划图</w:t>
      </w:r>
    </w:p>
    <w:p w14:paraId="4480616C">
      <w:pPr>
        <w:keepNext w:val="0"/>
        <w:keepLines w:val="0"/>
        <w:pageBreakBefore w:val="0"/>
        <w:widowControl w:val="0"/>
        <w:tabs>
          <w:tab w:val="left" w:pos="352"/>
        </w:tabs>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附图9 项目与九龙坡区</w:t>
      </w:r>
      <w:r>
        <w:rPr>
          <w:rFonts w:hint="default" w:ascii="Times New Roman" w:hAnsi="Times New Roman" w:eastAsia="宋体" w:cs="Times New Roman"/>
          <w:color w:val="auto"/>
          <w:sz w:val="26"/>
          <w:szCs w:val="26"/>
          <w:lang w:val="en-US" w:eastAsia="zh-CN"/>
        </w:rPr>
        <w:t>生态</w:t>
      </w:r>
      <w:r>
        <w:rPr>
          <w:rFonts w:hint="eastAsia" w:ascii="Times New Roman" w:hAnsi="Times New Roman" w:eastAsia="宋体" w:cs="Times New Roman"/>
          <w:color w:val="auto"/>
          <w:sz w:val="26"/>
          <w:szCs w:val="26"/>
          <w:lang w:val="en-US" w:eastAsia="zh-CN"/>
        </w:rPr>
        <w:t>保护红线分布关系图</w:t>
      </w:r>
    </w:p>
    <w:p w14:paraId="7DA4244D">
      <w:pPr>
        <w:keepNext w:val="0"/>
        <w:keepLines w:val="0"/>
        <w:pageBreakBefore w:val="0"/>
        <w:widowControl w:val="0"/>
        <w:tabs>
          <w:tab w:val="left" w:pos="352"/>
        </w:tabs>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附图10 项目与九龙坡区生态</w:t>
      </w:r>
      <w:r>
        <w:rPr>
          <w:rFonts w:hint="default" w:ascii="Times New Roman" w:hAnsi="Times New Roman" w:eastAsia="宋体" w:cs="Times New Roman"/>
          <w:color w:val="auto"/>
          <w:sz w:val="26"/>
          <w:szCs w:val="26"/>
          <w:lang w:val="en-US" w:eastAsia="zh-CN"/>
        </w:rPr>
        <w:t>空间分布关系图</w:t>
      </w:r>
      <w:r>
        <w:rPr>
          <w:rFonts w:hint="default" w:ascii="Times New Roman" w:hAnsi="Times New Roman" w:eastAsia="宋体" w:cs="Times New Roman"/>
          <w:color w:val="auto"/>
          <w:sz w:val="26"/>
          <w:szCs w:val="26"/>
          <w:lang w:val="en-US" w:eastAsia="zh-CN"/>
        </w:rPr>
        <w:br w:type="textWrapping"/>
      </w:r>
      <w:r>
        <w:rPr>
          <w:rFonts w:hint="default" w:ascii="Times New Roman" w:hAnsi="Times New Roman" w:eastAsia="宋体" w:cs="Times New Roman"/>
          <w:color w:val="auto"/>
          <w:sz w:val="26"/>
          <w:szCs w:val="26"/>
          <w:lang w:val="en-US" w:eastAsia="zh-CN"/>
        </w:rPr>
        <w:t>附图</w:t>
      </w:r>
      <w:r>
        <w:rPr>
          <w:rFonts w:hint="eastAsia" w:ascii="Times New Roman" w:hAnsi="Times New Roman" w:eastAsia="宋体" w:cs="Times New Roman"/>
          <w:color w:val="auto"/>
          <w:sz w:val="26"/>
          <w:szCs w:val="26"/>
          <w:lang w:val="en-US" w:eastAsia="zh-CN"/>
        </w:rPr>
        <w:t xml:space="preserve">11 </w:t>
      </w:r>
      <w:r>
        <w:rPr>
          <w:rFonts w:hint="default" w:ascii="Times New Roman" w:hAnsi="Times New Roman" w:eastAsia="宋体" w:cs="Times New Roman"/>
          <w:color w:val="auto"/>
          <w:sz w:val="26"/>
          <w:szCs w:val="26"/>
          <w:lang w:val="en-US" w:eastAsia="zh-CN"/>
        </w:rPr>
        <w:t>项目与</w:t>
      </w:r>
      <w:r>
        <w:rPr>
          <w:rFonts w:hint="eastAsia" w:ascii="Times New Roman" w:hAnsi="Times New Roman" w:eastAsia="宋体" w:cs="Times New Roman"/>
          <w:color w:val="auto"/>
          <w:sz w:val="26"/>
          <w:szCs w:val="26"/>
          <w:lang w:val="en-US" w:eastAsia="zh-CN"/>
        </w:rPr>
        <w:t>九龙坡区</w:t>
      </w:r>
      <w:r>
        <w:rPr>
          <w:rFonts w:hint="default" w:ascii="Times New Roman" w:hAnsi="Times New Roman" w:eastAsia="宋体" w:cs="Times New Roman"/>
          <w:color w:val="auto"/>
          <w:sz w:val="26"/>
          <w:szCs w:val="26"/>
          <w:lang w:val="en-US" w:eastAsia="zh-CN"/>
        </w:rPr>
        <w:t>环境管控单元关系示意图</w:t>
      </w:r>
    </w:p>
    <w:p w14:paraId="1A693837">
      <w:pPr>
        <w:keepNext w:val="0"/>
        <w:keepLines w:val="0"/>
        <w:pageBreakBefore w:val="0"/>
        <w:widowControl w:val="0"/>
        <w:tabs>
          <w:tab w:val="left" w:pos="352"/>
        </w:tabs>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color w:val="auto"/>
          <w:sz w:val="26"/>
          <w:szCs w:val="26"/>
          <w:lang w:val="en-US" w:eastAsia="zh-CN"/>
        </w:rPr>
      </w:pPr>
      <w:r>
        <w:rPr>
          <w:rFonts w:hint="eastAsia" w:ascii="Times New Roman" w:hAnsi="Times New Roman" w:eastAsia="宋体" w:cs="Times New Roman"/>
          <w:color w:val="auto"/>
          <w:sz w:val="26"/>
          <w:szCs w:val="26"/>
          <w:lang w:val="en-US" w:eastAsia="zh-CN"/>
        </w:rPr>
        <w:t>附图12 监测点位示意图</w:t>
      </w:r>
    </w:p>
    <w:p w14:paraId="5BBFEE23">
      <w:pPr>
        <w:keepNext w:val="0"/>
        <w:keepLines w:val="0"/>
        <w:pageBreakBefore w:val="0"/>
        <w:widowControl w:val="0"/>
        <w:tabs>
          <w:tab w:val="left" w:pos="352"/>
        </w:tabs>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color w:val="auto"/>
          <w:sz w:val="26"/>
          <w:szCs w:val="26"/>
          <w:lang w:val="en-US" w:eastAsia="zh-CN"/>
        </w:rPr>
      </w:pPr>
    </w:p>
    <w:p w14:paraId="02EB2ABD">
      <w:pPr>
        <w:keepNext w:val="0"/>
        <w:keepLines w:val="0"/>
        <w:pageBreakBefore w:val="0"/>
        <w:widowControl w:val="0"/>
        <w:tabs>
          <w:tab w:val="left" w:pos="352"/>
        </w:tabs>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 xml:space="preserve">附件1 </w:t>
      </w:r>
      <w:r>
        <w:rPr>
          <w:rFonts w:hint="eastAsia" w:ascii="Times New Roman" w:hAnsi="Times New Roman" w:eastAsia="宋体" w:cs="Times New Roman"/>
          <w:color w:val="auto"/>
          <w:sz w:val="26"/>
          <w:szCs w:val="26"/>
          <w:lang w:val="en-US" w:eastAsia="zh-CN"/>
        </w:rPr>
        <w:t>备案证</w:t>
      </w:r>
    </w:p>
    <w:p w14:paraId="6546FCEA">
      <w:pPr>
        <w:keepNext w:val="0"/>
        <w:keepLines w:val="0"/>
        <w:pageBreakBefore w:val="0"/>
        <w:widowControl w:val="0"/>
        <w:tabs>
          <w:tab w:val="left" w:pos="352"/>
        </w:tabs>
        <w:kinsoku/>
        <w:wordWrap/>
        <w:overflowPunct/>
        <w:topLinePunct w:val="0"/>
        <w:autoSpaceDE w:val="0"/>
        <w:autoSpaceDN w:val="0"/>
        <w:bidi w:val="0"/>
        <w:adjustRightInd w:val="0"/>
        <w:snapToGrid/>
        <w:spacing w:line="460" w:lineRule="exact"/>
        <w:textAlignment w:val="auto"/>
        <w:rPr>
          <w:rFonts w:hint="eastAsia"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附件</w:t>
      </w:r>
      <w:r>
        <w:rPr>
          <w:rFonts w:hint="eastAsia" w:ascii="Times New Roman" w:hAnsi="Times New Roman" w:eastAsia="宋体" w:cs="Times New Roman"/>
          <w:color w:val="auto"/>
          <w:sz w:val="26"/>
          <w:szCs w:val="26"/>
          <w:lang w:val="en-US" w:eastAsia="zh-CN"/>
        </w:rPr>
        <w:t>2</w:t>
      </w:r>
      <w:r>
        <w:rPr>
          <w:rFonts w:hint="default" w:ascii="Times New Roman" w:hAnsi="Times New Roman" w:eastAsia="宋体" w:cs="Times New Roman"/>
          <w:color w:val="auto"/>
          <w:sz w:val="26"/>
          <w:szCs w:val="26"/>
          <w:lang w:val="en-US" w:eastAsia="zh-CN"/>
        </w:rPr>
        <w:t xml:space="preserve"> </w:t>
      </w:r>
      <w:r>
        <w:rPr>
          <w:rFonts w:hint="eastAsia" w:ascii="Times New Roman" w:hAnsi="Times New Roman" w:eastAsia="宋体" w:cs="Times New Roman"/>
          <w:color w:val="auto"/>
          <w:sz w:val="26"/>
          <w:szCs w:val="26"/>
          <w:lang w:val="en-US" w:eastAsia="zh-CN"/>
        </w:rPr>
        <w:t>现有项目批文</w:t>
      </w:r>
    </w:p>
    <w:p w14:paraId="211171E6">
      <w:pPr>
        <w:keepNext w:val="0"/>
        <w:keepLines w:val="0"/>
        <w:pageBreakBefore w:val="0"/>
        <w:widowControl w:val="0"/>
        <w:tabs>
          <w:tab w:val="left" w:pos="352"/>
        </w:tabs>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附件</w:t>
      </w:r>
      <w:r>
        <w:rPr>
          <w:rFonts w:hint="eastAsia" w:ascii="Times New Roman" w:hAnsi="Times New Roman" w:eastAsia="宋体" w:cs="Times New Roman"/>
          <w:color w:val="auto"/>
          <w:sz w:val="26"/>
          <w:szCs w:val="26"/>
          <w:lang w:val="en-US" w:eastAsia="zh-CN"/>
        </w:rPr>
        <w:t>3</w:t>
      </w:r>
      <w:r>
        <w:rPr>
          <w:rFonts w:hint="default" w:ascii="Times New Roman" w:hAnsi="Times New Roman" w:eastAsia="宋体" w:cs="Times New Roman"/>
          <w:color w:val="auto"/>
          <w:sz w:val="26"/>
          <w:szCs w:val="26"/>
          <w:lang w:val="en-US" w:eastAsia="zh-CN"/>
        </w:rPr>
        <w:t xml:space="preserve"> </w:t>
      </w:r>
      <w:r>
        <w:rPr>
          <w:rFonts w:hint="eastAsia" w:ascii="Times New Roman" w:hAnsi="Times New Roman" w:eastAsia="宋体" w:cs="Times New Roman"/>
          <w:color w:val="auto"/>
          <w:sz w:val="26"/>
          <w:szCs w:val="26"/>
          <w:lang w:val="en-US" w:eastAsia="zh-CN"/>
        </w:rPr>
        <w:t>老一区熔炼中心</w:t>
      </w:r>
      <w:r>
        <w:rPr>
          <w:rFonts w:hint="default" w:ascii="Times New Roman" w:hAnsi="Times New Roman" w:eastAsia="宋体" w:cs="Times New Roman"/>
          <w:color w:val="auto"/>
          <w:sz w:val="26"/>
          <w:szCs w:val="26"/>
          <w:lang w:val="en-US" w:eastAsia="zh-CN"/>
        </w:rPr>
        <w:t>验收专家意见</w:t>
      </w:r>
    </w:p>
    <w:p w14:paraId="0C878A65">
      <w:pPr>
        <w:keepNext w:val="0"/>
        <w:keepLines w:val="0"/>
        <w:pageBreakBefore w:val="0"/>
        <w:widowControl w:val="0"/>
        <w:tabs>
          <w:tab w:val="left" w:pos="352"/>
        </w:tabs>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szCs w:val="26"/>
          <w:highlight w:val="none"/>
          <w:lang w:val="en-US" w:eastAsia="zh-CN"/>
        </w:rPr>
        <w:t>附件</w:t>
      </w:r>
      <w:r>
        <w:rPr>
          <w:rFonts w:hint="eastAsia" w:ascii="Times New Roman" w:hAnsi="Times New Roman" w:eastAsia="宋体" w:cs="Times New Roman"/>
          <w:color w:val="auto"/>
          <w:sz w:val="26"/>
          <w:szCs w:val="26"/>
          <w:highlight w:val="none"/>
          <w:lang w:val="en-US" w:eastAsia="zh-CN"/>
        </w:rPr>
        <w:t>4</w:t>
      </w:r>
      <w:r>
        <w:rPr>
          <w:rFonts w:hint="default" w:ascii="Times New Roman" w:hAnsi="Times New Roman" w:eastAsia="宋体" w:cs="Times New Roman"/>
          <w:color w:val="auto"/>
          <w:sz w:val="26"/>
          <w:szCs w:val="26"/>
          <w:highlight w:val="none"/>
          <w:lang w:val="en-US" w:eastAsia="zh-CN"/>
        </w:rPr>
        <w:t xml:space="preserve"> </w:t>
      </w:r>
      <w:r>
        <w:rPr>
          <w:rFonts w:hint="eastAsia" w:ascii="Times New Roman" w:hAnsi="Times New Roman" w:eastAsia="宋体" w:cs="Times New Roman"/>
          <w:color w:val="auto"/>
          <w:sz w:val="26"/>
          <w:szCs w:val="26"/>
          <w:highlight w:val="none"/>
          <w:lang w:val="en-US" w:eastAsia="zh-CN"/>
        </w:rPr>
        <w:t>例行</w:t>
      </w:r>
      <w:r>
        <w:rPr>
          <w:rFonts w:hint="default" w:ascii="Times New Roman" w:hAnsi="Times New Roman" w:eastAsia="宋体" w:cs="Times New Roman"/>
          <w:color w:val="auto"/>
          <w:sz w:val="26"/>
          <w:szCs w:val="26"/>
          <w:highlight w:val="none"/>
          <w:lang w:val="en-US" w:eastAsia="zh-CN"/>
        </w:rPr>
        <w:t>监测报告</w:t>
      </w:r>
    </w:p>
    <w:p w14:paraId="69F9BFB5">
      <w:pPr>
        <w:keepNext w:val="0"/>
        <w:keepLines w:val="0"/>
        <w:pageBreakBefore w:val="0"/>
        <w:widowControl w:val="0"/>
        <w:tabs>
          <w:tab w:val="left" w:pos="352"/>
        </w:tabs>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color w:val="auto"/>
          <w:sz w:val="26"/>
          <w:szCs w:val="26"/>
          <w:highlight w:val="none"/>
          <w:lang w:val="en-US" w:eastAsia="zh-CN"/>
        </w:rPr>
      </w:pPr>
      <w:r>
        <w:rPr>
          <w:rFonts w:hint="default" w:ascii="Times New Roman" w:hAnsi="Times New Roman" w:eastAsia="宋体" w:cs="Times New Roman"/>
          <w:color w:val="auto"/>
          <w:sz w:val="26"/>
          <w:szCs w:val="26"/>
          <w:highlight w:val="none"/>
          <w:lang w:val="en-US" w:eastAsia="zh-CN"/>
        </w:rPr>
        <w:t>附件</w:t>
      </w:r>
      <w:r>
        <w:rPr>
          <w:rFonts w:hint="eastAsia" w:ascii="Times New Roman" w:hAnsi="Times New Roman" w:eastAsia="宋体" w:cs="Times New Roman"/>
          <w:color w:val="auto"/>
          <w:sz w:val="26"/>
          <w:szCs w:val="26"/>
          <w:highlight w:val="none"/>
          <w:lang w:val="en-US" w:eastAsia="zh-CN"/>
        </w:rPr>
        <w:t>5</w:t>
      </w:r>
      <w:r>
        <w:rPr>
          <w:rFonts w:hint="default" w:ascii="Times New Roman" w:hAnsi="Times New Roman" w:eastAsia="宋体" w:cs="Times New Roman"/>
          <w:color w:val="auto"/>
          <w:sz w:val="26"/>
          <w:szCs w:val="26"/>
          <w:highlight w:val="none"/>
          <w:lang w:val="en-US" w:eastAsia="zh-CN"/>
        </w:rPr>
        <w:t xml:space="preserve"> </w:t>
      </w:r>
      <w:r>
        <w:rPr>
          <w:rFonts w:hint="eastAsia" w:ascii="Times New Roman" w:hAnsi="Times New Roman" w:eastAsia="宋体" w:cs="Times New Roman"/>
          <w:color w:val="auto"/>
          <w:sz w:val="26"/>
          <w:szCs w:val="26"/>
          <w:highlight w:val="none"/>
          <w:lang w:val="en-US" w:eastAsia="zh-CN"/>
        </w:rPr>
        <w:t>精炼剂检验报告</w:t>
      </w:r>
    </w:p>
    <w:p w14:paraId="31D6068F">
      <w:pPr>
        <w:keepNext w:val="0"/>
        <w:keepLines w:val="0"/>
        <w:pageBreakBefore w:val="0"/>
        <w:widowControl w:val="0"/>
        <w:tabs>
          <w:tab w:val="left" w:pos="352"/>
        </w:tabs>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附件</w:t>
      </w:r>
      <w:r>
        <w:rPr>
          <w:rFonts w:hint="eastAsia" w:ascii="Times New Roman" w:hAnsi="Times New Roman" w:eastAsia="宋体" w:cs="Times New Roman"/>
          <w:color w:val="auto"/>
          <w:sz w:val="26"/>
          <w:szCs w:val="26"/>
          <w:lang w:val="en-US" w:eastAsia="zh-CN"/>
        </w:rPr>
        <w:t>6</w:t>
      </w:r>
      <w:r>
        <w:rPr>
          <w:rFonts w:hint="default" w:ascii="Times New Roman" w:hAnsi="Times New Roman" w:eastAsia="宋体" w:cs="Times New Roman"/>
          <w:color w:val="auto"/>
          <w:sz w:val="26"/>
          <w:szCs w:val="26"/>
          <w:lang w:val="en-US" w:eastAsia="zh-CN"/>
        </w:rPr>
        <w:t xml:space="preserve"> </w:t>
      </w:r>
      <w:r>
        <w:rPr>
          <w:rFonts w:hint="eastAsia" w:ascii="Times New Roman" w:hAnsi="Times New Roman" w:eastAsia="宋体" w:cs="Times New Roman"/>
          <w:color w:val="auto"/>
          <w:sz w:val="26"/>
          <w:szCs w:val="26"/>
          <w:lang w:val="en-US" w:eastAsia="zh-CN"/>
        </w:rPr>
        <w:t>现状监测报告</w:t>
      </w:r>
    </w:p>
    <w:p w14:paraId="43FEE8C1">
      <w:pPr>
        <w:keepNext w:val="0"/>
        <w:keepLines w:val="0"/>
        <w:pageBreakBefore w:val="0"/>
        <w:widowControl w:val="0"/>
        <w:tabs>
          <w:tab w:val="left" w:pos="352"/>
        </w:tabs>
        <w:kinsoku/>
        <w:wordWrap/>
        <w:overflowPunct/>
        <w:topLinePunct w:val="0"/>
        <w:autoSpaceDE w:val="0"/>
        <w:autoSpaceDN w:val="0"/>
        <w:bidi w:val="0"/>
        <w:adjustRightInd w:val="0"/>
        <w:snapToGrid/>
        <w:spacing w:line="460" w:lineRule="exact"/>
        <w:textAlignment w:val="auto"/>
        <w:rPr>
          <w:rFonts w:hint="default"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附件</w:t>
      </w:r>
      <w:r>
        <w:rPr>
          <w:rFonts w:hint="eastAsia" w:ascii="Times New Roman" w:hAnsi="Times New Roman" w:eastAsia="宋体" w:cs="Times New Roman"/>
          <w:color w:val="auto"/>
          <w:sz w:val="26"/>
          <w:szCs w:val="26"/>
          <w:lang w:val="en-US" w:eastAsia="zh-CN"/>
        </w:rPr>
        <w:t>7</w:t>
      </w:r>
      <w:r>
        <w:rPr>
          <w:rFonts w:hint="default" w:ascii="Times New Roman" w:hAnsi="Times New Roman" w:eastAsia="宋体" w:cs="Times New Roman"/>
          <w:color w:val="auto"/>
          <w:sz w:val="26"/>
          <w:szCs w:val="26"/>
          <w:lang w:val="en-US" w:eastAsia="zh-CN"/>
        </w:rPr>
        <w:t xml:space="preserve"> 规划环境影响跟踪评价审查意见函</w:t>
      </w:r>
    </w:p>
    <w:p w14:paraId="67F7372C">
      <w:pPr>
        <w:keepNext w:val="0"/>
        <w:keepLines w:val="0"/>
        <w:pageBreakBefore w:val="0"/>
        <w:widowControl w:val="0"/>
        <w:tabs>
          <w:tab w:val="left" w:pos="352"/>
        </w:tabs>
        <w:kinsoku/>
        <w:wordWrap/>
        <w:overflowPunct/>
        <w:topLinePunct w:val="0"/>
        <w:autoSpaceDE w:val="0"/>
        <w:autoSpaceDN w:val="0"/>
        <w:bidi w:val="0"/>
        <w:adjustRightInd w:val="0"/>
        <w:snapToGrid/>
        <w:spacing w:line="460" w:lineRule="exact"/>
        <w:textAlignment w:val="auto"/>
        <w:rPr>
          <w:rFonts w:hint="eastAsia" w:ascii="Times New Roman" w:hAnsi="Times New Roman" w:eastAsia="宋体" w:cs="Times New Roman"/>
          <w:color w:val="auto"/>
          <w:sz w:val="26"/>
          <w:szCs w:val="26"/>
          <w:lang w:val="en-US" w:eastAsia="zh-CN"/>
        </w:rPr>
      </w:pPr>
      <w:r>
        <w:rPr>
          <w:rFonts w:hint="default" w:ascii="Times New Roman" w:hAnsi="Times New Roman" w:eastAsia="宋体" w:cs="Times New Roman"/>
          <w:color w:val="auto"/>
          <w:sz w:val="26"/>
          <w:szCs w:val="26"/>
          <w:lang w:val="en-US" w:eastAsia="zh-CN"/>
        </w:rPr>
        <w:t>附件</w:t>
      </w:r>
      <w:r>
        <w:rPr>
          <w:rFonts w:hint="eastAsia" w:ascii="Times New Roman" w:hAnsi="Times New Roman" w:eastAsia="宋体" w:cs="Times New Roman"/>
          <w:color w:val="auto"/>
          <w:sz w:val="26"/>
          <w:szCs w:val="26"/>
          <w:lang w:val="en-US" w:eastAsia="zh-CN"/>
        </w:rPr>
        <w:t>8</w:t>
      </w:r>
      <w:r>
        <w:rPr>
          <w:rFonts w:hint="default" w:ascii="Times New Roman" w:hAnsi="Times New Roman" w:eastAsia="宋体" w:cs="Times New Roman"/>
          <w:color w:val="auto"/>
          <w:sz w:val="26"/>
          <w:szCs w:val="26"/>
          <w:lang w:val="en-US" w:eastAsia="zh-CN"/>
        </w:rPr>
        <w:t xml:space="preserve"> </w:t>
      </w:r>
      <w:r>
        <w:rPr>
          <w:rFonts w:hint="eastAsia" w:ascii="Times New Roman" w:hAnsi="Times New Roman" w:eastAsia="宋体" w:cs="Times New Roman"/>
          <w:color w:val="auto"/>
          <w:sz w:val="26"/>
          <w:szCs w:val="26"/>
          <w:lang w:val="en-US" w:eastAsia="zh-CN"/>
        </w:rPr>
        <w:t>三线一单智检报告</w:t>
      </w:r>
    </w:p>
    <w:p w14:paraId="70C1086E">
      <w:pPr>
        <w:rPr>
          <w:color w:val="auto"/>
        </w:rPr>
      </w:pPr>
    </w:p>
    <w:p w14:paraId="5A7F74CE">
      <w:pPr>
        <w:rPr>
          <w:color w:val="auto"/>
        </w:rPr>
      </w:pPr>
    </w:p>
    <w:p w14:paraId="70BA6941">
      <w:pPr>
        <w:rPr>
          <w:color w:val="auto"/>
        </w:rPr>
      </w:pPr>
    </w:p>
    <w:p w14:paraId="19AFC53F">
      <w:pPr>
        <w:rPr>
          <w:color w:val="auto"/>
        </w:rPr>
      </w:pPr>
    </w:p>
    <w:p w14:paraId="3F8ED920">
      <w:pPr>
        <w:rPr>
          <w:color w:val="auto"/>
        </w:rPr>
      </w:pPr>
    </w:p>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4A7A9E6-4F5F-40F9-AE0B-E8EFCCCC2756}"/>
  </w:font>
  <w:font w:name="黑体">
    <w:panose1 w:val="02010609060101010101"/>
    <w:charset w:val="86"/>
    <w:family w:val="auto"/>
    <w:pitch w:val="default"/>
    <w:sig w:usb0="800002BF" w:usb1="38CF7CFA" w:usb2="00000016" w:usb3="00000000" w:csb0="00040001" w:csb1="00000000"/>
    <w:embedRegular r:id="rId2" w:fontKey="{81EC1987-53D4-4029-90FE-DD2A7BDCB2A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468D459D-BC19-4A9F-B747-704250FEF19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4" w:fontKey="{35D1E900-159C-4BEC-9AB9-DE0966BF9B6A}"/>
  </w:font>
  <w:font w:name="仿宋">
    <w:panose1 w:val="02010609060101010101"/>
    <w:charset w:val="86"/>
    <w:family w:val="auto"/>
    <w:pitch w:val="default"/>
    <w:sig w:usb0="800002BF" w:usb1="38CF7CFA" w:usb2="00000016" w:usb3="00000000" w:csb0="00040001" w:csb1="00000000"/>
    <w:embedRegular r:id="rId5" w:fontKey="{E5AD65E6-81B2-4E61-9AAC-6EFABAD53E94}"/>
  </w:font>
  <w:font w:name="新宋体-18030">
    <w:altName w:val="宋体"/>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embedRegular r:id="rId6" w:fontKey="{D18F550D-91BD-4629-88C8-4098BAF59CAF}"/>
  </w:font>
  <w:font w:name="楷体">
    <w:panose1 w:val="02010609060101010101"/>
    <w:charset w:val="86"/>
    <w:family w:val="modern"/>
    <w:pitch w:val="default"/>
    <w:sig w:usb0="800002BF" w:usb1="38CF7CFA" w:usb2="00000016" w:usb3="00000000" w:csb0="00040001" w:csb1="00000000"/>
  </w:font>
  <w:font w:name="方正宋三简体">
    <w:altName w:val="黑体"/>
    <w:panose1 w:val="00000000000000000000"/>
    <w:charset w:val="86"/>
    <w:family w:val="script"/>
    <w:pitch w:val="default"/>
    <w:sig w:usb0="00000000" w:usb1="00000000" w:usb2="00000010" w:usb3="00000000" w:csb0="00040000" w:csb1="00000000"/>
  </w:font>
  <w:font w:name="方正小标宋_GBK">
    <w:altName w:val="方正小标宋_GBK"/>
    <w:panose1 w:val="02000000000000000000"/>
    <w:charset w:val="86"/>
    <w:family w:val="script"/>
    <w:pitch w:val="default"/>
    <w:sig w:usb0="A00002BF" w:usb1="38CF7CFA" w:usb2="00082016" w:usb3="00000000" w:csb0="00040001" w:csb1="00000000"/>
    <w:embedRegular r:id="rId7" w:fontKey="{358D4A4E-C7C6-453E-9A3A-E43254732411}"/>
  </w:font>
  <w:font w:name="华文仿宋">
    <w:panose1 w:val="02010600040101010101"/>
    <w:charset w:val="86"/>
    <w:family w:val="auto"/>
    <w:pitch w:val="default"/>
    <w:sig w:usb0="00000287" w:usb1="080F0000" w:usb2="00000000" w:usb3="00000000" w:csb0="0004009F" w:csb1="DFD70000"/>
    <w:embedRegular r:id="rId8" w:fontKey="{8E4C2F12-E30F-4E3E-945C-98E454D56F72}"/>
  </w:font>
  <w:font w:name="Wingdings 2">
    <w:panose1 w:val="05020102010507070707"/>
    <w:charset w:val="02"/>
    <w:family w:val="auto"/>
    <w:pitch w:val="default"/>
    <w:sig w:usb0="00000000" w:usb1="00000000" w:usb2="00000000" w:usb3="00000000" w:csb0="80000000" w:csb1="00000000"/>
    <w:embedRegular r:id="rId9" w:fontKey="{9C4062C6-9CE4-4DDA-A2D0-3481C5ED2B3E}"/>
  </w:font>
  <w:font w:name="WPSEMBED1">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51C93">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393B0">
    <w:pPr>
      <w:pStyle w:val="17"/>
      <w:framePr w:wrap="around" w:vAnchor="text" w:hAnchor="margin" w:xAlign="center" w:y="1"/>
      <w:rPr>
        <w:rStyle w:val="29"/>
      </w:rPr>
    </w:pPr>
    <w:r>
      <w:fldChar w:fldCharType="begin"/>
    </w:r>
    <w:r>
      <w:rPr>
        <w:rStyle w:val="29"/>
      </w:rPr>
      <w:instrText xml:space="preserve">PAGE  </w:instrText>
    </w:r>
    <w:r>
      <w:fldChar w:fldCharType="end"/>
    </w:r>
  </w:p>
  <w:p w14:paraId="584A01F1">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62D65">
    <w:pPr>
      <w:pStyle w:val="1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2FE0FB">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9</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Gt7f+ABAADBAwAADgAAAGRycy9lMm9Eb2MueG1srVPBjtMwEL0j8Q+W&#10;7zTZClCJmq6AahESAqSFD3Adp7Fkeyx72qR8APwBJy7c+a5+B2Mn6cJy2QOXZDwzfjPvzXh9PVjD&#10;jipEDa7mV4uSM+UkNNrta/75082TFWcRhWuEAadqflKRX28eP1r3vlJL6MA0KjACcbHqfc07RF8V&#10;RZSdsiIuwCtHwRaCFUjHsC+aIHpCt6ZYluXzoofQ+ABSxUje7RjkE2J4CCC0rZZqC/JglcMRNSgj&#10;kCjFTvvIN7nbtlUSP7RtVMhMzYkp5i8VIXuXvsVmLap9EL7TcmpBPKSFe5ys0I6KXqC2AgU7BP0P&#10;lNUyQIQWFxJsMRLJihCLq/KeNred8CpzIamjv4ge/x+sfH/8GJhuav6MMycsDfz8/dv5x6/zz69s&#10;WT59kRTqfawo8dZTKg6vYKC9mf2RnIn40Aab/kSJUZz0PV30VQMymS6tlqtVSSFJsflA+MXddR8i&#10;vlFgWTJqHmiAWVdxfBdxTJ1TUjUHN9qYPETj/nIQZvIUqfexx2ThsBsmQjtoTsSHXgLV6SB84ayn&#10;Pai5o7XnzLx1JHNamdkIs7GbDeEkXaw5cjaar3FcrYMPet/lZUtNRf/ygNRpJpDaGGtP3dFkswTT&#10;FqbV+fOcs+5e3u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Fhre3/gAQAAwQMAAA4AAAAA&#10;AAAAAQAgAAAAHgEAAGRycy9lMm9Eb2MueG1sUEsFBgAAAAAGAAYAWQEAAHAFAAAAAA==&#10;">
              <v:fill on="f" focussize="0,0"/>
              <v:stroke on="f"/>
              <v:imagedata o:title=""/>
              <o:lock v:ext="edit" aspectratio="f"/>
              <v:textbox inset="0mm,0mm,0mm,0mm" style="mso-fit-shape-to-text:t;">
                <w:txbxContent>
                  <w:p w14:paraId="7E2FE0FB">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9</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B6974">
    <w:pPr>
      <w:pStyle w:val="1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8D4A70">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11</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6OuABAADBAwAADgAAAGRycy9lMm9Eb2MueG1srVPBjtMwEL0j8Q+W&#10;7zTZSqyqqulqoVqEhABp2Q9wHaexZHussdukfAD8AScu3PmufgdjJ2lhuexhL8l4Zvxm3pvx6qa3&#10;hh0UBg2u4lezkjPlJNTa7Sr+8OXu1YKzEIWrhQGnKn5Ugd+sX75YdX6p5tCCqRUyAnFh2fmKtzH6&#10;ZVEE2Sorwgy8chRsAK2IdMRdUaPoCN2aYl6W10UHWHsEqUIg72YI8hERnwIITaOl2oDcW+XigIrK&#10;iEiUQqt94OvcbdMoGT81TVCRmYoT05i/VITsbfoW65VY7lD4VsuxBfGUFh5xskI7KnqG2ogo2B71&#10;f1BWS4QATZxJsMVAJCtCLK7KR9rct8KrzIWkDv4seng+WPnx8BmZrit+zZkTlgZ++vH99PP36dc3&#10;Ni9fZ4U6H5aUeO8pNfZvoKe9ScolfyBnIt43aNOfKDGKk77Hs76qj0ymS4v5YlFSSFJsOhBOcbnu&#10;McR3CixLRsWRBph1FYcPIQ6pU0qq5uBOG5OHaNw/DsJMnuLSY7Jiv+3HxrdQH4kPvQSq0wJ+5ayj&#10;Pai4o7XnzLx3JHNamcnAydhOhnCSLlY8cjaYb+OwWnuPetfmZUtNBX+7j9RpJpDaGGqP3dFkswTj&#10;FqbV+fucsy4vb/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EUfujrgAQAAwQMAAA4AAAAA&#10;AAAAAQAgAAAAHgEAAGRycy9lMm9Eb2MueG1sUEsFBgAAAAAGAAYAWQEAAHAFAAAAAA==&#10;">
              <v:fill on="f" focussize="0,0"/>
              <v:stroke on="f"/>
              <v:imagedata o:title=""/>
              <o:lock v:ext="edit" aspectratio="f"/>
              <v:textbox inset="0mm,0mm,0mm,0mm" style="mso-fit-shape-to-text:t;">
                <w:txbxContent>
                  <w:p w14:paraId="258D4A70">
                    <w:pPr>
                      <w:pStyle w:val="17"/>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11</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055D79"/>
    <w:multiLevelType w:val="singleLevel"/>
    <w:tmpl w:val="A2055D79"/>
    <w:lvl w:ilvl="0" w:tentative="0">
      <w:start w:val="1"/>
      <w:numFmt w:val="decimal"/>
      <w:suff w:val="nothing"/>
      <w:lvlText w:val="（%1）"/>
      <w:lvlJc w:val="left"/>
    </w:lvl>
  </w:abstractNum>
  <w:abstractNum w:abstractNumId="1">
    <w:nsid w:val="438835CA"/>
    <w:multiLevelType w:val="singleLevel"/>
    <w:tmpl w:val="438835CA"/>
    <w:lvl w:ilvl="0" w:tentative="0">
      <w:start w:val="1"/>
      <w:numFmt w:val="bullet"/>
      <w:pStyle w:val="11"/>
      <w:lvlText w:val=""/>
      <w:lvlJc w:val="left"/>
      <w:pPr>
        <w:tabs>
          <w:tab w:val="left" w:pos="2040"/>
        </w:tabs>
        <w:ind w:left="2040" w:hanging="360"/>
      </w:pPr>
      <w:rPr>
        <w:rFonts w:hint="default" w:ascii="Wingdings" w:hAnsi="Wingdings"/>
      </w:rPr>
    </w:lvl>
  </w:abstractNum>
  <w:abstractNum w:abstractNumId="2">
    <w:nsid w:val="4EF43C67"/>
    <w:multiLevelType w:val="multilevel"/>
    <w:tmpl w:val="4EF43C67"/>
    <w:lvl w:ilvl="0" w:tentative="0">
      <w:start w:val="1"/>
      <w:numFmt w:val="decimal"/>
      <w:pStyle w:val="158"/>
      <w:suff w:val="space"/>
      <w:lvlText w:val="%1"/>
      <w:lvlJc w:val="left"/>
      <w:pPr>
        <w:ind w:left="0" w:firstLine="0"/>
      </w:pPr>
      <w:rPr>
        <w:rFonts w:hint="default" w:ascii="Times New Roman" w:hAnsi="Times New Roman"/>
      </w:rPr>
    </w:lvl>
    <w:lvl w:ilvl="1" w:tentative="0">
      <w:start w:val="1"/>
      <w:numFmt w:val="decimal"/>
      <w:pStyle w:val="157"/>
      <w:suff w:val="space"/>
      <w:lvlText w:val="%1.%2"/>
      <w:lvlJc w:val="left"/>
      <w:pPr>
        <w:ind w:left="284" w:firstLine="0"/>
      </w:pPr>
      <w:rPr>
        <w:rFonts w:hint="default" w:ascii="Times New Roman" w:hAnsi="Times New Roman"/>
      </w:rPr>
    </w:lvl>
    <w:lvl w:ilvl="2" w:tentative="0">
      <w:start w:val="1"/>
      <w:numFmt w:val="decimal"/>
      <w:suff w:val="space"/>
      <w:lvlText w:val="%1.%2.%3"/>
      <w:lvlJc w:val="left"/>
      <w:pPr>
        <w:ind w:left="567" w:firstLine="0"/>
      </w:pPr>
      <w:rPr>
        <w:rFonts w:hint="default" w:ascii="Times New Roman" w:hAnsi="Times New Roman"/>
      </w:rPr>
    </w:lvl>
    <w:lvl w:ilvl="3" w:tentative="0">
      <w:start w:val="1"/>
      <w:numFmt w:val="decimal"/>
      <w:suff w:val="space"/>
      <w:lvlText w:val="%1.%2.%3.%4"/>
      <w:lvlJc w:val="left"/>
      <w:pPr>
        <w:ind w:left="0" w:firstLine="0"/>
      </w:pPr>
      <w:rPr>
        <w:rFonts w:hint="default" w:ascii="Times New Roman" w:hAnsi="Times New Roman"/>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lMGQ0YTZiZTIwODVjYmU2NDQ0YjMwYzU5ZGQ0ZGI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3F4A"/>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20016E9"/>
    <w:rsid w:val="02697903"/>
    <w:rsid w:val="02C848FD"/>
    <w:rsid w:val="02F96569"/>
    <w:rsid w:val="03EA7B21"/>
    <w:rsid w:val="04197748"/>
    <w:rsid w:val="04543142"/>
    <w:rsid w:val="048563B9"/>
    <w:rsid w:val="04DB762B"/>
    <w:rsid w:val="05545FD4"/>
    <w:rsid w:val="05F83EAE"/>
    <w:rsid w:val="0604461F"/>
    <w:rsid w:val="061A108B"/>
    <w:rsid w:val="063E7D85"/>
    <w:rsid w:val="06402C04"/>
    <w:rsid w:val="06BF7DC5"/>
    <w:rsid w:val="06CF011A"/>
    <w:rsid w:val="07293586"/>
    <w:rsid w:val="07295285"/>
    <w:rsid w:val="07636392"/>
    <w:rsid w:val="07770C56"/>
    <w:rsid w:val="077F4088"/>
    <w:rsid w:val="07A90AEE"/>
    <w:rsid w:val="080443B2"/>
    <w:rsid w:val="082A74C0"/>
    <w:rsid w:val="089B216C"/>
    <w:rsid w:val="08FC71F2"/>
    <w:rsid w:val="092217DD"/>
    <w:rsid w:val="093A7294"/>
    <w:rsid w:val="09750C0F"/>
    <w:rsid w:val="09775064"/>
    <w:rsid w:val="0992321F"/>
    <w:rsid w:val="09B728BB"/>
    <w:rsid w:val="09C902B2"/>
    <w:rsid w:val="09D04EFD"/>
    <w:rsid w:val="09D92F4C"/>
    <w:rsid w:val="09EF451D"/>
    <w:rsid w:val="0A00372D"/>
    <w:rsid w:val="0A263993"/>
    <w:rsid w:val="0A2D3AC2"/>
    <w:rsid w:val="0A9737BC"/>
    <w:rsid w:val="0AA755DF"/>
    <w:rsid w:val="0AF535E5"/>
    <w:rsid w:val="0B120D44"/>
    <w:rsid w:val="0BD27BF6"/>
    <w:rsid w:val="0BFF53CA"/>
    <w:rsid w:val="0C3B3C7D"/>
    <w:rsid w:val="0C737A84"/>
    <w:rsid w:val="0CAB2EAE"/>
    <w:rsid w:val="0CAD4A25"/>
    <w:rsid w:val="0CB40393"/>
    <w:rsid w:val="0CE26B14"/>
    <w:rsid w:val="0D1C709B"/>
    <w:rsid w:val="0D5A25F6"/>
    <w:rsid w:val="0D621C7D"/>
    <w:rsid w:val="0D847672"/>
    <w:rsid w:val="0DFE7D37"/>
    <w:rsid w:val="0DFF13CC"/>
    <w:rsid w:val="0E281121"/>
    <w:rsid w:val="0E573E63"/>
    <w:rsid w:val="0E73034D"/>
    <w:rsid w:val="0E7B5471"/>
    <w:rsid w:val="0F13775A"/>
    <w:rsid w:val="0F352C21"/>
    <w:rsid w:val="0F4E7F7D"/>
    <w:rsid w:val="0F5F45FE"/>
    <w:rsid w:val="0F9A112B"/>
    <w:rsid w:val="0FD3043D"/>
    <w:rsid w:val="10085F56"/>
    <w:rsid w:val="100F68FB"/>
    <w:rsid w:val="10410449"/>
    <w:rsid w:val="10564F78"/>
    <w:rsid w:val="106D2F64"/>
    <w:rsid w:val="10B244F7"/>
    <w:rsid w:val="10B63710"/>
    <w:rsid w:val="10EE1DD4"/>
    <w:rsid w:val="10F10820"/>
    <w:rsid w:val="111C2F7A"/>
    <w:rsid w:val="11665CA1"/>
    <w:rsid w:val="11D056F8"/>
    <w:rsid w:val="11DD0B99"/>
    <w:rsid w:val="11DE1613"/>
    <w:rsid w:val="125F7331"/>
    <w:rsid w:val="1273317D"/>
    <w:rsid w:val="12945343"/>
    <w:rsid w:val="12A9282B"/>
    <w:rsid w:val="12AF29A2"/>
    <w:rsid w:val="12EA61CA"/>
    <w:rsid w:val="12F14CA1"/>
    <w:rsid w:val="13076D7C"/>
    <w:rsid w:val="133F32B7"/>
    <w:rsid w:val="137838E9"/>
    <w:rsid w:val="138730A1"/>
    <w:rsid w:val="13951726"/>
    <w:rsid w:val="13BA2040"/>
    <w:rsid w:val="13C5566A"/>
    <w:rsid w:val="13CC1D73"/>
    <w:rsid w:val="142C45C0"/>
    <w:rsid w:val="14396509"/>
    <w:rsid w:val="14885D40"/>
    <w:rsid w:val="14914877"/>
    <w:rsid w:val="14972381"/>
    <w:rsid w:val="149C34F4"/>
    <w:rsid w:val="14DD2C3C"/>
    <w:rsid w:val="14E21050"/>
    <w:rsid w:val="14E7204A"/>
    <w:rsid w:val="14EE3BC6"/>
    <w:rsid w:val="151A70BF"/>
    <w:rsid w:val="15706677"/>
    <w:rsid w:val="158E2453"/>
    <w:rsid w:val="15920EB6"/>
    <w:rsid w:val="16087E1D"/>
    <w:rsid w:val="161D0E10"/>
    <w:rsid w:val="169644F1"/>
    <w:rsid w:val="16BE5ABB"/>
    <w:rsid w:val="16CA364F"/>
    <w:rsid w:val="16F13FCB"/>
    <w:rsid w:val="16F84823"/>
    <w:rsid w:val="17701D14"/>
    <w:rsid w:val="177267F9"/>
    <w:rsid w:val="17735226"/>
    <w:rsid w:val="17822736"/>
    <w:rsid w:val="17AF0215"/>
    <w:rsid w:val="17C25C94"/>
    <w:rsid w:val="17D9775C"/>
    <w:rsid w:val="17DD5130"/>
    <w:rsid w:val="17E458DD"/>
    <w:rsid w:val="180272D8"/>
    <w:rsid w:val="180825EE"/>
    <w:rsid w:val="1811657B"/>
    <w:rsid w:val="18471CB0"/>
    <w:rsid w:val="18520191"/>
    <w:rsid w:val="18603493"/>
    <w:rsid w:val="189F624C"/>
    <w:rsid w:val="18AD02BE"/>
    <w:rsid w:val="18D15A0A"/>
    <w:rsid w:val="193A4210"/>
    <w:rsid w:val="19750922"/>
    <w:rsid w:val="19A50C8C"/>
    <w:rsid w:val="19E8009C"/>
    <w:rsid w:val="1A1C66C0"/>
    <w:rsid w:val="1A42393B"/>
    <w:rsid w:val="1A646862"/>
    <w:rsid w:val="1A825C8D"/>
    <w:rsid w:val="1AAD45DE"/>
    <w:rsid w:val="1ADA737F"/>
    <w:rsid w:val="1AE13BFF"/>
    <w:rsid w:val="1B046F80"/>
    <w:rsid w:val="1B23109C"/>
    <w:rsid w:val="1B3267B5"/>
    <w:rsid w:val="1B40161D"/>
    <w:rsid w:val="1B441859"/>
    <w:rsid w:val="1B45659F"/>
    <w:rsid w:val="1B6606B1"/>
    <w:rsid w:val="1B921518"/>
    <w:rsid w:val="1BB71318"/>
    <w:rsid w:val="1BB80033"/>
    <w:rsid w:val="1BD4448D"/>
    <w:rsid w:val="1BE657F7"/>
    <w:rsid w:val="1BF105C9"/>
    <w:rsid w:val="1C5E7925"/>
    <w:rsid w:val="1CC77FE5"/>
    <w:rsid w:val="1CFD070F"/>
    <w:rsid w:val="1D3865EA"/>
    <w:rsid w:val="1D511B49"/>
    <w:rsid w:val="1D5F6196"/>
    <w:rsid w:val="1D6132A5"/>
    <w:rsid w:val="1D8E56D5"/>
    <w:rsid w:val="1D933BEF"/>
    <w:rsid w:val="1DBF4F09"/>
    <w:rsid w:val="1E7A43DA"/>
    <w:rsid w:val="1E8257AF"/>
    <w:rsid w:val="1F0A39AA"/>
    <w:rsid w:val="1F1840BF"/>
    <w:rsid w:val="1FE7539E"/>
    <w:rsid w:val="201E11CF"/>
    <w:rsid w:val="202645B9"/>
    <w:rsid w:val="20671BE0"/>
    <w:rsid w:val="208F6602"/>
    <w:rsid w:val="20963CB8"/>
    <w:rsid w:val="20A81A1B"/>
    <w:rsid w:val="20B07FB6"/>
    <w:rsid w:val="20B646FB"/>
    <w:rsid w:val="20EC2783"/>
    <w:rsid w:val="213B74B1"/>
    <w:rsid w:val="215A2310"/>
    <w:rsid w:val="21AE3F9C"/>
    <w:rsid w:val="21DE318A"/>
    <w:rsid w:val="21EF5B80"/>
    <w:rsid w:val="222F3627"/>
    <w:rsid w:val="2251000C"/>
    <w:rsid w:val="22576990"/>
    <w:rsid w:val="226308D8"/>
    <w:rsid w:val="226C04A1"/>
    <w:rsid w:val="22CB5FAA"/>
    <w:rsid w:val="22D761E0"/>
    <w:rsid w:val="22EB2761"/>
    <w:rsid w:val="22F47480"/>
    <w:rsid w:val="23074C16"/>
    <w:rsid w:val="23953F30"/>
    <w:rsid w:val="239F6B5C"/>
    <w:rsid w:val="23DE1C48"/>
    <w:rsid w:val="23FF671D"/>
    <w:rsid w:val="240210CD"/>
    <w:rsid w:val="247022A7"/>
    <w:rsid w:val="24714161"/>
    <w:rsid w:val="2485150D"/>
    <w:rsid w:val="24893FCA"/>
    <w:rsid w:val="248D4ED3"/>
    <w:rsid w:val="24A245FE"/>
    <w:rsid w:val="24BF09F7"/>
    <w:rsid w:val="252D53FE"/>
    <w:rsid w:val="255E62B3"/>
    <w:rsid w:val="25946D3B"/>
    <w:rsid w:val="259E6DDB"/>
    <w:rsid w:val="25D7082F"/>
    <w:rsid w:val="25EC2D81"/>
    <w:rsid w:val="262F241A"/>
    <w:rsid w:val="26394F5F"/>
    <w:rsid w:val="266A16A4"/>
    <w:rsid w:val="267E0CAB"/>
    <w:rsid w:val="26AD1590"/>
    <w:rsid w:val="277057A2"/>
    <w:rsid w:val="279C1856"/>
    <w:rsid w:val="27D51B33"/>
    <w:rsid w:val="27F36E8C"/>
    <w:rsid w:val="286E365F"/>
    <w:rsid w:val="28D01566"/>
    <w:rsid w:val="29143B49"/>
    <w:rsid w:val="29206EB8"/>
    <w:rsid w:val="29595666"/>
    <w:rsid w:val="29874881"/>
    <w:rsid w:val="29897876"/>
    <w:rsid w:val="29E325E0"/>
    <w:rsid w:val="29E84CF0"/>
    <w:rsid w:val="2A093A87"/>
    <w:rsid w:val="2A1530B7"/>
    <w:rsid w:val="2A452503"/>
    <w:rsid w:val="2A4F2171"/>
    <w:rsid w:val="2AC317DA"/>
    <w:rsid w:val="2ADA66CC"/>
    <w:rsid w:val="2AE03874"/>
    <w:rsid w:val="2AFD2F42"/>
    <w:rsid w:val="2B0D5AEA"/>
    <w:rsid w:val="2B801AD5"/>
    <w:rsid w:val="2B8C3E6A"/>
    <w:rsid w:val="2BA936A8"/>
    <w:rsid w:val="2BE64021"/>
    <w:rsid w:val="2C1924F3"/>
    <w:rsid w:val="2C240E1B"/>
    <w:rsid w:val="2C315A5A"/>
    <w:rsid w:val="2C3C4B10"/>
    <w:rsid w:val="2C4B1C25"/>
    <w:rsid w:val="2C5269AB"/>
    <w:rsid w:val="2C532BDA"/>
    <w:rsid w:val="2C5D1363"/>
    <w:rsid w:val="2C6C1795"/>
    <w:rsid w:val="2C8677DE"/>
    <w:rsid w:val="2C8B4DCE"/>
    <w:rsid w:val="2C977020"/>
    <w:rsid w:val="2CA84CD4"/>
    <w:rsid w:val="2D273439"/>
    <w:rsid w:val="2D2C4943"/>
    <w:rsid w:val="2D45407D"/>
    <w:rsid w:val="2D9E39FC"/>
    <w:rsid w:val="2D9E56F5"/>
    <w:rsid w:val="2DAC02F7"/>
    <w:rsid w:val="2DB820BF"/>
    <w:rsid w:val="2DC93154"/>
    <w:rsid w:val="2E105CA9"/>
    <w:rsid w:val="2E667F96"/>
    <w:rsid w:val="2E782C9F"/>
    <w:rsid w:val="2E8226AB"/>
    <w:rsid w:val="2FBA498E"/>
    <w:rsid w:val="2FD065E6"/>
    <w:rsid w:val="2FD96870"/>
    <w:rsid w:val="300B6770"/>
    <w:rsid w:val="30580BC9"/>
    <w:rsid w:val="30A5286D"/>
    <w:rsid w:val="31077AEF"/>
    <w:rsid w:val="311E2ED7"/>
    <w:rsid w:val="315619EE"/>
    <w:rsid w:val="315C449C"/>
    <w:rsid w:val="3162754A"/>
    <w:rsid w:val="3195334D"/>
    <w:rsid w:val="31992CCA"/>
    <w:rsid w:val="31A850C1"/>
    <w:rsid w:val="31B82709"/>
    <w:rsid w:val="31CE3E2C"/>
    <w:rsid w:val="31D05482"/>
    <w:rsid w:val="31D57F25"/>
    <w:rsid w:val="31EE02AD"/>
    <w:rsid w:val="31F249FD"/>
    <w:rsid w:val="32017BB4"/>
    <w:rsid w:val="32364A14"/>
    <w:rsid w:val="32400B34"/>
    <w:rsid w:val="325F6E1B"/>
    <w:rsid w:val="329E6876"/>
    <w:rsid w:val="32BD0DAD"/>
    <w:rsid w:val="32DF7E63"/>
    <w:rsid w:val="331F7711"/>
    <w:rsid w:val="333015F2"/>
    <w:rsid w:val="334964F9"/>
    <w:rsid w:val="334B6320"/>
    <w:rsid w:val="33743B62"/>
    <w:rsid w:val="33A33896"/>
    <w:rsid w:val="33D934D4"/>
    <w:rsid w:val="33E121B6"/>
    <w:rsid w:val="33FA78D5"/>
    <w:rsid w:val="33FE2F6A"/>
    <w:rsid w:val="340E07E5"/>
    <w:rsid w:val="34235BF7"/>
    <w:rsid w:val="34382153"/>
    <w:rsid w:val="345A1FBE"/>
    <w:rsid w:val="349467A9"/>
    <w:rsid w:val="349D5CDC"/>
    <w:rsid w:val="34A74FCF"/>
    <w:rsid w:val="34FE4647"/>
    <w:rsid w:val="352F11D1"/>
    <w:rsid w:val="356D4DD4"/>
    <w:rsid w:val="35710687"/>
    <w:rsid w:val="358C5FA8"/>
    <w:rsid w:val="35A841A8"/>
    <w:rsid w:val="35B63902"/>
    <w:rsid w:val="35C15DF1"/>
    <w:rsid w:val="36074A7F"/>
    <w:rsid w:val="3620288A"/>
    <w:rsid w:val="365F038B"/>
    <w:rsid w:val="36923549"/>
    <w:rsid w:val="36AB0626"/>
    <w:rsid w:val="36B75FBF"/>
    <w:rsid w:val="36BD0C45"/>
    <w:rsid w:val="36D06802"/>
    <w:rsid w:val="36FB6954"/>
    <w:rsid w:val="370A0339"/>
    <w:rsid w:val="37E00298"/>
    <w:rsid w:val="381B4D9B"/>
    <w:rsid w:val="38545340"/>
    <w:rsid w:val="386A0396"/>
    <w:rsid w:val="38AC7D26"/>
    <w:rsid w:val="38AD658C"/>
    <w:rsid w:val="38B302F9"/>
    <w:rsid w:val="38B65B1F"/>
    <w:rsid w:val="38C64095"/>
    <w:rsid w:val="38E92823"/>
    <w:rsid w:val="38F12CD3"/>
    <w:rsid w:val="38F94775"/>
    <w:rsid w:val="392971ED"/>
    <w:rsid w:val="39325651"/>
    <w:rsid w:val="39567866"/>
    <w:rsid w:val="3A377697"/>
    <w:rsid w:val="3A5C5861"/>
    <w:rsid w:val="3A7C671E"/>
    <w:rsid w:val="3A7D6DA8"/>
    <w:rsid w:val="3A872856"/>
    <w:rsid w:val="3A8C2411"/>
    <w:rsid w:val="3ACC1A06"/>
    <w:rsid w:val="3B0A0908"/>
    <w:rsid w:val="3B187F7F"/>
    <w:rsid w:val="3B225C51"/>
    <w:rsid w:val="3B3763D1"/>
    <w:rsid w:val="3B392F9B"/>
    <w:rsid w:val="3B455EC8"/>
    <w:rsid w:val="3BC31727"/>
    <w:rsid w:val="3C2F6E1E"/>
    <w:rsid w:val="3C3F2527"/>
    <w:rsid w:val="3C4F64BA"/>
    <w:rsid w:val="3C58219C"/>
    <w:rsid w:val="3C965846"/>
    <w:rsid w:val="3CD65E65"/>
    <w:rsid w:val="3CDA245A"/>
    <w:rsid w:val="3D1E06B7"/>
    <w:rsid w:val="3D2E3A35"/>
    <w:rsid w:val="3D53066C"/>
    <w:rsid w:val="3D763B42"/>
    <w:rsid w:val="3D7D3613"/>
    <w:rsid w:val="3D952E01"/>
    <w:rsid w:val="3E013CE3"/>
    <w:rsid w:val="3E052FFD"/>
    <w:rsid w:val="3E167A66"/>
    <w:rsid w:val="3E426481"/>
    <w:rsid w:val="3E6014F4"/>
    <w:rsid w:val="3EC945AB"/>
    <w:rsid w:val="3ECD4126"/>
    <w:rsid w:val="3ED12829"/>
    <w:rsid w:val="3EDA0523"/>
    <w:rsid w:val="3EE22C7F"/>
    <w:rsid w:val="3FF878C8"/>
    <w:rsid w:val="40104C12"/>
    <w:rsid w:val="403525C2"/>
    <w:rsid w:val="407A6407"/>
    <w:rsid w:val="40A5386D"/>
    <w:rsid w:val="40C713BF"/>
    <w:rsid w:val="40ED0AAF"/>
    <w:rsid w:val="41102D5C"/>
    <w:rsid w:val="41526B64"/>
    <w:rsid w:val="41590FA0"/>
    <w:rsid w:val="41596145"/>
    <w:rsid w:val="417C5EE4"/>
    <w:rsid w:val="417D38BD"/>
    <w:rsid w:val="41A74A1A"/>
    <w:rsid w:val="41E439AA"/>
    <w:rsid w:val="4200449D"/>
    <w:rsid w:val="420F4A55"/>
    <w:rsid w:val="423644CF"/>
    <w:rsid w:val="423A3BCC"/>
    <w:rsid w:val="42460C63"/>
    <w:rsid w:val="424E57D2"/>
    <w:rsid w:val="426D292E"/>
    <w:rsid w:val="42957F7C"/>
    <w:rsid w:val="42976F25"/>
    <w:rsid w:val="42A26147"/>
    <w:rsid w:val="42B26C49"/>
    <w:rsid w:val="42DD0252"/>
    <w:rsid w:val="43017041"/>
    <w:rsid w:val="431B13B3"/>
    <w:rsid w:val="433A6FE6"/>
    <w:rsid w:val="43476B9D"/>
    <w:rsid w:val="43480868"/>
    <w:rsid w:val="4350713C"/>
    <w:rsid w:val="435639F2"/>
    <w:rsid w:val="436653E0"/>
    <w:rsid w:val="436A6C6A"/>
    <w:rsid w:val="43BF0DA0"/>
    <w:rsid w:val="43C00C37"/>
    <w:rsid w:val="43C4431A"/>
    <w:rsid w:val="43FA3C0F"/>
    <w:rsid w:val="44243658"/>
    <w:rsid w:val="442B201A"/>
    <w:rsid w:val="44412295"/>
    <w:rsid w:val="44653999"/>
    <w:rsid w:val="449A28B9"/>
    <w:rsid w:val="44B042CE"/>
    <w:rsid w:val="44B951CC"/>
    <w:rsid w:val="44CD14E0"/>
    <w:rsid w:val="44F20B0B"/>
    <w:rsid w:val="450B5172"/>
    <w:rsid w:val="450F5428"/>
    <w:rsid w:val="452E5F4C"/>
    <w:rsid w:val="45416D0D"/>
    <w:rsid w:val="45612018"/>
    <w:rsid w:val="457E261E"/>
    <w:rsid w:val="458946E9"/>
    <w:rsid w:val="45A47C0E"/>
    <w:rsid w:val="45F10786"/>
    <w:rsid w:val="46275CFC"/>
    <w:rsid w:val="46321A93"/>
    <w:rsid w:val="46577FD6"/>
    <w:rsid w:val="46D955A7"/>
    <w:rsid w:val="46E12E64"/>
    <w:rsid w:val="47133957"/>
    <w:rsid w:val="471E468A"/>
    <w:rsid w:val="477D598D"/>
    <w:rsid w:val="47971775"/>
    <w:rsid w:val="47A07E0C"/>
    <w:rsid w:val="47B83F7C"/>
    <w:rsid w:val="47C04B73"/>
    <w:rsid w:val="485F3534"/>
    <w:rsid w:val="4870272E"/>
    <w:rsid w:val="487815A6"/>
    <w:rsid w:val="49DC7715"/>
    <w:rsid w:val="49F20EE5"/>
    <w:rsid w:val="4A021106"/>
    <w:rsid w:val="4A023139"/>
    <w:rsid w:val="4A5D0A54"/>
    <w:rsid w:val="4A7B576F"/>
    <w:rsid w:val="4AD41799"/>
    <w:rsid w:val="4AF561A9"/>
    <w:rsid w:val="4B1B4085"/>
    <w:rsid w:val="4B3A4ECD"/>
    <w:rsid w:val="4B6B7541"/>
    <w:rsid w:val="4BB460D6"/>
    <w:rsid w:val="4BD36201"/>
    <w:rsid w:val="4BE07B8E"/>
    <w:rsid w:val="4C3F0A5D"/>
    <w:rsid w:val="4C4A0649"/>
    <w:rsid w:val="4C5403F0"/>
    <w:rsid w:val="4C7C718B"/>
    <w:rsid w:val="4C7E5ECA"/>
    <w:rsid w:val="4C876AA5"/>
    <w:rsid w:val="4CD2714E"/>
    <w:rsid w:val="4CD40D75"/>
    <w:rsid w:val="4CF11927"/>
    <w:rsid w:val="4D0E00FB"/>
    <w:rsid w:val="4D176606"/>
    <w:rsid w:val="4DB2341A"/>
    <w:rsid w:val="4DEC4FB0"/>
    <w:rsid w:val="4E075D8A"/>
    <w:rsid w:val="4E102DC6"/>
    <w:rsid w:val="4E234F87"/>
    <w:rsid w:val="4E395334"/>
    <w:rsid w:val="4E406814"/>
    <w:rsid w:val="4E4344DD"/>
    <w:rsid w:val="4EC00FAD"/>
    <w:rsid w:val="4F093D15"/>
    <w:rsid w:val="4F304989"/>
    <w:rsid w:val="4F9843DC"/>
    <w:rsid w:val="4FC62A8C"/>
    <w:rsid w:val="4FDB6B28"/>
    <w:rsid w:val="4FE20F0D"/>
    <w:rsid w:val="4FE51552"/>
    <w:rsid w:val="500B3467"/>
    <w:rsid w:val="50455E2D"/>
    <w:rsid w:val="50504C4B"/>
    <w:rsid w:val="505B648E"/>
    <w:rsid w:val="50742E72"/>
    <w:rsid w:val="50911AA7"/>
    <w:rsid w:val="509C6E7C"/>
    <w:rsid w:val="50D37329"/>
    <w:rsid w:val="50F06F9C"/>
    <w:rsid w:val="51040E97"/>
    <w:rsid w:val="512E314A"/>
    <w:rsid w:val="5162104E"/>
    <w:rsid w:val="51B966FC"/>
    <w:rsid w:val="52310223"/>
    <w:rsid w:val="52326C6A"/>
    <w:rsid w:val="52550DC1"/>
    <w:rsid w:val="5264494A"/>
    <w:rsid w:val="52771D9D"/>
    <w:rsid w:val="527853E5"/>
    <w:rsid w:val="52D45F47"/>
    <w:rsid w:val="52DD4E28"/>
    <w:rsid w:val="52E01A5A"/>
    <w:rsid w:val="531F76C6"/>
    <w:rsid w:val="532E12A9"/>
    <w:rsid w:val="5383319B"/>
    <w:rsid w:val="538E02A6"/>
    <w:rsid w:val="53A039CC"/>
    <w:rsid w:val="53A1505A"/>
    <w:rsid w:val="54063E08"/>
    <w:rsid w:val="542E16B3"/>
    <w:rsid w:val="543437E8"/>
    <w:rsid w:val="54E612BF"/>
    <w:rsid w:val="54F73313"/>
    <w:rsid w:val="54F80955"/>
    <w:rsid w:val="5536566C"/>
    <w:rsid w:val="555170A7"/>
    <w:rsid w:val="5587536D"/>
    <w:rsid w:val="559B174B"/>
    <w:rsid w:val="559F033F"/>
    <w:rsid w:val="55CE0CF4"/>
    <w:rsid w:val="55DD14F2"/>
    <w:rsid w:val="55F102DF"/>
    <w:rsid w:val="56123D4B"/>
    <w:rsid w:val="56620DE8"/>
    <w:rsid w:val="56A27127"/>
    <w:rsid w:val="56B17230"/>
    <w:rsid w:val="56B22A9C"/>
    <w:rsid w:val="56D439FF"/>
    <w:rsid w:val="57034EFB"/>
    <w:rsid w:val="57552F79"/>
    <w:rsid w:val="57973378"/>
    <w:rsid w:val="57B72A76"/>
    <w:rsid w:val="57C3426C"/>
    <w:rsid w:val="57CE1F93"/>
    <w:rsid w:val="57E36310"/>
    <w:rsid w:val="5805272B"/>
    <w:rsid w:val="584B44CC"/>
    <w:rsid w:val="588743D1"/>
    <w:rsid w:val="5887701A"/>
    <w:rsid w:val="58F336A2"/>
    <w:rsid w:val="592B655D"/>
    <w:rsid w:val="59574D9B"/>
    <w:rsid w:val="59B2567F"/>
    <w:rsid w:val="59C0439F"/>
    <w:rsid w:val="59F571F8"/>
    <w:rsid w:val="5A2A46CB"/>
    <w:rsid w:val="5A403EEE"/>
    <w:rsid w:val="5A623729"/>
    <w:rsid w:val="5AB77E46"/>
    <w:rsid w:val="5ABE2233"/>
    <w:rsid w:val="5B0A209C"/>
    <w:rsid w:val="5B0D4ADE"/>
    <w:rsid w:val="5B251E42"/>
    <w:rsid w:val="5BD932DF"/>
    <w:rsid w:val="5BDF5D95"/>
    <w:rsid w:val="5BFE7528"/>
    <w:rsid w:val="5C1D563D"/>
    <w:rsid w:val="5C9C7185"/>
    <w:rsid w:val="5CFA186A"/>
    <w:rsid w:val="5D2F16E3"/>
    <w:rsid w:val="5D4B4387"/>
    <w:rsid w:val="5DBB4C5A"/>
    <w:rsid w:val="5DF844C9"/>
    <w:rsid w:val="5E22188A"/>
    <w:rsid w:val="5E2467F1"/>
    <w:rsid w:val="5E2A4C99"/>
    <w:rsid w:val="5E2F71B6"/>
    <w:rsid w:val="5E317B16"/>
    <w:rsid w:val="5E6F49FB"/>
    <w:rsid w:val="5E785A05"/>
    <w:rsid w:val="5EDE2ACE"/>
    <w:rsid w:val="5F1A2B43"/>
    <w:rsid w:val="5F463D55"/>
    <w:rsid w:val="5F7A0944"/>
    <w:rsid w:val="5F98573A"/>
    <w:rsid w:val="5FAD636F"/>
    <w:rsid w:val="5FB837BB"/>
    <w:rsid w:val="5FCF7542"/>
    <w:rsid w:val="6025441B"/>
    <w:rsid w:val="604A41BB"/>
    <w:rsid w:val="609A29F6"/>
    <w:rsid w:val="60BB42CE"/>
    <w:rsid w:val="60CC405A"/>
    <w:rsid w:val="60D63F7A"/>
    <w:rsid w:val="6153676F"/>
    <w:rsid w:val="61670FB0"/>
    <w:rsid w:val="61B2032C"/>
    <w:rsid w:val="61E215D8"/>
    <w:rsid w:val="621B3775"/>
    <w:rsid w:val="622A363E"/>
    <w:rsid w:val="622D126C"/>
    <w:rsid w:val="62364782"/>
    <w:rsid w:val="62471BE8"/>
    <w:rsid w:val="624843FA"/>
    <w:rsid w:val="625722A3"/>
    <w:rsid w:val="62802596"/>
    <w:rsid w:val="62826FF3"/>
    <w:rsid w:val="62E41851"/>
    <w:rsid w:val="630737FB"/>
    <w:rsid w:val="6382550E"/>
    <w:rsid w:val="6394356A"/>
    <w:rsid w:val="63A177AC"/>
    <w:rsid w:val="63C61B2C"/>
    <w:rsid w:val="63D40BE9"/>
    <w:rsid w:val="63EF4D0B"/>
    <w:rsid w:val="64102431"/>
    <w:rsid w:val="64281025"/>
    <w:rsid w:val="64612B74"/>
    <w:rsid w:val="64722EF6"/>
    <w:rsid w:val="647C3D75"/>
    <w:rsid w:val="64A5243A"/>
    <w:rsid w:val="64CA6417"/>
    <w:rsid w:val="64E90ABD"/>
    <w:rsid w:val="64F531DE"/>
    <w:rsid w:val="64F67BAE"/>
    <w:rsid w:val="65373578"/>
    <w:rsid w:val="65740BC7"/>
    <w:rsid w:val="660C70A5"/>
    <w:rsid w:val="662A1CD0"/>
    <w:rsid w:val="6634065D"/>
    <w:rsid w:val="667153E3"/>
    <w:rsid w:val="669C6F84"/>
    <w:rsid w:val="66D34C88"/>
    <w:rsid w:val="66DA7497"/>
    <w:rsid w:val="671F124A"/>
    <w:rsid w:val="67615BE9"/>
    <w:rsid w:val="677A33C6"/>
    <w:rsid w:val="67A72D74"/>
    <w:rsid w:val="67BD4612"/>
    <w:rsid w:val="67CE7AFB"/>
    <w:rsid w:val="681C005A"/>
    <w:rsid w:val="681F6961"/>
    <w:rsid w:val="68544109"/>
    <w:rsid w:val="6857741A"/>
    <w:rsid w:val="68610A2F"/>
    <w:rsid w:val="68805514"/>
    <w:rsid w:val="688B4586"/>
    <w:rsid w:val="689B7ED2"/>
    <w:rsid w:val="68B30014"/>
    <w:rsid w:val="68D979E8"/>
    <w:rsid w:val="690A5240"/>
    <w:rsid w:val="692A4B83"/>
    <w:rsid w:val="69316E2F"/>
    <w:rsid w:val="6936330F"/>
    <w:rsid w:val="6945507D"/>
    <w:rsid w:val="69481173"/>
    <w:rsid w:val="694E2071"/>
    <w:rsid w:val="69766163"/>
    <w:rsid w:val="697914B9"/>
    <w:rsid w:val="697A3B33"/>
    <w:rsid w:val="69D44760"/>
    <w:rsid w:val="6A2C3275"/>
    <w:rsid w:val="6A333E64"/>
    <w:rsid w:val="6A520EC7"/>
    <w:rsid w:val="6A761705"/>
    <w:rsid w:val="6AB51BAF"/>
    <w:rsid w:val="6AED1528"/>
    <w:rsid w:val="6AED5DE2"/>
    <w:rsid w:val="6AF87E20"/>
    <w:rsid w:val="6B2973C1"/>
    <w:rsid w:val="6B2B3880"/>
    <w:rsid w:val="6B322639"/>
    <w:rsid w:val="6B6B0042"/>
    <w:rsid w:val="6B7632CC"/>
    <w:rsid w:val="6BE7084B"/>
    <w:rsid w:val="6C3D38AF"/>
    <w:rsid w:val="6C4D6722"/>
    <w:rsid w:val="6C636C38"/>
    <w:rsid w:val="6CC25941"/>
    <w:rsid w:val="6D023D48"/>
    <w:rsid w:val="6D1B1A5B"/>
    <w:rsid w:val="6D8F420A"/>
    <w:rsid w:val="6DB34098"/>
    <w:rsid w:val="6DB545B6"/>
    <w:rsid w:val="6DDC3A35"/>
    <w:rsid w:val="6DE02FB4"/>
    <w:rsid w:val="6DE773AB"/>
    <w:rsid w:val="6E4A6E3E"/>
    <w:rsid w:val="6E514CED"/>
    <w:rsid w:val="6E953017"/>
    <w:rsid w:val="6EB563D5"/>
    <w:rsid w:val="6ED92677"/>
    <w:rsid w:val="6F225983"/>
    <w:rsid w:val="6F6D2C38"/>
    <w:rsid w:val="6F854425"/>
    <w:rsid w:val="6F925B9E"/>
    <w:rsid w:val="6F981C4F"/>
    <w:rsid w:val="6FA06531"/>
    <w:rsid w:val="6FBB0728"/>
    <w:rsid w:val="6FC10F4B"/>
    <w:rsid w:val="6FEB0DFB"/>
    <w:rsid w:val="6FFC5590"/>
    <w:rsid w:val="706D1DD0"/>
    <w:rsid w:val="70717F34"/>
    <w:rsid w:val="70856B87"/>
    <w:rsid w:val="70B01C44"/>
    <w:rsid w:val="70D527EE"/>
    <w:rsid w:val="715B5300"/>
    <w:rsid w:val="716B0EF3"/>
    <w:rsid w:val="718E0A58"/>
    <w:rsid w:val="71D27F8A"/>
    <w:rsid w:val="71ED1E0E"/>
    <w:rsid w:val="72553024"/>
    <w:rsid w:val="727E2BD8"/>
    <w:rsid w:val="729B2AE7"/>
    <w:rsid w:val="72AB70EA"/>
    <w:rsid w:val="72C60BDE"/>
    <w:rsid w:val="72CC4119"/>
    <w:rsid w:val="72CF4160"/>
    <w:rsid w:val="73122968"/>
    <w:rsid w:val="731F5D5E"/>
    <w:rsid w:val="73357976"/>
    <w:rsid w:val="733C129D"/>
    <w:rsid w:val="73A421F1"/>
    <w:rsid w:val="73C51AD5"/>
    <w:rsid w:val="740F3BAA"/>
    <w:rsid w:val="741E793C"/>
    <w:rsid w:val="745E3944"/>
    <w:rsid w:val="7478072E"/>
    <w:rsid w:val="74AC7D5E"/>
    <w:rsid w:val="74F87447"/>
    <w:rsid w:val="75085ED1"/>
    <w:rsid w:val="756821F1"/>
    <w:rsid w:val="75A60C51"/>
    <w:rsid w:val="75FF0362"/>
    <w:rsid w:val="761B3043"/>
    <w:rsid w:val="7635099D"/>
    <w:rsid w:val="76A2766B"/>
    <w:rsid w:val="76AC76B9"/>
    <w:rsid w:val="76FD2AF3"/>
    <w:rsid w:val="771A5453"/>
    <w:rsid w:val="775C7E90"/>
    <w:rsid w:val="77762421"/>
    <w:rsid w:val="777B5087"/>
    <w:rsid w:val="77B43AFA"/>
    <w:rsid w:val="77B56B1F"/>
    <w:rsid w:val="77DC253E"/>
    <w:rsid w:val="77EB1EA0"/>
    <w:rsid w:val="780F09F4"/>
    <w:rsid w:val="781520BE"/>
    <w:rsid w:val="781575FF"/>
    <w:rsid w:val="78526E6F"/>
    <w:rsid w:val="7892104D"/>
    <w:rsid w:val="78A90480"/>
    <w:rsid w:val="796C3F60"/>
    <w:rsid w:val="79C717F8"/>
    <w:rsid w:val="7A097A01"/>
    <w:rsid w:val="7A364017"/>
    <w:rsid w:val="7A5101BC"/>
    <w:rsid w:val="7A73715B"/>
    <w:rsid w:val="7A8265E1"/>
    <w:rsid w:val="7A9E639B"/>
    <w:rsid w:val="7AB4585C"/>
    <w:rsid w:val="7B32705A"/>
    <w:rsid w:val="7B686D42"/>
    <w:rsid w:val="7B841746"/>
    <w:rsid w:val="7BA310BC"/>
    <w:rsid w:val="7C697BCF"/>
    <w:rsid w:val="7C6B3F0E"/>
    <w:rsid w:val="7C6C5AC7"/>
    <w:rsid w:val="7C725559"/>
    <w:rsid w:val="7C8F5EF2"/>
    <w:rsid w:val="7CC6544B"/>
    <w:rsid w:val="7CCE5254"/>
    <w:rsid w:val="7CF530C4"/>
    <w:rsid w:val="7D0239FF"/>
    <w:rsid w:val="7D2708CA"/>
    <w:rsid w:val="7D3D1E9B"/>
    <w:rsid w:val="7D5C3C62"/>
    <w:rsid w:val="7D5E40CD"/>
    <w:rsid w:val="7D87519A"/>
    <w:rsid w:val="7DC06330"/>
    <w:rsid w:val="7DCD56F2"/>
    <w:rsid w:val="7DCF2F10"/>
    <w:rsid w:val="7DD61F65"/>
    <w:rsid w:val="7E25598A"/>
    <w:rsid w:val="7E2A5E0F"/>
    <w:rsid w:val="7E3964D6"/>
    <w:rsid w:val="7E680CF0"/>
    <w:rsid w:val="7EA02BBE"/>
    <w:rsid w:val="7EDA7BAC"/>
    <w:rsid w:val="7F001CE7"/>
    <w:rsid w:val="7F220DAB"/>
    <w:rsid w:val="7F2806C9"/>
    <w:rsid w:val="7F353C02"/>
    <w:rsid w:val="7F91726F"/>
    <w:rsid w:val="7F9D28AC"/>
    <w:rsid w:val="7FBB1BBD"/>
    <w:rsid w:val="7FD8020F"/>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iPriority="99"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spacing w:line="360" w:lineRule="auto"/>
      <w:outlineLvl w:val="1"/>
    </w:pPr>
    <w:rPr>
      <w:rFonts w:ascii="黑体" w:hAnsi="宋体" w:eastAsia="黑体"/>
      <w:b/>
    </w:rPr>
  </w:style>
  <w:style w:type="paragraph" w:styleId="4">
    <w:name w:val="heading 3"/>
    <w:basedOn w:val="1"/>
    <w:next w:val="1"/>
    <w:qFormat/>
    <w:locked/>
    <w:uiPriority w:val="0"/>
    <w:pPr>
      <w:keepNext/>
      <w:keepLines/>
      <w:spacing w:before="120" w:line="360" w:lineRule="auto"/>
      <w:outlineLvl w:val="2"/>
    </w:pPr>
    <w:rPr>
      <w:b/>
      <w:bCs/>
      <w:sz w:val="24"/>
      <w:szCs w:val="32"/>
    </w:rPr>
  </w:style>
  <w:style w:type="paragraph" w:styleId="5">
    <w:name w:val="heading 4"/>
    <w:basedOn w:val="1"/>
    <w:next w:val="6"/>
    <w:qFormat/>
    <w:locked/>
    <w:uiPriority w:val="0"/>
    <w:pPr>
      <w:keepNext/>
      <w:tabs>
        <w:tab w:val="left" w:pos="727"/>
      </w:tabs>
      <w:spacing w:line="360" w:lineRule="auto"/>
      <w:ind w:firstLine="346"/>
      <w:outlineLvl w:val="3"/>
    </w:pPr>
    <w:rPr>
      <w:b/>
      <w:szCs w:val="20"/>
    </w:rPr>
  </w:style>
  <w:style w:type="character" w:default="1" w:styleId="27">
    <w:name w:val="Default Paragraph Font"/>
    <w:semiHidden/>
    <w:uiPriority w:val="0"/>
  </w:style>
  <w:style w:type="table" w:default="1" w:styleId="25">
    <w:name w:val="Normal Table"/>
    <w:semiHidden/>
    <w:uiPriority w:val="0"/>
    <w:tblPr>
      <w:tblCellMar>
        <w:top w:w="0" w:type="dxa"/>
        <w:left w:w="108" w:type="dxa"/>
        <w:bottom w:w="0" w:type="dxa"/>
        <w:right w:w="108" w:type="dxa"/>
      </w:tblCellMar>
    </w:tblPr>
  </w:style>
  <w:style w:type="paragraph" w:styleId="6">
    <w:name w:val="Normal Indent"/>
    <w:basedOn w:val="1"/>
    <w:next w:val="1"/>
    <w:qFormat/>
    <w:locked/>
    <w:uiPriority w:val="0"/>
    <w:pPr>
      <w:ind w:firstLine="420" w:firstLineChars="200"/>
    </w:pPr>
  </w:style>
  <w:style w:type="paragraph" w:styleId="7">
    <w:name w:val="List 3"/>
    <w:basedOn w:val="1"/>
    <w:next w:val="1"/>
    <w:qFormat/>
    <w:locked/>
    <w:uiPriority w:val="0"/>
    <w:pPr>
      <w:autoSpaceDE w:val="0"/>
      <w:autoSpaceDN w:val="0"/>
      <w:adjustRightInd w:val="0"/>
      <w:spacing w:line="288" w:lineRule="auto"/>
      <w:ind w:left="1260" w:hanging="420"/>
      <w:jc w:val="left"/>
      <w:textAlignment w:val="baseline"/>
    </w:pPr>
    <w:rPr>
      <w:kern w:val="0"/>
      <w:sz w:val="24"/>
      <w:szCs w:val="20"/>
    </w:rPr>
  </w:style>
  <w:style w:type="paragraph" w:styleId="8">
    <w:name w:val="caption"/>
    <w:basedOn w:val="1"/>
    <w:next w:val="1"/>
    <w:qFormat/>
    <w:locked/>
    <w:uiPriority w:val="0"/>
    <w:rPr>
      <w:rFonts w:ascii="Cambria" w:hAnsi="Cambria" w:eastAsia="黑体"/>
      <w:sz w:val="20"/>
      <w:szCs w:val="20"/>
    </w:rPr>
  </w:style>
  <w:style w:type="paragraph" w:styleId="9">
    <w:name w:val="annotation text"/>
    <w:basedOn w:val="1"/>
    <w:link w:val="33"/>
    <w:semiHidden/>
    <w:qFormat/>
    <w:uiPriority w:val="0"/>
    <w:pPr>
      <w:jc w:val="left"/>
    </w:pPr>
    <w:rPr>
      <w:kern w:val="0"/>
      <w:sz w:val="24"/>
      <w:szCs w:val="20"/>
    </w:rPr>
  </w:style>
  <w:style w:type="paragraph" w:styleId="10">
    <w:name w:val="Body Text"/>
    <w:basedOn w:val="1"/>
    <w:next w:val="11"/>
    <w:link w:val="34"/>
    <w:qFormat/>
    <w:uiPriority w:val="0"/>
    <w:pPr>
      <w:widowControl/>
      <w:snapToGrid w:val="0"/>
      <w:spacing w:before="60" w:after="160" w:line="259" w:lineRule="auto"/>
      <w:ind w:right="113"/>
    </w:pPr>
    <w:rPr>
      <w:kern w:val="0"/>
      <w:sz w:val="18"/>
      <w:szCs w:val="20"/>
    </w:rPr>
  </w:style>
  <w:style w:type="paragraph" w:styleId="11">
    <w:name w:val="List Bullet 5"/>
    <w:basedOn w:val="1"/>
    <w:qFormat/>
    <w:locked/>
    <w:uiPriority w:val="0"/>
    <w:pPr>
      <w:numPr>
        <w:ilvl w:val="0"/>
        <w:numId w:val="1"/>
      </w:numPr>
    </w:pPr>
  </w:style>
  <w:style w:type="paragraph" w:styleId="12">
    <w:name w:val="Body Text Indent"/>
    <w:basedOn w:val="1"/>
    <w:next w:val="1"/>
    <w:link w:val="35"/>
    <w:qFormat/>
    <w:uiPriority w:val="0"/>
    <w:pPr>
      <w:spacing w:after="120"/>
      <w:ind w:left="420" w:leftChars="200"/>
    </w:pPr>
    <w:rPr>
      <w:kern w:val="0"/>
      <w:sz w:val="24"/>
      <w:szCs w:val="20"/>
    </w:rPr>
  </w:style>
  <w:style w:type="paragraph" w:styleId="13">
    <w:name w:val="Plain Text"/>
    <w:basedOn w:val="1"/>
    <w:qFormat/>
    <w:locked/>
    <w:uiPriority w:val="0"/>
    <w:rPr>
      <w:rFonts w:ascii="宋体" w:hAnsi="Courier New"/>
    </w:rPr>
  </w:style>
  <w:style w:type="paragraph" w:styleId="14">
    <w:name w:val="Date"/>
    <w:basedOn w:val="1"/>
    <w:next w:val="1"/>
    <w:link w:val="36"/>
    <w:qFormat/>
    <w:uiPriority w:val="0"/>
    <w:pPr>
      <w:ind w:left="100" w:leftChars="2500"/>
    </w:pPr>
    <w:rPr>
      <w:kern w:val="0"/>
      <w:sz w:val="24"/>
      <w:szCs w:val="20"/>
    </w:rPr>
  </w:style>
  <w:style w:type="paragraph" w:styleId="15">
    <w:name w:val="Body Text Indent 2"/>
    <w:basedOn w:val="1"/>
    <w:unhideWhenUsed/>
    <w:qFormat/>
    <w:locked/>
    <w:uiPriority w:val="99"/>
    <w:pPr>
      <w:spacing w:after="120" w:line="480" w:lineRule="auto"/>
      <w:ind w:left="420" w:leftChars="200"/>
    </w:pPr>
  </w:style>
  <w:style w:type="paragraph" w:styleId="16">
    <w:name w:val="Balloon Text"/>
    <w:basedOn w:val="1"/>
    <w:link w:val="37"/>
    <w:semiHidden/>
    <w:qFormat/>
    <w:uiPriority w:val="0"/>
    <w:rPr>
      <w:kern w:val="0"/>
      <w:sz w:val="18"/>
      <w:szCs w:val="20"/>
    </w:rPr>
  </w:style>
  <w:style w:type="paragraph" w:styleId="17">
    <w:name w:val="footer"/>
    <w:basedOn w:val="1"/>
    <w:link w:val="38"/>
    <w:qFormat/>
    <w:uiPriority w:val="99"/>
    <w:pPr>
      <w:tabs>
        <w:tab w:val="center" w:pos="4153"/>
        <w:tab w:val="right" w:pos="8306"/>
      </w:tabs>
      <w:snapToGrid w:val="0"/>
      <w:jc w:val="left"/>
    </w:pPr>
    <w:rPr>
      <w:kern w:val="0"/>
      <w:sz w:val="18"/>
      <w:szCs w:val="20"/>
    </w:rPr>
  </w:style>
  <w:style w:type="paragraph" w:styleId="18">
    <w:name w:val="header"/>
    <w:basedOn w:val="1"/>
    <w:link w:val="39"/>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List"/>
    <w:basedOn w:val="1"/>
    <w:qFormat/>
    <w:locked/>
    <w:uiPriority w:val="0"/>
    <w:pPr>
      <w:spacing w:line="440" w:lineRule="exact"/>
      <w:jc w:val="center"/>
      <w:textAlignment w:val="baseline"/>
    </w:pPr>
    <w:rPr>
      <w:rFonts w:ascii="宋体" w:hAnsi="宋体"/>
      <w:sz w:val="20"/>
      <w:szCs w:val="20"/>
    </w:rPr>
  </w:style>
  <w:style w:type="paragraph" w:styleId="20">
    <w:name w:val="Normal (Web)"/>
    <w:basedOn w:val="1"/>
    <w:link w:val="40"/>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9"/>
    <w:next w:val="9"/>
    <w:link w:val="41"/>
    <w:semiHidden/>
    <w:qFormat/>
    <w:uiPriority w:val="0"/>
    <w:rPr>
      <w:b/>
      <w:sz w:val="24"/>
      <w:szCs w:val="20"/>
    </w:rPr>
  </w:style>
  <w:style w:type="paragraph" w:styleId="22">
    <w:name w:val="Body Text First Indent"/>
    <w:basedOn w:val="10"/>
    <w:qFormat/>
    <w:locked/>
    <w:uiPriority w:val="0"/>
    <w:pPr>
      <w:overflowPunct/>
      <w:autoSpaceDE w:val="0"/>
      <w:autoSpaceDN w:val="0"/>
      <w:adjustRightInd w:val="0"/>
      <w:spacing w:after="120" w:line="360" w:lineRule="auto"/>
      <w:ind w:firstLine="420" w:firstLineChars="100"/>
    </w:pPr>
    <w:rPr>
      <w:kern w:val="0"/>
    </w:rPr>
  </w:style>
  <w:style w:type="paragraph" w:styleId="23">
    <w:name w:val="Body Text First Indent 2"/>
    <w:basedOn w:val="12"/>
    <w:next w:val="24"/>
    <w:qFormat/>
    <w:locked/>
    <w:uiPriority w:val="0"/>
    <w:pPr>
      <w:spacing w:after="120" w:line="240" w:lineRule="auto"/>
      <w:ind w:left="420" w:leftChars="200" w:firstLine="210"/>
    </w:pPr>
    <w:rPr>
      <w:sz w:val="21"/>
    </w:rPr>
  </w:style>
  <w:style w:type="paragraph" w:customStyle="1" w:styleId="24">
    <w:name w:val="正文1"/>
    <w:basedOn w:val="1"/>
    <w:qFormat/>
    <w:uiPriority w:val="0"/>
    <w:pPr>
      <w:adjustRightInd w:val="0"/>
      <w:spacing w:line="315" w:lineRule="atLeast"/>
    </w:pPr>
    <w:rPr>
      <w:rFonts w:hint="eastAsia" w:ascii="宋体" w:eastAsia="宋体"/>
      <w:kern w:val="0"/>
      <w:sz w:val="28"/>
      <w:szCs w:val="20"/>
    </w:rPr>
  </w:style>
  <w:style w:type="table" w:styleId="26">
    <w:name w:val="Table Grid"/>
    <w:basedOn w:val="2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locked/>
    <w:uiPriority w:val="0"/>
    <w:rPr>
      <w:b/>
    </w:rPr>
  </w:style>
  <w:style w:type="character" w:styleId="29">
    <w:name w:val="page number"/>
    <w:basedOn w:val="27"/>
    <w:qFormat/>
    <w:locked/>
    <w:uiPriority w:val="0"/>
  </w:style>
  <w:style w:type="character" w:styleId="30">
    <w:name w:val="FollowedHyperlink"/>
    <w:basedOn w:val="27"/>
    <w:qFormat/>
    <w:locked/>
    <w:uiPriority w:val="0"/>
    <w:rPr>
      <w:color w:val="333333"/>
      <w:u w:val="none"/>
    </w:rPr>
  </w:style>
  <w:style w:type="character" w:styleId="31">
    <w:name w:val="Hyperlink"/>
    <w:basedOn w:val="27"/>
    <w:qFormat/>
    <w:locked/>
    <w:uiPriority w:val="0"/>
    <w:rPr>
      <w:color w:val="333333"/>
      <w:u w:val="none"/>
    </w:rPr>
  </w:style>
  <w:style w:type="character" w:styleId="32">
    <w:name w:val="annotation reference"/>
    <w:semiHidden/>
    <w:qFormat/>
    <w:uiPriority w:val="0"/>
    <w:rPr>
      <w:sz w:val="21"/>
    </w:rPr>
  </w:style>
  <w:style w:type="character" w:customStyle="1" w:styleId="33">
    <w:name w:val="批注文字 Char"/>
    <w:link w:val="9"/>
    <w:qFormat/>
    <w:locked/>
    <w:uiPriority w:val="0"/>
    <w:rPr>
      <w:rFonts w:ascii="Times New Roman" w:hAnsi="Times New Roman" w:eastAsia="宋体"/>
      <w:sz w:val="24"/>
    </w:rPr>
  </w:style>
  <w:style w:type="character" w:customStyle="1" w:styleId="34">
    <w:name w:val="正文文本 Char"/>
    <w:link w:val="10"/>
    <w:qFormat/>
    <w:locked/>
    <w:uiPriority w:val="0"/>
    <w:rPr>
      <w:sz w:val="18"/>
    </w:rPr>
  </w:style>
  <w:style w:type="character" w:customStyle="1" w:styleId="35">
    <w:name w:val="正文文本缩进 Char"/>
    <w:link w:val="12"/>
    <w:semiHidden/>
    <w:locked/>
    <w:uiPriority w:val="0"/>
    <w:rPr>
      <w:rFonts w:ascii="Times New Roman" w:hAnsi="Times New Roman" w:eastAsia="宋体"/>
      <w:sz w:val="24"/>
    </w:rPr>
  </w:style>
  <w:style w:type="character" w:customStyle="1" w:styleId="36">
    <w:name w:val="日期 Char"/>
    <w:link w:val="14"/>
    <w:locked/>
    <w:uiPriority w:val="0"/>
    <w:rPr>
      <w:rFonts w:ascii="Times New Roman" w:hAnsi="Times New Roman" w:eastAsia="宋体"/>
      <w:sz w:val="24"/>
    </w:rPr>
  </w:style>
  <w:style w:type="character" w:customStyle="1" w:styleId="37">
    <w:name w:val="批注框文本 Char"/>
    <w:link w:val="16"/>
    <w:semiHidden/>
    <w:locked/>
    <w:uiPriority w:val="0"/>
    <w:rPr>
      <w:rFonts w:ascii="Times New Roman" w:hAnsi="Times New Roman" w:eastAsia="宋体"/>
      <w:sz w:val="18"/>
    </w:rPr>
  </w:style>
  <w:style w:type="character" w:customStyle="1" w:styleId="38">
    <w:name w:val="页脚 Char"/>
    <w:link w:val="17"/>
    <w:locked/>
    <w:uiPriority w:val="99"/>
    <w:rPr>
      <w:sz w:val="18"/>
    </w:rPr>
  </w:style>
  <w:style w:type="character" w:customStyle="1" w:styleId="39">
    <w:name w:val="页眉 Char"/>
    <w:link w:val="18"/>
    <w:locked/>
    <w:uiPriority w:val="0"/>
    <w:rPr>
      <w:sz w:val="18"/>
    </w:rPr>
  </w:style>
  <w:style w:type="character" w:customStyle="1" w:styleId="40">
    <w:name w:val="普通(网站) Char"/>
    <w:link w:val="20"/>
    <w:locked/>
    <w:uiPriority w:val="0"/>
    <w:rPr>
      <w:rFonts w:ascii="宋体" w:hAnsi="宋体" w:eastAsia="宋体"/>
      <w:sz w:val="24"/>
    </w:rPr>
  </w:style>
  <w:style w:type="character" w:customStyle="1" w:styleId="41">
    <w:name w:val="批注主题 Char"/>
    <w:link w:val="21"/>
    <w:semiHidden/>
    <w:locked/>
    <w:uiPriority w:val="0"/>
    <w:rPr>
      <w:rFonts w:ascii="Times New Roman" w:hAnsi="Times New Roman" w:eastAsia="宋体"/>
      <w:b/>
      <w:kern w:val="2"/>
      <w:sz w:val="24"/>
    </w:rPr>
  </w:style>
  <w:style w:type="paragraph" w:customStyle="1" w:styleId="42">
    <w:name w:val="Default"/>
    <w:basedOn w:val="43"/>
    <w:unhideWhenUsed/>
    <w:uiPriority w:val="99"/>
    <w:pPr>
      <w:widowControl w:val="0"/>
      <w:tabs>
        <w:tab w:val="right" w:pos="0"/>
      </w:tabs>
      <w:autoSpaceDE w:val="0"/>
      <w:autoSpaceDN w:val="0"/>
      <w:adjustRightInd w:val="0"/>
      <w:spacing w:beforeLines="0" w:afterLines="0"/>
    </w:pPr>
    <w:rPr>
      <w:rFonts w:hint="default" w:ascii="宋体" w:hAnsi="宋体" w:eastAsia="宋体"/>
      <w:color w:val="000000"/>
      <w:sz w:val="24"/>
      <w:szCs w:val="24"/>
    </w:rPr>
  </w:style>
  <w:style w:type="paragraph" w:customStyle="1" w:styleId="43">
    <w:name w:val="纯文本1"/>
    <w:basedOn w:val="1"/>
    <w:qFormat/>
    <w:uiPriority w:val="0"/>
    <w:pPr>
      <w:tabs>
        <w:tab w:val="right" w:pos="0"/>
      </w:tabs>
      <w:adjustRightInd w:val="0"/>
      <w:snapToGrid w:val="0"/>
      <w:spacing w:line="360" w:lineRule="auto"/>
      <w:jc w:val="center"/>
      <w:textAlignment w:val="baseline"/>
    </w:pPr>
    <w:rPr>
      <w:rFonts w:ascii="宋体" w:hAnsi="Courier New" w:eastAsia="仿宋_GB2312"/>
      <w:snapToGrid w:val="0"/>
      <w:kern w:val="0"/>
      <w:sz w:val="24"/>
      <w:szCs w:val="20"/>
    </w:rPr>
  </w:style>
  <w:style w:type="paragraph" w:customStyle="1" w:styleId="44">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45">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character" w:customStyle="1" w:styleId="46">
    <w:name w:val="日期 字符"/>
    <w:semiHidden/>
    <w:qFormat/>
    <w:uiPriority w:val="0"/>
    <w:rPr>
      <w:rFonts w:ascii="Times New Roman" w:hAnsi="Times New Roman" w:eastAsia="宋体"/>
      <w:sz w:val="24"/>
    </w:rPr>
  </w:style>
  <w:style w:type="character" w:customStyle="1" w:styleId="47">
    <w:name w:val="表格 Char"/>
    <w:link w:val="48"/>
    <w:locked/>
    <w:uiPriority w:val="0"/>
    <w:rPr>
      <w:rFonts w:ascii="宋体"/>
      <w:sz w:val="21"/>
    </w:rPr>
  </w:style>
  <w:style w:type="paragraph" w:customStyle="1" w:styleId="48">
    <w:name w:val="表格"/>
    <w:basedOn w:val="1"/>
    <w:link w:val="47"/>
    <w:uiPriority w:val="0"/>
    <w:pPr>
      <w:adjustRightInd w:val="0"/>
      <w:snapToGrid w:val="0"/>
      <w:spacing w:beforeLines="10" w:afterLines="10" w:line="259" w:lineRule="auto"/>
      <w:jc w:val="center"/>
    </w:pPr>
    <w:rPr>
      <w:rFonts w:ascii="宋体"/>
      <w:kern w:val="0"/>
      <w:szCs w:val="20"/>
    </w:rPr>
  </w:style>
  <w:style w:type="character" w:customStyle="1" w:styleId="49">
    <w:name w:val="批注文字 字符1"/>
    <w:semiHidden/>
    <w:qFormat/>
    <w:uiPriority w:val="0"/>
    <w:rPr>
      <w:rFonts w:ascii="Times New Roman" w:hAnsi="Times New Roman" w:eastAsia="宋体"/>
      <w:sz w:val="24"/>
    </w:rPr>
  </w:style>
  <w:style w:type="character" w:customStyle="1" w:styleId="50">
    <w:name w:val="正文文本 字符1"/>
    <w:semiHidden/>
    <w:uiPriority w:val="0"/>
    <w:rPr>
      <w:rFonts w:ascii="Times New Roman" w:hAnsi="Times New Roman" w:eastAsia="宋体"/>
      <w:sz w:val="24"/>
    </w:rPr>
  </w:style>
  <w:style w:type="character" w:customStyle="1" w:styleId="51">
    <w:name w:val="font01"/>
    <w:basedOn w:val="27"/>
    <w:uiPriority w:val="0"/>
    <w:rPr>
      <w:rFonts w:hint="eastAsia" w:ascii="宋体" w:hAnsi="宋体" w:eastAsia="宋体" w:cs="宋体"/>
      <w:b/>
      <w:color w:val="FF0000"/>
      <w:sz w:val="24"/>
      <w:szCs w:val="24"/>
      <w:u w:val="none"/>
    </w:rPr>
  </w:style>
  <w:style w:type="character" w:customStyle="1" w:styleId="52">
    <w:name w:val="页脚 字符"/>
    <w:basedOn w:val="27"/>
    <w:uiPriority w:val="99"/>
  </w:style>
  <w:style w:type="paragraph" w:customStyle="1" w:styleId="53">
    <w:name w:val="正文_10"/>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4">
    <w:name w:val="标题3"/>
    <w:basedOn w:val="1"/>
    <w:qFormat/>
    <w:uiPriority w:val="0"/>
    <w:pPr>
      <w:spacing w:beforeLines="50" w:afterLines="0"/>
      <w:ind w:firstLine="0" w:firstLineChars="0"/>
      <w:outlineLvl w:val="2"/>
    </w:pPr>
    <w:rPr>
      <w:rFonts w:eastAsia="宋体"/>
      <w:b/>
      <w:bCs/>
      <w:color w:val="000000"/>
    </w:rPr>
  </w:style>
  <w:style w:type="paragraph" w:customStyle="1" w:styleId="55">
    <w:name w:val="Date"/>
    <w:basedOn w:val="1"/>
    <w:next w:val="1"/>
    <w:qFormat/>
    <w:uiPriority w:val="0"/>
    <w:pPr>
      <w:adjustRightInd w:val="0"/>
      <w:textAlignment w:val="baseline"/>
    </w:pPr>
    <w:rPr>
      <w:szCs w:val="20"/>
    </w:rPr>
  </w:style>
  <w:style w:type="paragraph" w:customStyle="1" w:styleId="56">
    <w:name w:val="普通(网站)2"/>
    <w:basedOn w:val="1"/>
    <w:uiPriority w:val="0"/>
    <w:pPr>
      <w:widowControl/>
      <w:spacing w:before="100" w:beforeAutospacing="1" w:after="100" w:afterAutospacing="1"/>
      <w:jc w:val="left"/>
    </w:pPr>
    <w:rPr>
      <w:rFonts w:ascii="宋体" w:hAnsi="宋体"/>
      <w:sz w:val="24"/>
      <w:szCs w:val="20"/>
    </w:rPr>
  </w:style>
  <w:style w:type="paragraph" w:customStyle="1" w:styleId="57">
    <w:name w:val="流程"/>
    <w:basedOn w:val="1"/>
    <w:qFormat/>
    <w:uiPriority w:val="0"/>
    <w:pPr>
      <w:adjustRightInd w:val="0"/>
      <w:snapToGrid w:val="0"/>
      <w:jc w:val="center"/>
    </w:pPr>
    <w:rPr>
      <w:rFonts w:eastAsia="仿宋_GB2312"/>
      <w:color w:val="000000"/>
    </w:rPr>
  </w:style>
  <w:style w:type="paragraph" w:customStyle="1" w:styleId="58">
    <w:name w:val="正文四号"/>
    <w:basedOn w:val="1"/>
    <w:uiPriority w:val="0"/>
    <w:pPr>
      <w:spacing w:after="156" w:afterLines="50" w:line="360" w:lineRule="auto"/>
      <w:ind w:firstLine="200" w:firstLineChars="200"/>
    </w:pPr>
    <w:rPr>
      <w:sz w:val="24"/>
      <w:szCs w:val="28"/>
    </w:rPr>
  </w:style>
  <w:style w:type="paragraph" w:customStyle="1" w:styleId="59">
    <w:name w:val="文本11"/>
    <w:basedOn w:val="1"/>
    <w:qFormat/>
    <w:uiPriority w:val="0"/>
    <w:pPr>
      <w:spacing w:beforeLines="0" w:afterLines="0"/>
    </w:pPr>
    <w:rPr>
      <w:rFonts w:eastAsia="宋体" w:cs="Times New Roman"/>
      <w:color w:val="000000"/>
      <w:szCs w:val="24"/>
    </w:rPr>
  </w:style>
  <w:style w:type="paragraph" w:customStyle="1" w:styleId="60">
    <w:name w:val="表头11"/>
    <w:basedOn w:val="1"/>
    <w:qFormat/>
    <w:uiPriority w:val="0"/>
    <w:pPr>
      <w:adjustRightInd w:val="0"/>
      <w:snapToGrid w:val="0"/>
      <w:spacing w:beforeLines="30" w:line="460" w:lineRule="exact"/>
      <w:ind w:firstLine="0" w:firstLineChars="0"/>
      <w:jc w:val="center"/>
    </w:pPr>
    <w:rPr>
      <w:rFonts w:eastAsia="宋体" w:cs="Times New Roman"/>
      <w:b/>
      <w:snapToGrid w:val="0"/>
      <w:kern w:val="0"/>
      <w:szCs w:val="24"/>
    </w:rPr>
  </w:style>
  <w:style w:type="paragraph" w:customStyle="1" w:styleId="61">
    <w:name w:val="表内字体111"/>
    <w:basedOn w:val="1"/>
    <w:qFormat/>
    <w:uiPriority w:val="0"/>
    <w:pPr>
      <w:adjustRightInd w:val="0"/>
      <w:snapToGrid w:val="0"/>
      <w:spacing w:beforeLines="0" w:afterLines="0" w:line="240" w:lineRule="auto"/>
      <w:ind w:firstLine="0" w:firstLineChars="0"/>
      <w:jc w:val="center"/>
    </w:pPr>
    <w:rPr>
      <w:rFonts w:eastAsia="宋体" w:cs="Times New Roman"/>
      <w:snapToGrid w:val="0"/>
      <w:kern w:val="0"/>
      <w:sz w:val="21"/>
      <w:szCs w:val="24"/>
    </w:rPr>
  </w:style>
  <w:style w:type="paragraph" w:customStyle="1" w:styleId="62">
    <w:name w:val="图头11"/>
    <w:basedOn w:val="1"/>
    <w:qFormat/>
    <w:uiPriority w:val="0"/>
    <w:pPr>
      <w:adjustRightInd w:val="0"/>
      <w:snapToGrid w:val="0"/>
      <w:spacing w:beforeLines="0" w:afterLines="100" w:line="0" w:lineRule="atLeast"/>
      <w:ind w:firstLine="0" w:firstLineChars="0"/>
      <w:jc w:val="center"/>
    </w:pPr>
    <w:rPr>
      <w:rFonts w:eastAsia="宋体" w:cs="Times New Roman"/>
      <w:b/>
      <w:snapToGrid w:val="0"/>
      <w:kern w:val="0"/>
      <w:szCs w:val="24"/>
    </w:rPr>
  </w:style>
  <w:style w:type="paragraph" w:customStyle="1" w:styleId="63">
    <w:name w:val="01正文"/>
    <w:basedOn w:val="1"/>
    <w:qFormat/>
    <w:uiPriority w:val="0"/>
    <w:pPr>
      <w:adjustRightInd w:val="0"/>
      <w:snapToGrid w:val="0"/>
      <w:spacing w:line="480" w:lineRule="exact"/>
      <w:ind w:firstLine="520" w:firstLineChars="200"/>
    </w:pPr>
    <w:rPr>
      <w:sz w:val="26"/>
      <w:szCs w:val="26"/>
    </w:rPr>
  </w:style>
  <w:style w:type="paragraph" w:customStyle="1" w:styleId="64">
    <w:name w:val="表格内容"/>
    <w:qFormat/>
    <w:uiPriority w:val="0"/>
    <w:pPr>
      <w:widowControl w:val="0"/>
      <w:spacing w:line="0" w:lineRule="atLeast"/>
      <w:jc w:val="center"/>
    </w:pPr>
    <w:rPr>
      <w:rFonts w:ascii="宋体" w:hAnsi="宋体" w:eastAsia="仿宋" w:cs="Times New Roman"/>
      <w:sz w:val="21"/>
      <w:szCs w:val="21"/>
      <w:lang w:val="en-US" w:eastAsia="zh-CN" w:bidi="ar-SA"/>
    </w:rPr>
  </w:style>
  <w:style w:type="paragraph" w:customStyle="1" w:styleId="65">
    <w:name w:val="标题4"/>
    <w:basedOn w:val="1"/>
    <w:qFormat/>
    <w:uiPriority w:val="0"/>
    <w:pPr>
      <w:spacing w:beforeLines="50"/>
      <w:ind w:firstLine="0" w:firstLineChars="0"/>
      <w:jc w:val="left"/>
      <w:outlineLvl w:val="3"/>
    </w:pPr>
    <w:rPr>
      <w:rFonts w:eastAsia="宋体"/>
      <w:b/>
    </w:rPr>
  </w:style>
  <w:style w:type="paragraph" w:customStyle="1" w:styleId="66">
    <w:name w:val="正文 首行缩进:  2 字符"/>
    <w:basedOn w:val="1"/>
    <w:qFormat/>
    <w:uiPriority w:val="0"/>
    <w:pPr>
      <w:autoSpaceDE w:val="0"/>
      <w:autoSpaceDN w:val="0"/>
      <w:adjustRightInd w:val="0"/>
      <w:spacing w:line="500" w:lineRule="exact"/>
      <w:outlineLvl w:val="0"/>
    </w:pPr>
    <w:rPr>
      <w:rFonts w:ascii="宋体" w:hAnsi="宋体"/>
      <w:kern w:val="0"/>
      <w:szCs w:val="28"/>
    </w:rPr>
  </w:style>
  <w:style w:type="paragraph" w:customStyle="1" w:styleId="67">
    <w:name w:val="表格文字"/>
    <w:basedOn w:val="13"/>
    <w:next w:val="1"/>
    <w:qFormat/>
    <w:uiPriority w:val="0"/>
    <w:pPr>
      <w:jc w:val="center"/>
    </w:pPr>
    <w:rPr>
      <w:rFonts w:ascii="宋体" w:hAnsi="宋体" w:eastAsia="仿宋_GB2312"/>
      <w:kern w:val="44"/>
      <w:sz w:val="24"/>
      <w:szCs w:val="20"/>
    </w:rPr>
  </w:style>
  <w:style w:type="paragraph" w:customStyle="1" w:styleId="68">
    <w:name w:val="11表格文字"/>
    <w:basedOn w:val="69"/>
    <w:qFormat/>
    <w:uiPriority w:val="0"/>
    <w:pPr>
      <w:jc w:val="center"/>
    </w:pPr>
    <w:rPr>
      <w:szCs w:val="21"/>
    </w:rPr>
  </w:style>
  <w:style w:type="paragraph" w:customStyle="1" w:styleId="69">
    <w:name w:val=" Char Char Char Char Char Char Char"/>
    <w:basedOn w:val="1"/>
    <w:qFormat/>
    <w:uiPriority w:val="0"/>
    <w:rPr>
      <w:sz w:val="21"/>
      <w:szCs w:val="20"/>
    </w:rPr>
  </w:style>
  <w:style w:type="character" w:customStyle="1" w:styleId="70">
    <w:name w:val="样式2 Char"/>
    <w:link w:val="71"/>
    <w:qFormat/>
    <w:uiPriority w:val="0"/>
    <w:rPr>
      <w:sz w:val="24"/>
      <w:szCs w:val="20"/>
    </w:rPr>
  </w:style>
  <w:style w:type="paragraph" w:customStyle="1" w:styleId="71">
    <w:name w:val="样式2"/>
    <w:basedOn w:val="58"/>
    <w:link w:val="70"/>
    <w:qFormat/>
    <w:uiPriority w:val="0"/>
    <w:pPr>
      <w:spacing w:line="560" w:lineRule="exact"/>
    </w:pPr>
    <w:rPr>
      <w:sz w:val="24"/>
      <w:szCs w:val="20"/>
    </w:rPr>
  </w:style>
  <w:style w:type="paragraph" w:customStyle="1" w:styleId="72">
    <w:name w:val="正文111111111"/>
    <w:basedOn w:val="1"/>
    <w:qFormat/>
    <w:uiPriority w:val="0"/>
    <w:pPr>
      <w:adjustRightInd w:val="0"/>
      <w:snapToGrid w:val="0"/>
      <w:spacing w:line="360" w:lineRule="auto"/>
      <w:ind w:firstLine="200" w:firstLineChars="200"/>
    </w:pPr>
    <w:rPr>
      <w:szCs w:val="20"/>
    </w:rPr>
  </w:style>
  <w:style w:type="table" w:customStyle="1" w:styleId="73">
    <w:name w:val="网格型7"/>
    <w:basedOn w:val="25"/>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4">
    <w:name w:val="表头"/>
    <w:basedOn w:val="8"/>
    <w:qFormat/>
    <w:uiPriority w:val="0"/>
    <w:pPr>
      <w:spacing w:before="50" w:beforeLines="50"/>
      <w:jc w:val="center"/>
    </w:pPr>
    <w:rPr>
      <w:rFonts w:ascii="Times New Roman" w:hAnsi="Times New Roman" w:eastAsia="黑体" w:cs="Times New Roman"/>
      <w:kern w:val="2"/>
      <w:sz w:val="21"/>
      <w:szCs w:val="24"/>
      <w:lang w:val="en-US" w:eastAsia="zh-CN" w:bidi="ar-SA"/>
    </w:rPr>
  </w:style>
  <w:style w:type="paragraph" w:customStyle="1" w:styleId="75">
    <w:name w:val="表格内容111"/>
    <w:basedOn w:val="1"/>
    <w:qFormat/>
    <w:uiPriority w:val="0"/>
    <w:pPr>
      <w:widowControl/>
      <w:adjustRightInd w:val="0"/>
      <w:snapToGrid w:val="0"/>
      <w:jc w:val="center"/>
    </w:pPr>
    <w:rPr>
      <w:rFonts w:cs="宋体"/>
      <w:szCs w:val="20"/>
    </w:rPr>
  </w:style>
  <w:style w:type="paragraph" w:customStyle="1" w:styleId="76">
    <w:name w:val="表头[BT]"/>
    <w:basedOn w:val="1"/>
    <w:qFormat/>
    <w:uiPriority w:val="0"/>
    <w:pPr>
      <w:adjustRightInd w:val="0"/>
      <w:spacing w:before="120" w:after="120" w:line="240" w:lineRule="auto"/>
      <w:ind w:firstLine="0" w:firstLineChars="0"/>
      <w:jc w:val="center"/>
      <w:textAlignment w:val="baseline"/>
    </w:pPr>
    <w:rPr>
      <w:rFonts w:ascii="楷体_GB2312" w:eastAsia="楷体_GB2312"/>
      <w:kern w:val="0"/>
      <w:sz w:val="21"/>
      <w:szCs w:val="20"/>
    </w:rPr>
  </w:style>
  <w:style w:type="paragraph" w:customStyle="1" w:styleId="77">
    <w:name w:val="Body Text 22"/>
    <w:basedOn w:val="1"/>
    <w:qFormat/>
    <w:uiPriority w:val="0"/>
    <w:pPr>
      <w:adjustRightInd w:val="0"/>
      <w:spacing w:line="440" w:lineRule="atLeast"/>
      <w:ind w:firstLine="480"/>
      <w:textAlignment w:val="baseline"/>
    </w:pPr>
    <w:rPr>
      <w:rFonts w:eastAsia="仿宋_GB2312"/>
      <w:sz w:val="24"/>
      <w:szCs w:val="20"/>
    </w:rPr>
  </w:style>
  <w:style w:type="paragraph" w:customStyle="1" w:styleId="78">
    <w:name w:val="标题2"/>
    <w:basedOn w:val="1"/>
    <w:qFormat/>
    <w:uiPriority w:val="0"/>
    <w:pPr>
      <w:spacing w:beforeLines="50" w:afterLines="50"/>
      <w:ind w:firstLine="0" w:firstLineChars="0"/>
      <w:outlineLvl w:val="1"/>
    </w:pPr>
    <w:rPr>
      <w:rFonts w:eastAsia="宋体"/>
      <w:b/>
      <w:color w:val="000000"/>
    </w:rPr>
  </w:style>
  <w:style w:type="paragraph" w:customStyle="1" w:styleId="79">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80">
    <w:name w:val="正文文本 (2)"/>
    <w:basedOn w:val="1"/>
    <w:qFormat/>
    <w:uiPriority w:val="0"/>
    <w:pPr>
      <w:widowControl w:val="0"/>
      <w:shd w:val="clear" w:color="auto" w:fill="auto"/>
      <w:spacing w:line="286" w:lineRule="auto"/>
    </w:pPr>
    <w:rPr>
      <w:rFonts w:ascii="Calibri" w:hAnsi="Calibri" w:eastAsia="Calibri" w:cs="Calibri"/>
      <w:sz w:val="42"/>
      <w:szCs w:val="42"/>
      <w:u w:val="none"/>
      <w:shd w:val="clear" w:color="auto" w:fill="auto"/>
    </w:rPr>
  </w:style>
  <w:style w:type="paragraph" w:styleId="81">
    <w:name w:val="List Paragraph"/>
    <w:basedOn w:val="1"/>
    <w:qFormat/>
    <w:uiPriority w:val="1"/>
    <w:pPr>
      <w:spacing w:line="275" w:lineRule="exact"/>
      <w:ind w:left="730"/>
    </w:pPr>
    <w:rPr>
      <w:rFonts w:ascii="宋体" w:hAnsi="宋体" w:eastAsia="宋体" w:cs="宋体"/>
      <w:lang w:val="zh-CN" w:eastAsia="zh-CN" w:bidi="zh-CN"/>
    </w:rPr>
  </w:style>
  <w:style w:type="character" w:customStyle="1" w:styleId="82">
    <w:name w:val="ban-dy"/>
    <w:basedOn w:val="27"/>
    <w:qFormat/>
    <w:uiPriority w:val="0"/>
    <w:rPr>
      <w:sz w:val="27"/>
      <w:szCs w:val="27"/>
    </w:rPr>
  </w:style>
  <w:style w:type="character" w:customStyle="1" w:styleId="83">
    <w:name w:val="tit20"/>
    <w:basedOn w:val="27"/>
    <w:qFormat/>
    <w:uiPriority w:val="0"/>
    <w:rPr>
      <w:b/>
      <w:bCs/>
      <w:color w:val="333333"/>
      <w:sz w:val="39"/>
      <w:szCs w:val="39"/>
    </w:rPr>
  </w:style>
  <w:style w:type="character" w:customStyle="1" w:styleId="84">
    <w:name w:val="hover37"/>
    <w:basedOn w:val="27"/>
    <w:qFormat/>
    <w:uiPriority w:val="0"/>
    <w:rPr>
      <w:b/>
      <w:bCs/>
    </w:rPr>
  </w:style>
  <w:style w:type="character" w:customStyle="1" w:styleId="85">
    <w:name w:val="hover38"/>
    <w:basedOn w:val="27"/>
    <w:qFormat/>
    <w:uiPriority w:val="0"/>
    <w:rPr>
      <w:shd w:val="clear" w:color="auto" w:fill="FF0000"/>
    </w:rPr>
  </w:style>
  <w:style w:type="character" w:customStyle="1" w:styleId="86">
    <w:name w:val="hover39"/>
    <w:basedOn w:val="27"/>
    <w:qFormat/>
    <w:uiPriority w:val="0"/>
    <w:rPr>
      <w:shd w:val="clear" w:color="auto" w:fill="FF0000"/>
    </w:rPr>
  </w:style>
  <w:style w:type="character" w:customStyle="1" w:styleId="87">
    <w:name w:val="tyhl"/>
    <w:basedOn w:val="27"/>
    <w:qFormat/>
    <w:uiPriority w:val="0"/>
    <w:rPr>
      <w:shd w:val="clear" w:color="auto" w:fill="FFFFFF"/>
    </w:rPr>
  </w:style>
  <w:style w:type="character" w:customStyle="1" w:styleId="88">
    <w:name w:val="yj-time"/>
    <w:basedOn w:val="27"/>
    <w:qFormat/>
    <w:uiPriority w:val="0"/>
    <w:rPr>
      <w:color w:val="AAAAAA"/>
      <w:sz w:val="18"/>
      <w:szCs w:val="18"/>
    </w:rPr>
  </w:style>
  <w:style w:type="character" w:customStyle="1" w:styleId="89">
    <w:name w:val="red"/>
    <w:basedOn w:val="27"/>
    <w:qFormat/>
    <w:uiPriority w:val="0"/>
    <w:rPr>
      <w:color w:val="E1211F"/>
    </w:rPr>
  </w:style>
  <w:style w:type="character" w:customStyle="1" w:styleId="90">
    <w:name w:val="red1"/>
    <w:basedOn w:val="27"/>
    <w:qFormat/>
    <w:uiPriority w:val="0"/>
    <w:rPr>
      <w:color w:val="E1211F"/>
    </w:rPr>
  </w:style>
  <w:style w:type="character" w:customStyle="1" w:styleId="91">
    <w:name w:val="red2"/>
    <w:basedOn w:val="27"/>
    <w:qFormat/>
    <w:uiPriority w:val="0"/>
    <w:rPr>
      <w:color w:val="E33938"/>
      <w:u w:val="single"/>
    </w:rPr>
  </w:style>
  <w:style w:type="character" w:customStyle="1" w:styleId="92">
    <w:name w:val="red3"/>
    <w:basedOn w:val="27"/>
    <w:qFormat/>
    <w:uiPriority w:val="0"/>
    <w:rPr>
      <w:color w:val="E1211F"/>
      <w:u w:val="single"/>
    </w:rPr>
  </w:style>
  <w:style w:type="character" w:customStyle="1" w:styleId="93">
    <w:name w:val="red4"/>
    <w:basedOn w:val="27"/>
    <w:qFormat/>
    <w:uiPriority w:val="0"/>
    <w:rPr>
      <w:color w:val="E1211F"/>
    </w:rPr>
  </w:style>
  <w:style w:type="character" w:customStyle="1" w:styleId="94">
    <w:name w:val="w100"/>
    <w:basedOn w:val="27"/>
    <w:qFormat/>
    <w:uiPriority w:val="0"/>
  </w:style>
  <w:style w:type="character" w:customStyle="1" w:styleId="95">
    <w:name w:val="name"/>
    <w:basedOn w:val="27"/>
    <w:qFormat/>
    <w:uiPriority w:val="0"/>
    <w:rPr>
      <w:color w:val="2760B7"/>
    </w:rPr>
  </w:style>
  <w:style w:type="character" w:customStyle="1" w:styleId="96">
    <w:name w:val="yjr"/>
    <w:basedOn w:val="27"/>
    <w:qFormat/>
    <w:uiPriority w:val="0"/>
    <w:rPr>
      <w:color w:val="AAAAAA"/>
      <w:sz w:val="18"/>
      <w:szCs w:val="18"/>
    </w:rPr>
  </w:style>
  <w:style w:type="character" w:customStyle="1" w:styleId="97">
    <w:name w:val="cur18"/>
    <w:basedOn w:val="27"/>
    <w:qFormat/>
    <w:uiPriority w:val="0"/>
    <w:rPr>
      <w:shd w:val="clear" w:color="auto" w:fill="FF0000"/>
    </w:rPr>
  </w:style>
  <w:style w:type="character" w:customStyle="1" w:styleId="98">
    <w:name w:val="cur19"/>
    <w:basedOn w:val="27"/>
    <w:qFormat/>
    <w:uiPriority w:val="0"/>
    <w:rPr>
      <w:color w:val="3354A2"/>
    </w:rPr>
  </w:style>
  <w:style w:type="character" w:customStyle="1" w:styleId="99">
    <w:name w:val="cur20"/>
    <w:basedOn w:val="27"/>
    <w:qFormat/>
    <w:uiPriority w:val="0"/>
    <w:rPr>
      <w:shd w:val="clear" w:color="auto" w:fill="84B5FF"/>
    </w:rPr>
  </w:style>
  <w:style w:type="character" w:customStyle="1" w:styleId="100">
    <w:name w:val="con5"/>
    <w:basedOn w:val="27"/>
    <w:qFormat/>
    <w:uiPriority w:val="0"/>
  </w:style>
  <w:style w:type="character" w:customStyle="1" w:styleId="101">
    <w:name w:val="yj-blue"/>
    <w:basedOn w:val="27"/>
    <w:qFormat/>
    <w:uiPriority w:val="0"/>
    <w:rPr>
      <w:b/>
      <w:bCs/>
      <w:color w:val="FFFFFF"/>
      <w:sz w:val="21"/>
      <w:szCs w:val="21"/>
      <w:shd w:val="clear" w:color="auto" w:fill="1E84CB"/>
    </w:rPr>
  </w:style>
  <w:style w:type="character" w:customStyle="1" w:styleId="102">
    <w:name w:val="yjl"/>
    <w:basedOn w:val="27"/>
    <w:qFormat/>
    <w:uiPriority w:val="0"/>
    <w:rPr>
      <w:color w:val="999999"/>
    </w:rPr>
  </w:style>
  <w:style w:type="paragraph" w:customStyle="1" w:styleId="103">
    <w:name w:val="A表头"/>
    <w:basedOn w:val="8"/>
    <w:qFormat/>
    <w:uiPriority w:val="0"/>
    <w:pPr>
      <w:spacing w:before="50" w:beforeLines="50" w:after="120" w:line="460" w:lineRule="exact"/>
      <w:ind w:firstLine="200" w:firstLineChars="200"/>
      <w:jc w:val="left"/>
    </w:pPr>
    <w:rPr>
      <w:rFonts w:ascii="Times New Roman" w:hAnsi="Times New Roman" w:eastAsia="宋体"/>
      <w:b/>
      <w:sz w:val="26"/>
      <w:szCs w:val="21"/>
    </w:rPr>
  </w:style>
  <w:style w:type="character" w:customStyle="1" w:styleId="104">
    <w:name w:val="con1"/>
    <w:basedOn w:val="27"/>
    <w:qFormat/>
    <w:uiPriority w:val="0"/>
  </w:style>
  <w:style w:type="character" w:customStyle="1" w:styleId="105">
    <w:name w:val="yj-time2"/>
    <w:basedOn w:val="27"/>
    <w:qFormat/>
    <w:uiPriority w:val="0"/>
    <w:rPr>
      <w:color w:val="AAAAAA"/>
      <w:sz w:val="18"/>
      <w:szCs w:val="18"/>
    </w:rPr>
  </w:style>
  <w:style w:type="paragraph" w:customStyle="1" w:styleId="106">
    <w:name w:val="tit"/>
    <w:basedOn w:val="1"/>
    <w:qFormat/>
    <w:uiPriority w:val="0"/>
    <w:pPr>
      <w:spacing w:before="210" w:beforeAutospacing="0"/>
      <w:jc w:val="left"/>
    </w:pPr>
    <w:rPr>
      <w:kern w:val="0"/>
      <w:sz w:val="36"/>
      <w:szCs w:val="36"/>
      <w:lang w:val="en-US" w:eastAsia="zh-CN" w:bidi="ar"/>
    </w:rPr>
  </w:style>
  <w:style w:type="paragraph" w:customStyle="1" w:styleId="107">
    <w:name w:val="tit1"/>
    <w:basedOn w:val="1"/>
    <w:qFormat/>
    <w:uiPriority w:val="0"/>
    <w:pPr>
      <w:pBdr>
        <w:top w:val="none" w:color="auto" w:sz="0" w:space="0"/>
        <w:left w:val="none" w:color="auto" w:sz="0" w:space="0"/>
        <w:bottom w:val="none" w:color="auto" w:sz="0" w:space="0"/>
        <w:right w:val="none" w:color="auto" w:sz="0" w:space="0"/>
      </w:pBdr>
      <w:spacing w:after="300" w:afterAutospacing="0"/>
      <w:jc w:val="left"/>
    </w:pPr>
    <w:rPr>
      <w:color w:val="333333"/>
      <w:kern w:val="0"/>
      <w:sz w:val="45"/>
      <w:szCs w:val="45"/>
      <w:lang w:val="en-US" w:eastAsia="zh-CN" w:bidi="ar"/>
    </w:rPr>
  </w:style>
  <w:style w:type="paragraph" w:customStyle="1" w:styleId="108">
    <w:name w:val="tit2"/>
    <w:basedOn w:val="1"/>
    <w:qFormat/>
    <w:uiPriority w:val="0"/>
    <w:pPr>
      <w:spacing w:before="390" w:beforeAutospacing="0"/>
      <w:jc w:val="left"/>
    </w:pPr>
    <w:rPr>
      <w:color w:val="333333"/>
      <w:kern w:val="0"/>
      <w:sz w:val="30"/>
      <w:szCs w:val="30"/>
      <w:lang w:val="en-US" w:eastAsia="zh-CN" w:bidi="ar"/>
    </w:rPr>
  </w:style>
  <w:style w:type="paragraph" w:customStyle="1" w:styleId="109">
    <w:name w:val="tit3"/>
    <w:basedOn w:val="1"/>
    <w:qFormat/>
    <w:uiPriority w:val="0"/>
    <w:pPr>
      <w:ind w:right="465"/>
      <w:jc w:val="left"/>
    </w:pPr>
    <w:rPr>
      <w:kern w:val="0"/>
      <w:lang w:val="en-US" w:eastAsia="zh-CN" w:bidi="ar"/>
    </w:rPr>
  </w:style>
  <w:style w:type="paragraph" w:customStyle="1" w:styleId="110">
    <w:name w:val="tit5"/>
    <w:basedOn w:val="1"/>
    <w:qFormat/>
    <w:uiPriority w:val="0"/>
    <w:pPr>
      <w:spacing w:before="300" w:beforeAutospacing="0" w:after="60" w:afterAutospacing="0" w:line="450" w:lineRule="atLeast"/>
      <w:jc w:val="left"/>
    </w:pPr>
    <w:rPr>
      <w:b/>
      <w:bCs/>
      <w:color w:val="2760B7"/>
      <w:kern w:val="0"/>
      <w:sz w:val="27"/>
      <w:szCs w:val="27"/>
      <w:lang w:val="en-US" w:eastAsia="zh-CN" w:bidi="ar"/>
    </w:rPr>
  </w:style>
  <w:style w:type="paragraph" w:customStyle="1" w:styleId="111">
    <w:name w:val="tit7"/>
    <w:basedOn w:val="1"/>
    <w:qFormat/>
    <w:uiPriority w:val="0"/>
    <w:pPr>
      <w:jc w:val="left"/>
    </w:pPr>
    <w:rPr>
      <w:b/>
      <w:bCs/>
      <w:color w:val="2760B7"/>
      <w:kern w:val="0"/>
      <w:sz w:val="27"/>
      <w:szCs w:val="27"/>
      <w:lang w:val="en-US" w:eastAsia="zh-CN" w:bidi="ar"/>
    </w:rPr>
  </w:style>
  <w:style w:type="paragraph" w:customStyle="1" w:styleId="112">
    <w:name w:val="tit10"/>
    <w:basedOn w:val="1"/>
    <w:qFormat/>
    <w:uiPriority w:val="0"/>
    <w:pPr>
      <w:spacing w:line="750" w:lineRule="atLeast"/>
      <w:ind w:right="270"/>
      <w:jc w:val="right"/>
    </w:pPr>
    <w:rPr>
      <w:color w:val="333333"/>
      <w:kern w:val="0"/>
      <w:sz w:val="24"/>
      <w:szCs w:val="24"/>
      <w:lang w:val="en-US" w:eastAsia="zh-CN" w:bidi="ar"/>
    </w:rPr>
  </w:style>
  <w:style w:type="paragraph" w:customStyle="1" w:styleId="113">
    <w:name w:val="tit18"/>
    <w:basedOn w:val="1"/>
    <w:qFormat/>
    <w:uiPriority w:val="0"/>
    <w:pPr>
      <w:jc w:val="left"/>
    </w:pPr>
    <w:rPr>
      <w:b/>
      <w:bCs/>
      <w:color w:val="2760B7"/>
      <w:kern w:val="0"/>
      <w:sz w:val="27"/>
      <w:szCs w:val="27"/>
      <w:lang w:val="en-US" w:eastAsia="zh-CN" w:bidi="ar"/>
    </w:rPr>
  </w:style>
  <w:style w:type="character" w:customStyle="1" w:styleId="114">
    <w:name w:val="red5"/>
    <w:basedOn w:val="27"/>
    <w:qFormat/>
    <w:uiPriority w:val="0"/>
    <w:rPr>
      <w:color w:val="E1211F"/>
    </w:rPr>
  </w:style>
  <w:style w:type="character" w:customStyle="1" w:styleId="115">
    <w:name w:val="cur17"/>
    <w:basedOn w:val="27"/>
    <w:qFormat/>
    <w:uiPriority w:val="0"/>
    <w:rPr>
      <w:shd w:val="clear" w:color="auto" w:fill="FF0000"/>
    </w:rPr>
  </w:style>
  <w:style w:type="character" w:customStyle="1" w:styleId="116">
    <w:name w:val="hover43"/>
    <w:basedOn w:val="27"/>
    <w:qFormat/>
    <w:uiPriority w:val="0"/>
    <w:rPr>
      <w:shd w:val="clear" w:color="auto" w:fill="FF0000"/>
    </w:rPr>
  </w:style>
  <w:style w:type="character" w:customStyle="1" w:styleId="117">
    <w:name w:val="hover44"/>
    <w:basedOn w:val="27"/>
    <w:qFormat/>
    <w:uiPriority w:val="0"/>
    <w:rPr>
      <w:shd w:val="clear" w:color="auto" w:fill="FF0000"/>
    </w:rPr>
  </w:style>
  <w:style w:type="character" w:customStyle="1" w:styleId="118">
    <w:name w:val="hover45"/>
    <w:basedOn w:val="27"/>
    <w:qFormat/>
    <w:uiPriority w:val="0"/>
    <w:rPr>
      <w:b/>
      <w:bCs/>
    </w:rPr>
  </w:style>
  <w:style w:type="paragraph" w:customStyle="1" w:styleId="119">
    <w:name w:val="表内字"/>
    <w:basedOn w:val="19"/>
    <w:qFormat/>
    <w:uiPriority w:val="0"/>
    <w:pPr>
      <w:autoSpaceDE w:val="0"/>
      <w:autoSpaceDN w:val="0"/>
      <w:spacing w:line="300" w:lineRule="exact"/>
      <w:jc w:val="both"/>
    </w:pPr>
    <w:rPr>
      <w:rFonts w:eastAsia="方正宋三简体"/>
      <w:sz w:val="21"/>
      <w:szCs w:val="21"/>
    </w:rPr>
  </w:style>
  <w:style w:type="character" w:customStyle="1" w:styleId="120">
    <w:name w:val="font51"/>
    <w:basedOn w:val="27"/>
    <w:qFormat/>
    <w:uiPriority w:val="0"/>
    <w:rPr>
      <w:rFonts w:hint="eastAsia" w:ascii="宋体" w:hAnsi="宋体" w:eastAsia="宋体" w:cs="宋体"/>
      <w:color w:val="000000"/>
      <w:sz w:val="21"/>
      <w:szCs w:val="21"/>
      <w:u w:val="none"/>
    </w:rPr>
  </w:style>
  <w:style w:type="character" w:customStyle="1" w:styleId="121">
    <w:name w:val="font31"/>
    <w:basedOn w:val="27"/>
    <w:qFormat/>
    <w:uiPriority w:val="0"/>
    <w:rPr>
      <w:rFonts w:hint="eastAsia" w:ascii="宋体" w:hAnsi="宋体" w:eastAsia="宋体" w:cs="宋体"/>
      <w:color w:val="000000"/>
      <w:sz w:val="18"/>
      <w:szCs w:val="18"/>
      <w:u w:val="none"/>
    </w:rPr>
  </w:style>
  <w:style w:type="character" w:customStyle="1" w:styleId="122">
    <w:name w:val="font11"/>
    <w:basedOn w:val="27"/>
    <w:qFormat/>
    <w:uiPriority w:val="0"/>
    <w:rPr>
      <w:rFonts w:hint="default" w:ascii="Times New Roman" w:hAnsi="Times New Roman" w:cs="Times New Roman"/>
      <w:color w:val="000000"/>
      <w:sz w:val="22"/>
      <w:szCs w:val="22"/>
      <w:u w:val="none"/>
    </w:rPr>
  </w:style>
  <w:style w:type="character" w:customStyle="1" w:styleId="123">
    <w:name w:val="font21"/>
    <w:basedOn w:val="27"/>
    <w:qFormat/>
    <w:uiPriority w:val="0"/>
    <w:rPr>
      <w:rFonts w:hint="eastAsia" w:ascii="宋体" w:hAnsi="宋体" w:eastAsia="宋体" w:cs="宋体"/>
      <w:color w:val="000000"/>
      <w:sz w:val="22"/>
      <w:szCs w:val="22"/>
      <w:u w:val="none"/>
    </w:rPr>
  </w:style>
  <w:style w:type="character" w:customStyle="1" w:styleId="124">
    <w:name w:val="font101"/>
    <w:basedOn w:val="27"/>
    <w:qFormat/>
    <w:uiPriority w:val="0"/>
    <w:rPr>
      <w:rFonts w:hint="default" w:ascii="Times New Roman" w:hAnsi="Times New Roman" w:cs="Times New Roman"/>
      <w:color w:val="FF0000"/>
      <w:sz w:val="22"/>
      <w:szCs w:val="22"/>
      <w:u w:val="none"/>
    </w:rPr>
  </w:style>
  <w:style w:type="paragraph" w:customStyle="1" w:styleId="125">
    <w:name w:val="XF-正文"/>
    <w:basedOn w:val="1"/>
    <w:qFormat/>
    <w:uiPriority w:val="0"/>
    <w:pPr>
      <w:spacing w:line="520" w:lineRule="exact"/>
      <w:ind w:firstLine="880" w:firstLineChars="200"/>
    </w:pPr>
    <w:rPr>
      <w:rFonts w:ascii="Times New Roman" w:hAnsi="Times New Roman"/>
      <w:sz w:val="24"/>
      <w:szCs w:val="22"/>
    </w:rPr>
  </w:style>
  <w:style w:type="paragraph" w:customStyle="1" w:styleId="126">
    <w:name w:val="表格格式1-2"/>
    <w:basedOn w:val="1"/>
    <w:qFormat/>
    <w:uiPriority w:val="0"/>
    <w:pPr>
      <w:jc w:val="center"/>
    </w:pPr>
    <w:rPr>
      <w:sz w:val="21"/>
      <w:szCs w:val="21"/>
    </w:rPr>
  </w:style>
  <w:style w:type="paragraph" w:customStyle="1" w:styleId="127">
    <w:name w:val="表内字1"/>
    <w:basedOn w:val="1"/>
    <w:qFormat/>
    <w:uiPriority w:val="0"/>
    <w:pPr>
      <w:adjustRightInd w:val="0"/>
      <w:snapToGrid w:val="0"/>
      <w:spacing w:line="300" w:lineRule="exact"/>
      <w:jc w:val="center"/>
    </w:pPr>
    <w:rPr>
      <w:color w:val="000000"/>
      <w:sz w:val="22"/>
      <w:szCs w:val="21"/>
    </w:rPr>
  </w:style>
  <w:style w:type="character" w:customStyle="1" w:styleId="128">
    <w:name w:val="表文字 Char1"/>
    <w:link w:val="129"/>
    <w:qFormat/>
    <w:uiPriority w:val="0"/>
    <w:rPr>
      <w:sz w:val="21"/>
      <w:szCs w:val="21"/>
      <w:lang w:val="en-US" w:eastAsia="zh-CN" w:bidi="ar-SA"/>
    </w:rPr>
  </w:style>
  <w:style w:type="paragraph" w:customStyle="1" w:styleId="129">
    <w:name w:val="表文字"/>
    <w:link w:val="128"/>
    <w:qFormat/>
    <w:uiPriority w:val="0"/>
    <w:pPr>
      <w:widowControl w:val="0"/>
      <w:adjustRightInd w:val="0"/>
      <w:spacing w:line="240" w:lineRule="exact"/>
      <w:jc w:val="center"/>
      <w:textAlignment w:val="baseline"/>
    </w:pPr>
    <w:rPr>
      <w:rFonts w:ascii="Times New Roman" w:hAnsi="Times New Roman" w:eastAsia="宋体" w:cs="Times New Roman"/>
      <w:sz w:val="21"/>
      <w:szCs w:val="21"/>
      <w:lang w:val="en-US" w:eastAsia="zh-CN" w:bidi="ar-SA"/>
    </w:rPr>
  </w:style>
  <w:style w:type="paragraph" w:customStyle="1" w:styleId="130">
    <w:name w:val="表中文字"/>
    <w:basedOn w:val="1"/>
    <w:qFormat/>
    <w:uiPriority w:val="99"/>
    <w:pPr>
      <w:adjustRightInd w:val="0"/>
      <w:snapToGrid w:val="0"/>
      <w:spacing w:line="240" w:lineRule="atLeast"/>
      <w:jc w:val="center"/>
    </w:pPr>
    <w:rPr>
      <w:rFonts w:ascii="Calibri" w:hAnsi="Calibri"/>
      <w:kern w:val="0"/>
      <w:sz w:val="24"/>
    </w:rPr>
  </w:style>
  <w:style w:type="paragraph" w:customStyle="1" w:styleId="131">
    <w:name w:val="0正文"/>
    <w:basedOn w:val="1"/>
    <w:qFormat/>
    <w:uiPriority w:val="0"/>
    <w:pPr>
      <w:spacing w:line="460" w:lineRule="exact"/>
    </w:pPr>
    <w:rPr>
      <w:color w:val="000000"/>
      <w:szCs w:val="26"/>
    </w:rPr>
  </w:style>
  <w:style w:type="paragraph" w:customStyle="1" w:styleId="132">
    <w:name w:val="正文样式 Char"/>
    <w:basedOn w:val="1"/>
    <w:qFormat/>
    <w:uiPriority w:val="0"/>
    <w:pPr>
      <w:adjustRightInd w:val="0"/>
      <w:snapToGrid w:val="0"/>
      <w:spacing w:line="460" w:lineRule="exact"/>
      <w:ind w:firstLine="200" w:firstLineChars="200"/>
    </w:pPr>
    <w:rPr>
      <w:color w:val="000000"/>
      <w:sz w:val="26"/>
      <w:szCs w:val="26"/>
    </w:rPr>
  </w:style>
  <w:style w:type="paragraph" w:customStyle="1" w:styleId="133">
    <w:name w:val="Table Paragraph"/>
    <w:basedOn w:val="1"/>
    <w:qFormat/>
    <w:uiPriority w:val="1"/>
    <w:pPr>
      <w:jc w:val="left"/>
    </w:pPr>
    <w:rPr>
      <w:kern w:val="0"/>
      <w:sz w:val="22"/>
      <w:szCs w:val="22"/>
      <w:lang w:eastAsia="en-US"/>
    </w:rPr>
  </w:style>
  <w:style w:type="paragraph" w:customStyle="1" w:styleId="134">
    <w:name w:val="样式10"/>
    <w:basedOn w:val="1"/>
    <w:qFormat/>
    <w:uiPriority w:val="0"/>
    <w:pPr>
      <w:adjustRightInd w:val="0"/>
      <w:snapToGrid w:val="0"/>
      <w:spacing w:line="320" w:lineRule="exact"/>
      <w:jc w:val="center"/>
    </w:pPr>
    <w:rPr>
      <w:rFonts w:eastAsia="Times New Roman"/>
      <w:sz w:val="22"/>
      <w:szCs w:val="22"/>
    </w:rPr>
  </w:style>
  <w:style w:type="paragraph" w:customStyle="1" w:styleId="135">
    <w:name w:val="表格文字-中煤"/>
    <w:basedOn w:val="1"/>
    <w:next w:val="1"/>
    <w:qFormat/>
    <w:uiPriority w:val="0"/>
    <w:pPr>
      <w:widowControl/>
      <w:autoSpaceDE w:val="0"/>
      <w:autoSpaceDN w:val="0"/>
      <w:adjustRightInd w:val="0"/>
      <w:snapToGrid w:val="0"/>
      <w:jc w:val="center"/>
    </w:pPr>
    <w:rPr>
      <w:rFonts w:eastAsia="Times New Roman"/>
      <w:kern w:val="0"/>
      <w:sz w:val="22"/>
      <w:szCs w:val="21"/>
      <w:lang w:val="zh-CN"/>
    </w:rPr>
  </w:style>
  <w:style w:type="table" w:customStyle="1" w:styleId="136">
    <w:name w:val="网格型刘1"/>
    <w:basedOn w:val="25"/>
    <w:qFormat/>
    <w:uiPriority w:val="59"/>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paragraph" w:customStyle="1" w:styleId="138">
    <w:name w:val="正文样式 小四"/>
    <w:basedOn w:val="1"/>
    <w:qFormat/>
    <w:uiPriority w:val="0"/>
    <w:pPr>
      <w:spacing w:line="500" w:lineRule="exact"/>
      <w:ind w:firstLine="480" w:firstLineChars="200"/>
    </w:pPr>
    <w:rPr>
      <w:sz w:val="24"/>
      <w:szCs w:val="22"/>
    </w:rPr>
  </w:style>
  <w:style w:type="paragraph" w:customStyle="1" w:styleId="139">
    <w:name w:val="正文   1"/>
    <w:basedOn w:val="1"/>
    <w:qFormat/>
    <w:uiPriority w:val="0"/>
    <w:pPr>
      <w:snapToGrid w:val="0"/>
      <w:spacing w:line="460" w:lineRule="atLeast"/>
      <w:ind w:firstLine="520" w:firstLineChars="200"/>
    </w:pPr>
    <w:rPr>
      <w:rFonts w:ascii="Times New Roman" w:hAnsi="Times New Roman"/>
      <w:bCs/>
      <w:sz w:val="26"/>
      <w:szCs w:val="20"/>
    </w:rPr>
  </w:style>
  <w:style w:type="paragraph" w:customStyle="1" w:styleId="140">
    <w:name w:val="新格式表"/>
    <w:basedOn w:val="1"/>
    <w:qFormat/>
    <w:uiPriority w:val="0"/>
    <w:pPr>
      <w:jc w:val="center"/>
    </w:pPr>
    <w:rPr>
      <w:b/>
      <w:color w:val="FF0000"/>
      <w:szCs w:val="21"/>
    </w:rPr>
  </w:style>
  <w:style w:type="paragraph" w:customStyle="1" w:styleId="141">
    <w:name w:val="表头1"/>
    <w:basedOn w:val="74"/>
    <w:qFormat/>
    <w:uiPriority w:val="0"/>
    <w:pPr>
      <w:adjustRightInd w:val="0"/>
      <w:snapToGrid w:val="0"/>
      <w:spacing w:beforeLines="100"/>
      <w:jc w:val="left"/>
    </w:pPr>
    <w:rPr>
      <w:rFonts w:ascii="Times New Roman" w:hAnsi="Times New Roman"/>
      <w:b/>
      <w:color w:val="000000"/>
      <w:sz w:val="26"/>
    </w:rPr>
  </w:style>
  <w:style w:type="paragraph" w:customStyle="1" w:styleId="142">
    <w:name w:val="样式1"/>
    <w:basedOn w:val="1"/>
    <w:qFormat/>
    <w:uiPriority w:val="0"/>
    <w:pPr>
      <w:jc w:val="center"/>
    </w:pPr>
    <w:rPr>
      <w:bCs/>
      <w:sz w:val="48"/>
      <w:szCs w:val="24"/>
    </w:rPr>
  </w:style>
  <w:style w:type="paragraph" w:customStyle="1" w:styleId="143">
    <w:name w:val="表内容-L"/>
    <w:basedOn w:val="1"/>
    <w:qFormat/>
    <w:uiPriority w:val="0"/>
    <w:pPr>
      <w:snapToGrid w:val="0"/>
      <w:jc w:val="center"/>
    </w:pPr>
    <w:rPr>
      <w:szCs w:val="20"/>
    </w:rPr>
  </w:style>
  <w:style w:type="paragraph" w:customStyle="1" w:styleId="144">
    <w:name w:val="报告正文"/>
    <w:basedOn w:val="1"/>
    <w:qFormat/>
    <w:uiPriority w:val="0"/>
    <w:pPr>
      <w:adjustRightInd w:val="0"/>
      <w:snapToGrid w:val="0"/>
      <w:spacing w:line="360" w:lineRule="auto"/>
      <w:ind w:firstLine="480"/>
    </w:pPr>
  </w:style>
  <w:style w:type="paragraph" w:customStyle="1" w:styleId="145">
    <w:name w:val="B表格正文"/>
    <w:basedOn w:val="1"/>
    <w:qFormat/>
    <w:uiPriority w:val="0"/>
    <w:pPr>
      <w:spacing w:line="360" w:lineRule="exact"/>
      <w:ind w:firstLine="0" w:firstLineChars="0"/>
      <w:jc w:val="center"/>
    </w:pPr>
    <w:rPr>
      <w:sz w:val="21"/>
      <w:szCs w:val="21"/>
    </w:rPr>
  </w:style>
  <w:style w:type="paragraph" w:customStyle="1" w:styleId="146">
    <w:name w:val="表内格式居中"/>
    <w:basedOn w:val="1"/>
    <w:qFormat/>
    <w:uiPriority w:val="0"/>
    <w:pPr>
      <w:adjustRightInd w:val="0"/>
      <w:snapToGrid w:val="0"/>
      <w:jc w:val="center"/>
    </w:pPr>
    <w:rPr>
      <w:rFonts w:ascii="Times New Roman" w:hAnsi="Times New Roman" w:eastAsia="宋体" w:cs="Times New Roman"/>
      <w:color w:val="000000"/>
      <w:szCs w:val="21"/>
    </w:rPr>
  </w:style>
  <w:style w:type="paragraph" w:customStyle="1" w:styleId="147">
    <w:name w:val="宋体 1.5行距"/>
    <w:basedOn w:val="1"/>
    <w:qFormat/>
    <w:uiPriority w:val="0"/>
    <w:pPr>
      <w:spacing w:line="360" w:lineRule="auto"/>
      <w:ind w:firstLine="720" w:firstLineChars="200"/>
    </w:pPr>
    <w:rPr>
      <w:rFonts w:ascii="Times New Roman" w:hAnsi="Times New Roman" w:eastAsia="宋体" w:cs="仿宋_GB2312"/>
      <w:color w:val="000000"/>
      <w:sz w:val="21"/>
      <w:szCs w:val="36"/>
    </w:rPr>
  </w:style>
  <w:style w:type="paragraph" w:customStyle="1" w:styleId="148">
    <w:name w:val="封面项目-L"/>
    <w:basedOn w:val="1"/>
    <w:qFormat/>
    <w:uiPriority w:val="0"/>
    <w:pPr>
      <w:adjustRightInd/>
      <w:spacing w:line="360" w:lineRule="auto"/>
      <w:jc w:val="center"/>
    </w:pPr>
    <w:rPr>
      <w:rFonts w:ascii="楷体" w:hAnsi="楷体" w:eastAsia="楷体"/>
      <w:bCs/>
      <w:color w:val="000000"/>
      <w:sz w:val="48"/>
      <w:szCs w:val="52"/>
      <w:lang w:val="zh-CN"/>
    </w:rPr>
  </w:style>
  <w:style w:type="paragraph" w:customStyle="1" w:styleId="149">
    <w:name w:val="表图头-L"/>
    <w:basedOn w:val="1"/>
    <w:qFormat/>
    <w:uiPriority w:val="0"/>
    <w:pPr>
      <w:snapToGrid w:val="0"/>
      <w:jc w:val="center"/>
    </w:pPr>
    <w:rPr>
      <w:b/>
      <w:bCs/>
      <w:snapToGrid w:val="0"/>
      <w:szCs w:val="20"/>
      <w:lang w:bidi="en-US"/>
    </w:rPr>
  </w:style>
  <w:style w:type="paragraph" w:customStyle="1" w:styleId="150">
    <w:name w:val="1正文-L"/>
    <w:basedOn w:val="1"/>
    <w:qFormat/>
    <w:uiPriority w:val="0"/>
    <w:pPr>
      <w:snapToGrid w:val="0"/>
      <w:spacing w:line="440" w:lineRule="exact"/>
      <w:ind w:firstLine="200" w:firstLineChars="200"/>
      <w:jc w:val="both"/>
    </w:pPr>
    <w:rPr>
      <w:sz w:val="24"/>
    </w:rPr>
  </w:style>
  <w:style w:type="paragraph" w:customStyle="1" w:styleId="151">
    <w:name w:val="A这篇正文"/>
    <w:basedOn w:val="1"/>
    <w:qFormat/>
    <w:uiPriority w:val="0"/>
    <w:pPr>
      <w:widowControl/>
      <w:ind w:firstLine="480" w:firstLineChars="200"/>
    </w:pPr>
    <w:rPr>
      <w:rFonts w:cs="宋体"/>
      <w:kern w:val="0"/>
    </w:rPr>
  </w:style>
  <w:style w:type="character" w:customStyle="1" w:styleId="152">
    <w:name w:val="格 Char"/>
    <w:link w:val="153"/>
    <w:qFormat/>
    <w:uiPriority w:val="0"/>
    <w:rPr>
      <w:rFonts w:cs="宋体"/>
      <w:sz w:val="21"/>
      <w:szCs w:val="21"/>
    </w:rPr>
  </w:style>
  <w:style w:type="paragraph" w:customStyle="1" w:styleId="153">
    <w:name w:val="格"/>
    <w:basedOn w:val="1"/>
    <w:link w:val="152"/>
    <w:qFormat/>
    <w:uiPriority w:val="0"/>
    <w:pPr>
      <w:widowControl/>
      <w:spacing w:beforeLines="10" w:line="240" w:lineRule="auto"/>
      <w:jc w:val="center"/>
    </w:pPr>
    <w:rPr>
      <w:rFonts w:cs="宋体"/>
      <w:sz w:val="21"/>
      <w:szCs w:val="21"/>
    </w:rPr>
  </w:style>
  <w:style w:type="paragraph" w:customStyle="1" w:styleId="154">
    <w:name w:val="1正文"/>
    <w:basedOn w:val="1"/>
    <w:qFormat/>
    <w:uiPriority w:val="0"/>
    <w:pPr>
      <w:adjustRightInd w:val="0"/>
      <w:snapToGrid w:val="0"/>
      <w:spacing w:line="480" w:lineRule="exact"/>
      <w:ind w:firstLine="520" w:firstLineChars="200"/>
    </w:pPr>
    <w:rPr>
      <w:rFonts w:hAnsi="宋体"/>
      <w:sz w:val="26"/>
      <w:szCs w:val="26"/>
    </w:rPr>
  </w:style>
  <w:style w:type="paragraph" w:customStyle="1" w:styleId="155">
    <w:name w:val="03表格文字"/>
    <w:basedOn w:val="63"/>
    <w:qFormat/>
    <w:uiPriority w:val="0"/>
    <w:pPr>
      <w:spacing w:line="360" w:lineRule="exact"/>
      <w:ind w:firstLine="0" w:firstLineChars="0"/>
      <w:jc w:val="center"/>
    </w:pPr>
    <w:rPr>
      <w:sz w:val="21"/>
    </w:rPr>
  </w:style>
  <w:style w:type="paragraph" w:customStyle="1" w:styleId="156">
    <w:name w:val="标题  44"/>
    <w:basedOn w:val="1"/>
    <w:qFormat/>
    <w:uiPriority w:val="0"/>
    <w:pPr>
      <w:widowControl/>
      <w:spacing w:line="440" w:lineRule="exact"/>
      <w:outlineLvl w:val="3"/>
    </w:pPr>
    <w:rPr>
      <w:b/>
      <w:color w:val="000000"/>
      <w:sz w:val="26"/>
      <w:szCs w:val="24"/>
    </w:rPr>
  </w:style>
  <w:style w:type="paragraph" w:customStyle="1" w:styleId="157">
    <w:name w:val="二级标题"/>
    <w:basedOn w:val="158"/>
    <w:next w:val="159"/>
    <w:qFormat/>
    <w:uiPriority w:val="2"/>
    <w:pPr>
      <w:pageBreakBefore w:val="0"/>
      <w:numPr>
        <w:ilvl w:val="1"/>
      </w:numPr>
      <w:spacing w:after="0" w:afterLines="0"/>
      <w:ind w:left="0"/>
      <w:jc w:val="both"/>
      <w:outlineLvl w:val="1"/>
    </w:pPr>
    <w:rPr>
      <w:sz w:val="26"/>
    </w:rPr>
  </w:style>
  <w:style w:type="paragraph" w:customStyle="1" w:styleId="158">
    <w:name w:val="一级标题"/>
    <w:basedOn w:val="1"/>
    <w:next w:val="159"/>
    <w:qFormat/>
    <w:uiPriority w:val="1"/>
    <w:pPr>
      <w:pageBreakBefore/>
      <w:numPr>
        <w:ilvl w:val="0"/>
        <w:numId w:val="2"/>
      </w:numPr>
      <w:spacing w:after="312" w:afterLines="100" w:line="480" w:lineRule="exact"/>
      <w:jc w:val="center"/>
      <w:outlineLvl w:val="0"/>
    </w:pPr>
    <w:rPr>
      <w:rFonts w:ascii="Times New Roman" w:hAnsi="Times New Roman"/>
      <w:b/>
      <w:sz w:val="30"/>
    </w:rPr>
  </w:style>
  <w:style w:type="paragraph" w:customStyle="1" w:styleId="159">
    <w:name w:val="环评正文"/>
    <w:basedOn w:val="2"/>
    <w:qFormat/>
    <w:uiPriority w:val="3"/>
    <w:pPr>
      <w:keepNext w:val="0"/>
      <w:keepLines w:val="0"/>
      <w:tabs>
        <w:tab w:val="left" w:pos="662"/>
      </w:tabs>
      <w:spacing w:before="0" w:after="0" w:line="240" w:lineRule="auto"/>
      <w:ind w:firstLine="578"/>
      <w:outlineLvl w:val="9"/>
    </w:pPr>
    <w:rPr>
      <w:b w:val="0"/>
      <w:bCs w:val="0"/>
      <w:kern w:val="2"/>
      <w:sz w:val="28"/>
      <w:szCs w:val="20"/>
    </w:rPr>
  </w:style>
  <w:style w:type="paragraph" w:customStyle="1" w:styleId="160">
    <w:name w:val="样式3"/>
    <w:basedOn w:val="67"/>
    <w:qFormat/>
    <w:uiPriority w:val="0"/>
    <w:pPr>
      <w:tabs>
        <w:tab w:val="left" w:pos="540"/>
        <w:tab w:val="left" w:pos="1080"/>
        <w:tab w:val="left" w:pos="1800"/>
      </w:tabs>
      <w:spacing w:line="240" w:lineRule="auto"/>
      <w:ind w:firstLine="0" w:firstLineChars="0"/>
      <w:jc w:val="both"/>
    </w:pPr>
  </w:style>
  <w:style w:type="paragraph" w:customStyle="1" w:styleId="161">
    <w:name w:val="标题  33"/>
    <w:basedOn w:val="139"/>
    <w:next w:val="1"/>
    <w:qFormat/>
    <w:uiPriority w:val="0"/>
    <w:pPr>
      <w:ind w:firstLine="0" w:firstLineChars="0"/>
    </w:pPr>
    <w:rPr>
      <w:b/>
    </w:rPr>
  </w:style>
  <w:style w:type="paragraph" w:customStyle="1" w:styleId="162">
    <w:name w:val="正 文"/>
    <w:basedOn w:val="1"/>
    <w:qFormat/>
    <w:uiPriority w:val="0"/>
    <w:pPr>
      <w:adjustRightInd w:val="0"/>
      <w:snapToGrid w:val="0"/>
      <w:spacing w:line="480" w:lineRule="exact"/>
      <w:ind w:firstLine="200" w:firstLineChars="200"/>
    </w:pPr>
    <w:rPr>
      <w:kern w:val="0"/>
      <w:sz w:val="24"/>
      <w:szCs w:val="20"/>
    </w:rPr>
  </w:style>
  <w:style w:type="paragraph" w:customStyle="1" w:styleId="163">
    <w:name w:val="表头图头"/>
    <w:basedOn w:val="1"/>
    <w:qFormat/>
    <w:uiPriority w:val="0"/>
    <w:pPr>
      <w:adjustRightInd w:val="0"/>
      <w:snapToGrid w:val="0"/>
      <w:spacing w:line="480" w:lineRule="exact"/>
      <w:jc w:val="center"/>
    </w:pPr>
    <w:rPr>
      <w:b/>
      <w:sz w:val="24"/>
      <w:szCs w:val="20"/>
      <w:lang w:val="zh-CN"/>
    </w:rPr>
  </w:style>
  <w:style w:type="paragraph" w:customStyle="1" w:styleId="164">
    <w:name w:val="03表格文本"/>
    <w:basedOn w:val="1"/>
    <w:qFormat/>
    <w:uiPriority w:val="0"/>
    <w:pPr>
      <w:jc w:val="center"/>
    </w:pPr>
    <w:rPr>
      <w:szCs w:val="21"/>
    </w:rPr>
  </w:style>
  <w:style w:type="paragraph" w:customStyle="1" w:styleId="165">
    <w:name w:val="1表格"/>
    <w:basedOn w:val="1"/>
    <w:qFormat/>
    <w:uiPriority w:val="0"/>
    <w:pPr>
      <w:snapToGrid w:val="0"/>
      <w:jc w:val="left"/>
    </w:pPr>
    <w:rPr>
      <w:color w:val="3333FF"/>
      <w:spacing w:val="4"/>
    </w:rPr>
  </w:style>
  <w:style w:type="paragraph" w:customStyle="1" w:styleId="166">
    <w:name w:val="小表1"/>
    <w:next w:val="1"/>
    <w:qFormat/>
    <w:uiPriority w:val="0"/>
    <w:pPr>
      <w:jc w:val="center"/>
    </w:pPr>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wmf"/><Relationship Id="rId3" Type="http://schemas.openxmlformats.org/officeDocument/2006/relationships/footer" Target="footer1.xml"/><Relationship Id="rId29" Type="http://schemas.openxmlformats.org/officeDocument/2006/relationships/oleObject" Target="embeddings/oleObject10.bin"/><Relationship Id="rId28" Type="http://schemas.openxmlformats.org/officeDocument/2006/relationships/image" Target="media/image12.png"/><Relationship Id="rId27" Type="http://schemas.openxmlformats.org/officeDocument/2006/relationships/image" Target="media/image11.emf"/><Relationship Id="rId26" Type="http://schemas.openxmlformats.org/officeDocument/2006/relationships/oleObject" Target="embeddings/oleObject9.bin"/><Relationship Id="rId25" Type="http://schemas.openxmlformats.org/officeDocument/2006/relationships/image" Target="media/image10.jpeg"/><Relationship Id="rId24" Type="http://schemas.openxmlformats.org/officeDocument/2006/relationships/oleObject" Target="embeddings/oleObject8.bin"/><Relationship Id="rId23" Type="http://schemas.openxmlformats.org/officeDocument/2006/relationships/image" Target="media/image9.emf"/><Relationship Id="rId22" Type="http://schemas.openxmlformats.org/officeDocument/2006/relationships/oleObject" Target="embeddings/oleObject7.bin"/><Relationship Id="rId21" Type="http://schemas.openxmlformats.org/officeDocument/2006/relationships/image" Target="media/image8.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5.bin"/><Relationship Id="rId17" Type="http://schemas.openxmlformats.org/officeDocument/2006/relationships/image" Target="media/image6.emf"/><Relationship Id="rId16" Type="http://schemas.openxmlformats.org/officeDocument/2006/relationships/oleObject" Target="embeddings/oleObject4.bin"/><Relationship Id="rId15" Type="http://schemas.openxmlformats.org/officeDocument/2006/relationships/image" Target="media/image5.emf"/><Relationship Id="rId14" Type="http://schemas.openxmlformats.org/officeDocument/2006/relationships/oleObject" Target="embeddings/oleObject3.bin"/><Relationship Id="rId13" Type="http://schemas.openxmlformats.org/officeDocument/2006/relationships/image" Target="media/image4.emf"/><Relationship Id="rId12" Type="http://schemas.openxmlformats.org/officeDocument/2006/relationships/oleObject" Target="embeddings/oleObject2.bin"/><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214"/>
    <customShpInfo spid="_x0000_s2215"/>
    <customShpInfo spid="_x0000_s221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142</Pages>
  <Words>78594</Words>
  <Characters>91657</Characters>
  <Lines>13</Lines>
  <Paragraphs>3</Paragraphs>
  <TotalTime>0</TotalTime>
  <ScaleCrop>false</ScaleCrop>
  <LinksUpToDate>false</LinksUpToDate>
  <CharactersWithSpaces>92469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Concea,</cp:lastModifiedBy>
  <cp:lastPrinted>2021-08-12T01:56:00Z</cp:lastPrinted>
  <dcterms:modified xsi:type="dcterms:W3CDTF">2026-03-30T01:50:13Z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B0BB0E9D22914092A823F0FEF389D3C8_13</vt:lpwstr>
  </property>
  <property fmtid="{D5CDD505-2E9C-101B-9397-08002B2CF9AE}" pid="4" name="KSOTemplateDocerSaveRecord">
    <vt:lpwstr>eyJoZGlkIjoiZWRhZThhYzM2YzlhNWQ3NTI5NjZkMDJmYWE4MWY5MzgiLCJ1c2VySWQiOiIzODQxNTI5NjQifQ==</vt:lpwstr>
  </property>
</Properties>
</file>